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B1246"/>
    <w:p w14:paraId="7B0ED5B7">
      <w:pPr>
        <w:jc w:val="center"/>
        <w:rPr>
          <w:b/>
          <w:sz w:val="32"/>
          <w:szCs w:val="32"/>
        </w:rPr>
      </w:pPr>
      <w:r>
        <w:rPr>
          <w:rFonts w:hint="eastAsia" w:ascii="宋体" w:hAnsi="宋体"/>
          <w:sz w:val="32"/>
          <w:szCs w:val="32"/>
          <w:lang w:val="zh-CN"/>
        </w:rPr>
        <w:t>工程清单</w:t>
      </w:r>
      <w:r>
        <w:rPr>
          <w:rFonts w:hint="eastAsia"/>
          <w:sz w:val="32"/>
          <w:szCs w:val="32"/>
        </w:rPr>
        <w:t>编制说明</w:t>
      </w:r>
    </w:p>
    <w:p w14:paraId="7F30C722"/>
    <w:p w14:paraId="496EBEAD">
      <w:pPr>
        <w:spacing w:line="360" w:lineRule="auto"/>
        <w:rPr>
          <w:rFonts w:ascii="Times New Roman" w:hAnsi="Times New Roman" w:eastAsia="Times New Roman"/>
          <w:b/>
          <w:sz w:val="28"/>
          <w:szCs w:val="28"/>
        </w:rPr>
      </w:pPr>
      <w:r>
        <w:rPr>
          <w:rFonts w:hint="eastAsia" w:ascii="宋体" w:hAnsi="宋体"/>
          <w:b/>
          <w:sz w:val="28"/>
          <w:szCs w:val="28"/>
          <w:lang w:val="zh-CN"/>
        </w:rPr>
        <w:t>一、工程概况：</w:t>
      </w:r>
    </w:p>
    <w:p w14:paraId="1B50897F">
      <w:pPr>
        <w:spacing w:line="360" w:lineRule="auto"/>
        <w:ind w:firstLine="480" w:firstLineChars="200"/>
        <w:rPr>
          <w:rFonts w:ascii="宋体" w:hAnsi="宋体"/>
          <w:sz w:val="24"/>
          <w:szCs w:val="24"/>
          <w:lang w:val="zh-CN"/>
        </w:rPr>
      </w:pPr>
      <w:r>
        <w:rPr>
          <w:rFonts w:hint="eastAsia" w:ascii="宋体" w:hAnsi="宋体"/>
          <w:sz w:val="24"/>
          <w:szCs w:val="24"/>
          <w:lang w:val="zh-CN"/>
        </w:rPr>
        <w:t>1、工程名称：</w:t>
      </w:r>
      <w:r>
        <w:rPr>
          <w:rFonts w:hint="eastAsia" w:ascii="宋体" w:hAnsi="宋体" w:cs="宋体"/>
          <w:color w:val="auto"/>
          <w:kern w:val="1"/>
          <w:sz w:val="24"/>
          <w:szCs w:val="24"/>
          <w:highlight w:val="none"/>
        </w:rPr>
        <w:t>乳山市青山路路灯搬迁</w:t>
      </w:r>
      <w:r>
        <w:rPr>
          <w:rFonts w:hint="eastAsia" w:ascii="宋体" w:hAnsi="宋体" w:cs="宋体"/>
          <w:color w:val="auto"/>
          <w:kern w:val="1"/>
          <w:sz w:val="24"/>
          <w:szCs w:val="24"/>
          <w:highlight w:val="none"/>
          <w:lang w:eastAsia="zh-CN"/>
        </w:rPr>
        <w:t>工程</w:t>
      </w:r>
      <w:bookmarkStart w:id="0" w:name="_GoBack"/>
      <w:bookmarkEnd w:id="0"/>
      <w:r>
        <w:rPr>
          <w:rFonts w:hint="eastAsia" w:ascii="宋体" w:hAnsi="宋体"/>
          <w:sz w:val="24"/>
          <w:szCs w:val="24"/>
          <w:lang w:val="zh-CN"/>
        </w:rPr>
        <w:t>。</w:t>
      </w:r>
    </w:p>
    <w:p w14:paraId="6464F3C1">
      <w:pPr>
        <w:spacing w:line="360" w:lineRule="auto"/>
        <w:ind w:firstLine="480" w:firstLineChars="200"/>
        <w:rPr>
          <w:rFonts w:ascii="宋体" w:hAnsi="宋体"/>
          <w:sz w:val="24"/>
          <w:szCs w:val="24"/>
          <w:lang w:val="zh-CN"/>
        </w:rPr>
      </w:pPr>
      <w:r>
        <w:rPr>
          <w:rFonts w:hint="eastAsia" w:ascii="宋体" w:hAnsi="宋体"/>
          <w:sz w:val="24"/>
          <w:szCs w:val="24"/>
          <w:lang w:val="zh-CN"/>
        </w:rPr>
        <w:t>2、工程位置：乳山市区。</w:t>
      </w:r>
    </w:p>
    <w:p w14:paraId="44CAE7BB">
      <w:pPr>
        <w:keepNext w:val="0"/>
        <w:keepLines w:val="0"/>
        <w:pageBreakBefore w:val="0"/>
        <w:widowControl w:val="0"/>
        <w:numPr>
          <w:ilvl w:val="0"/>
          <w:numId w:val="0"/>
        </w:numPr>
        <w:tabs>
          <w:tab w:val="left" w:pos="360"/>
        </w:tabs>
        <w:kinsoku/>
        <w:wordWrap/>
        <w:overflowPunct/>
        <w:topLinePunct w:val="0"/>
        <w:autoSpaceDE/>
        <w:autoSpaceDN/>
        <w:bidi w:val="0"/>
        <w:adjustRightInd/>
        <w:snapToGrid/>
        <w:spacing w:before="0" w:after="0" w:line="480" w:lineRule="auto"/>
        <w:ind w:firstLine="480" w:firstLineChars="200"/>
        <w:textAlignment w:val="auto"/>
        <w:rPr>
          <w:rFonts w:ascii="宋体" w:hAnsi="宋体"/>
          <w:sz w:val="24"/>
          <w:szCs w:val="24"/>
        </w:rPr>
      </w:pPr>
      <w:r>
        <w:rPr>
          <w:rFonts w:hint="eastAsia" w:ascii="宋体" w:hAnsi="宋体"/>
          <w:sz w:val="24"/>
          <w:szCs w:val="24"/>
          <w:lang w:val="zh-CN"/>
        </w:rPr>
        <w:t>3、工程内容：</w:t>
      </w:r>
      <w:r>
        <w:rPr>
          <w:rFonts w:hint="eastAsia" w:ascii="宋体" w:hAnsi="宋体"/>
          <w:color w:val="auto"/>
          <w:kern w:val="2"/>
          <w:sz w:val="24"/>
          <w:highlight w:val="none"/>
          <w:lang w:eastAsia="zh-CN"/>
        </w:rPr>
        <w:t>拆除原有路灯及混凝土基础，</w:t>
      </w:r>
      <w:r>
        <w:rPr>
          <w:rFonts w:hint="eastAsia" w:ascii="宋体" w:hAnsi="宋体"/>
          <w:color w:val="auto"/>
          <w:kern w:val="2"/>
          <w:sz w:val="24"/>
          <w:highlight w:val="none"/>
          <w:lang w:val="en-US" w:eastAsia="zh-CN"/>
        </w:rPr>
        <w:t>重新浇筑混凝土基础，原有路灯重新安装，新换11套LED路灯灯头等</w:t>
      </w:r>
      <w:r>
        <w:rPr>
          <w:rFonts w:hint="eastAsia" w:ascii="宋体" w:hAnsi="宋体"/>
          <w:color w:val="auto"/>
          <w:kern w:val="2"/>
          <w:sz w:val="24"/>
          <w:highlight w:val="none"/>
        </w:rPr>
        <w:t>。</w:t>
      </w:r>
      <w:r>
        <w:rPr>
          <w:rFonts w:hint="eastAsia" w:ascii="宋体" w:hAnsi="宋体"/>
          <w:sz w:val="24"/>
          <w:szCs w:val="24"/>
          <w:lang w:val="zh-CN"/>
        </w:rPr>
        <w:t>具体内容见技术资料。</w:t>
      </w:r>
    </w:p>
    <w:p w14:paraId="3F85ED1B">
      <w:pPr>
        <w:spacing w:line="360" w:lineRule="auto"/>
        <w:rPr>
          <w:rFonts w:hint="eastAsia" w:ascii="宋体" w:hAnsi="宋体"/>
          <w:b/>
          <w:sz w:val="28"/>
          <w:szCs w:val="28"/>
          <w:lang w:val="zh-CN"/>
        </w:rPr>
      </w:pPr>
      <w:r>
        <w:rPr>
          <w:rFonts w:hint="eastAsia" w:ascii="宋体" w:hAnsi="宋体"/>
          <w:b/>
          <w:sz w:val="28"/>
          <w:szCs w:val="28"/>
          <w:lang w:val="zh-CN"/>
        </w:rPr>
        <w:t>二、编制范围：</w:t>
      </w:r>
    </w:p>
    <w:p w14:paraId="2B8139C7">
      <w:pPr>
        <w:spacing w:line="360" w:lineRule="auto"/>
        <w:ind w:firstLine="480" w:firstLineChars="200"/>
        <w:rPr>
          <w:rFonts w:hint="eastAsia" w:ascii="宋体" w:hAnsi="宋体"/>
          <w:color w:val="auto"/>
          <w:kern w:val="2"/>
          <w:sz w:val="24"/>
          <w:highlight w:val="none"/>
        </w:rPr>
      </w:pPr>
      <w:r>
        <w:rPr>
          <w:rFonts w:hint="eastAsia" w:ascii="宋体" w:hAnsi="宋体"/>
          <w:color w:val="auto"/>
          <w:kern w:val="2"/>
          <w:sz w:val="24"/>
          <w:highlight w:val="none"/>
          <w:lang w:eastAsia="zh-CN"/>
        </w:rPr>
        <w:t>拆除原有路灯及混凝土基础，</w:t>
      </w:r>
      <w:r>
        <w:rPr>
          <w:rFonts w:hint="eastAsia" w:ascii="宋体" w:hAnsi="宋体"/>
          <w:color w:val="auto"/>
          <w:kern w:val="2"/>
          <w:sz w:val="24"/>
          <w:highlight w:val="none"/>
          <w:lang w:val="en-US" w:eastAsia="zh-CN"/>
        </w:rPr>
        <w:t>重新浇筑混凝土基础，原有92套路灯重新安装，新换11套LED路灯灯头等</w:t>
      </w:r>
      <w:r>
        <w:rPr>
          <w:rFonts w:hint="eastAsia" w:ascii="宋体" w:hAnsi="宋体"/>
          <w:color w:val="auto"/>
          <w:kern w:val="2"/>
          <w:sz w:val="24"/>
          <w:highlight w:val="none"/>
        </w:rPr>
        <w:t>。</w:t>
      </w:r>
    </w:p>
    <w:p w14:paraId="3D000A8E">
      <w:pPr>
        <w:spacing w:line="360" w:lineRule="auto"/>
        <w:rPr>
          <w:rFonts w:ascii="Times New Roman" w:hAnsi="Times New Roman" w:eastAsia="Times New Roman"/>
          <w:b/>
          <w:sz w:val="28"/>
          <w:szCs w:val="28"/>
        </w:rPr>
      </w:pPr>
      <w:r>
        <w:rPr>
          <w:rFonts w:hint="eastAsia" w:ascii="宋体" w:hAnsi="宋体"/>
          <w:b/>
          <w:sz w:val="28"/>
          <w:szCs w:val="28"/>
          <w:lang w:val="zh-CN"/>
        </w:rPr>
        <w:t>三、编制依据：</w:t>
      </w:r>
    </w:p>
    <w:p w14:paraId="0FA2F253">
      <w:pPr>
        <w:spacing w:line="360" w:lineRule="auto"/>
        <w:ind w:firstLine="560"/>
        <w:rPr>
          <w:rFonts w:ascii="宋体" w:hAnsi="宋体"/>
          <w:sz w:val="24"/>
          <w:szCs w:val="24"/>
          <w:lang w:val="zh-CN"/>
        </w:rPr>
      </w:pPr>
      <w:r>
        <w:rPr>
          <w:rFonts w:hint="eastAsia" w:ascii="宋体" w:hAnsi="宋体"/>
          <w:sz w:val="24"/>
          <w:szCs w:val="24"/>
          <w:lang w:val="zh-CN"/>
        </w:rPr>
        <w:t>1、住建部《建设工程工程量清单计价规范》(GB50500-2013)；</w:t>
      </w:r>
    </w:p>
    <w:p w14:paraId="034A6D8E">
      <w:pPr>
        <w:spacing w:line="360" w:lineRule="auto"/>
        <w:ind w:firstLine="560"/>
        <w:rPr>
          <w:rFonts w:ascii="宋体" w:hAnsi="宋体"/>
          <w:sz w:val="24"/>
          <w:szCs w:val="24"/>
          <w:lang w:val="zh-CN"/>
        </w:rPr>
      </w:pPr>
      <w:r>
        <w:rPr>
          <w:rFonts w:hint="eastAsia" w:ascii="宋体" w:hAnsi="宋体"/>
          <w:sz w:val="24"/>
          <w:szCs w:val="24"/>
          <w:lang w:val="zh-CN"/>
        </w:rPr>
        <w:t>2、《山东省建设工程工程量清单计价规则》（2013）；</w:t>
      </w:r>
    </w:p>
    <w:p w14:paraId="16021123">
      <w:pPr>
        <w:widowControl/>
        <w:autoSpaceDE w:val="0"/>
        <w:autoSpaceDN w:val="0"/>
        <w:spacing w:before="120" w:after="120"/>
        <w:ind w:firstLine="480" w:firstLineChars="200"/>
        <w:textAlignment w:val="bottom"/>
        <w:rPr>
          <w:rFonts w:ascii="宋体" w:hAnsi="宋体"/>
          <w:sz w:val="24"/>
          <w:szCs w:val="24"/>
          <w:lang w:val="zh-CN"/>
        </w:rPr>
      </w:pPr>
      <w:r>
        <w:rPr>
          <w:rFonts w:hint="eastAsia" w:ascii="宋体" w:hAnsi="宋体"/>
          <w:sz w:val="24"/>
          <w:szCs w:val="24"/>
          <w:lang w:val="zh-CN"/>
        </w:rPr>
        <w:t>3、《山东省建设工程费用项目组成及计算规则》鲁建标字【2016】40号文及其配套价目表；</w:t>
      </w:r>
    </w:p>
    <w:p w14:paraId="26EF1805">
      <w:pPr>
        <w:spacing w:line="360" w:lineRule="auto"/>
        <w:ind w:firstLine="560"/>
        <w:rPr>
          <w:rFonts w:ascii="宋体" w:hAnsi="宋体"/>
          <w:sz w:val="24"/>
          <w:szCs w:val="24"/>
          <w:lang w:val="zh-CN"/>
        </w:rPr>
      </w:pPr>
      <w:r>
        <w:rPr>
          <w:rFonts w:hint="eastAsia" w:ascii="宋体" w:hAnsi="宋体"/>
          <w:sz w:val="24"/>
          <w:szCs w:val="24"/>
          <w:lang w:val="zh-CN"/>
        </w:rPr>
        <w:t>4、建设单位提供的图纸、做法及建设单位的相关说明等；</w:t>
      </w:r>
    </w:p>
    <w:p w14:paraId="14CE513B">
      <w:pPr>
        <w:spacing w:line="360" w:lineRule="auto"/>
        <w:ind w:firstLine="560"/>
        <w:rPr>
          <w:rFonts w:ascii="宋体" w:hAnsi="宋体"/>
          <w:sz w:val="24"/>
          <w:szCs w:val="24"/>
          <w:lang w:val="zh-CN"/>
        </w:rPr>
      </w:pPr>
      <w:r>
        <w:rPr>
          <w:rFonts w:hint="eastAsia" w:ascii="宋体" w:hAnsi="宋体"/>
          <w:sz w:val="24"/>
          <w:szCs w:val="24"/>
          <w:lang w:val="zh-CN"/>
        </w:rPr>
        <w:t>5、与建设项目相关的标准设计图集、规范、技术资料等。</w:t>
      </w:r>
    </w:p>
    <w:p w14:paraId="2ABEA6AE">
      <w:pPr>
        <w:spacing w:line="360" w:lineRule="auto"/>
        <w:rPr>
          <w:rFonts w:ascii="Times New Roman" w:hAnsi="Times New Roman" w:eastAsia="Times New Roman"/>
          <w:b/>
          <w:sz w:val="28"/>
          <w:szCs w:val="28"/>
        </w:rPr>
      </w:pPr>
      <w:r>
        <w:rPr>
          <w:rFonts w:hint="eastAsia" w:ascii="宋体" w:hAnsi="宋体"/>
          <w:b/>
          <w:sz w:val="28"/>
          <w:szCs w:val="28"/>
          <w:lang w:val="zh-CN"/>
        </w:rPr>
        <w:t>四、说明事项：</w:t>
      </w:r>
    </w:p>
    <w:p w14:paraId="2EE3FD38">
      <w:pPr>
        <w:spacing w:line="360" w:lineRule="auto"/>
        <w:ind w:firstLine="480" w:firstLineChars="200"/>
        <w:rPr>
          <w:rFonts w:ascii="Times New Roman" w:hAnsi="Times New Roman" w:eastAsia="Times New Roman"/>
          <w:sz w:val="24"/>
          <w:szCs w:val="24"/>
        </w:rPr>
      </w:pPr>
      <w:r>
        <w:rPr>
          <w:rFonts w:hint="eastAsia" w:ascii="宋体" w:hAnsi="宋体"/>
          <w:sz w:val="24"/>
          <w:szCs w:val="24"/>
          <w:lang w:val="zh-CN"/>
        </w:rPr>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1D38EC52">
      <w:pPr>
        <w:spacing w:line="360" w:lineRule="auto"/>
        <w:ind w:firstLine="480" w:firstLineChars="200"/>
        <w:rPr>
          <w:rFonts w:ascii="Times New Roman" w:hAnsi="Times New Roman" w:eastAsia="Times New Roman"/>
          <w:sz w:val="24"/>
          <w:szCs w:val="24"/>
        </w:rPr>
      </w:pPr>
      <w:r>
        <w:rPr>
          <w:rFonts w:hint="eastAsia" w:ascii="宋体" w:hAnsi="宋体"/>
          <w:sz w:val="24"/>
          <w:szCs w:val="24"/>
          <w:lang w:val="zh-CN"/>
        </w:rPr>
        <w:t>2、所有清单综合单价应含其子目的全部工作内容的费用（与图纸和技术要求不一致、特别注明的除外），对不予计量的工作内容，其费用应视为已分摊在综合单价或总价之中。</w:t>
      </w:r>
    </w:p>
    <w:p w14:paraId="293B2F30">
      <w:pPr>
        <w:spacing w:line="360" w:lineRule="auto"/>
        <w:ind w:firstLine="555"/>
        <w:rPr>
          <w:rFonts w:ascii="宋体" w:hAnsi="宋体"/>
          <w:sz w:val="24"/>
          <w:szCs w:val="24"/>
          <w:lang w:val="zh-CN"/>
        </w:rPr>
      </w:pPr>
      <w:r>
        <w:rPr>
          <w:rFonts w:hint="eastAsia" w:ascii="宋体" w:hAnsi="宋体"/>
          <w:sz w:val="24"/>
          <w:szCs w:val="24"/>
          <w:lang w:val="zh-CN"/>
        </w:rPr>
        <w:t>3、投标单位在投标报价时，应根据企业自身实力结合市场信息，充分考虑市场竞争因素和市场风险进行自主报价。</w:t>
      </w:r>
    </w:p>
    <w:p w14:paraId="2E6974FA">
      <w:pPr>
        <w:spacing w:line="360" w:lineRule="auto"/>
        <w:ind w:firstLine="555"/>
        <w:rPr>
          <w:rFonts w:ascii="宋体" w:hAnsi="宋体"/>
          <w:sz w:val="24"/>
          <w:szCs w:val="24"/>
          <w:lang w:val="zh-CN"/>
        </w:rPr>
      </w:pPr>
      <w:r>
        <w:rPr>
          <w:rFonts w:hint="eastAsia" w:ascii="宋体" w:hAnsi="宋体"/>
          <w:sz w:val="24"/>
          <w:szCs w:val="24"/>
          <w:lang w:val="zh-CN"/>
        </w:rPr>
        <w:t>4、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7287D849">
      <w:pPr>
        <w:spacing w:line="360" w:lineRule="auto"/>
        <w:ind w:firstLine="555"/>
        <w:rPr>
          <w:rFonts w:ascii="宋体" w:hAnsi="宋体"/>
          <w:sz w:val="24"/>
          <w:szCs w:val="24"/>
          <w:lang w:val="zh-CN"/>
        </w:rPr>
      </w:pPr>
      <w:r>
        <w:rPr>
          <w:rFonts w:hint="eastAsia" w:ascii="宋体" w:hAnsi="宋体"/>
          <w:sz w:val="24"/>
          <w:szCs w:val="24"/>
          <w:lang w:val="zh-CN"/>
        </w:rPr>
        <w:t>5、投标单位应详细填写工程量清单计价表中的每一项综合单价及合价，如某一项没有填写视为已包括在其它项目清单的综合单价及总价内。</w:t>
      </w:r>
    </w:p>
    <w:p w14:paraId="6BE2442B">
      <w:pPr>
        <w:spacing w:line="360" w:lineRule="auto"/>
        <w:ind w:firstLine="555"/>
        <w:rPr>
          <w:rFonts w:ascii="宋体" w:hAnsi="宋体"/>
          <w:sz w:val="24"/>
          <w:szCs w:val="24"/>
          <w:lang w:val="zh-CN"/>
        </w:rPr>
      </w:pPr>
      <w:r>
        <w:rPr>
          <w:rFonts w:hint="eastAsia" w:ascii="宋体" w:hAnsi="宋体"/>
          <w:sz w:val="24"/>
          <w:szCs w:val="24"/>
          <w:lang w:val="zh-CN"/>
        </w:rPr>
        <w:t>6、投标单位必须完成所有按国家相关法律法规、行业规范等文件要求的检验、检测和验收工作；由此产生的费用投标单位在报价时须予以考虑，结算时不增加此部分费用。</w:t>
      </w:r>
    </w:p>
    <w:p w14:paraId="0D93C362">
      <w:pPr>
        <w:spacing w:line="360" w:lineRule="auto"/>
        <w:ind w:firstLine="555"/>
        <w:rPr>
          <w:rFonts w:ascii="宋体" w:hAnsi="宋体"/>
          <w:sz w:val="24"/>
          <w:szCs w:val="24"/>
          <w:lang w:val="zh-CN"/>
        </w:rPr>
      </w:pPr>
      <w:r>
        <w:rPr>
          <w:rFonts w:hint="eastAsia" w:ascii="宋体" w:hAnsi="宋体"/>
          <w:sz w:val="24"/>
          <w:szCs w:val="24"/>
          <w:lang w:val="zh-CN"/>
        </w:rPr>
        <w:t>7、工程施工中，为保证工程质量，施工单位自行采取的施工工艺、施工措施项目，均由投标单位在报价时自行考虑，结算时不增加此部分费用。</w:t>
      </w:r>
    </w:p>
    <w:p w14:paraId="2847F51F">
      <w:pPr>
        <w:spacing w:line="360" w:lineRule="auto"/>
        <w:ind w:firstLine="555"/>
        <w:rPr>
          <w:rFonts w:ascii="宋体" w:hAnsi="宋体"/>
          <w:sz w:val="24"/>
          <w:szCs w:val="24"/>
          <w:lang w:val="zh-CN"/>
        </w:rPr>
      </w:pPr>
      <w:r>
        <w:rPr>
          <w:rFonts w:hint="eastAsia" w:ascii="宋体" w:hAnsi="宋体"/>
          <w:sz w:val="24"/>
          <w:szCs w:val="24"/>
          <w:lang w:val="zh-CN"/>
        </w:rPr>
        <w:t>8、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149833C2">
      <w:pPr>
        <w:spacing w:line="360" w:lineRule="auto"/>
        <w:ind w:firstLine="560"/>
        <w:rPr>
          <w:rFonts w:ascii="宋体" w:hAnsi="宋体"/>
          <w:sz w:val="24"/>
          <w:szCs w:val="24"/>
          <w:lang w:val="zh-CN"/>
        </w:rPr>
      </w:pPr>
      <w:r>
        <w:rPr>
          <w:rFonts w:hint="eastAsia" w:ascii="宋体" w:hAnsi="宋体"/>
          <w:sz w:val="24"/>
          <w:szCs w:val="24"/>
          <w:lang w:val="zh-CN"/>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4642A997">
      <w:pPr>
        <w:spacing w:line="360" w:lineRule="auto"/>
        <w:ind w:firstLine="480" w:firstLineChars="200"/>
        <w:rPr>
          <w:rFonts w:ascii="宋体" w:hAnsi="宋体"/>
          <w:sz w:val="24"/>
          <w:szCs w:val="24"/>
          <w:lang w:val="zh-CN"/>
        </w:rPr>
      </w:pPr>
      <w:r>
        <w:rPr>
          <w:rFonts w:hint="eastAsia" w:ascii="宋体" w:hAnsi="宋体"/>
          <w:sz w:val="24"/>
          <w:szCs w:val="24"/>
          <w:lang w:val="zh-CN"/>
        </w:rPr>
        <w:t>10、图纸与清单不符的以清单为准，清单未注明的以图纸为准。</w:t>
      </w:r>
    </w:p>
    <w:p w14:paraId="7F4F4162">
      <w:pPr>
        <w:spacing w:line="360" w:lineRule="auto"/>
        <w:ind w:firstLine="480" w:firstLineChars="200"/>
        <w:rPr>
          <w:rFonts w:ascii="宋体" w:hAnsi="宋体"/>
          <w:bCs/>
          <w:sz w:val="24"/>
          <w:szCs w:val="24"/>
          <w:lang w:val="zh-CN"/>
        </w:rPr>
      </w:pPr>
      <w:r>
        <w:rPr>
          <w:rFonts w:hint="eastAsia" w:ascii="宋体" w:hAnsi="宋体"/>
          <w:bCs/>
          <w:sz w:val="24"/>
          <w:szCs w:val="24"/>
          <w:lang w:val="zh-CN"/>
        </w:rPr>
        <w:t>11、清单单价中，应综合考虑施工现场非正常施工因素增加的费用。</w:t>
      </w:r>
    </w:p>
    <w:p w14:paraId="6E096B03">
      <w:pPr>
        <w:spacing w:line="360" w:lineRule="auto"/>
        <w:ind w:firstLine="480" w:firstLineChars="200"/>
        <w:rPr>
          <w:rFonts w:ascii="宋体" w:hAnsi="宋体"/>
          <w:bCs/>
          <w:sz w:val="24"/>
          <w:szCs w:val="24"/>
          <w:lang w:val="zh-CN"/>
        </w:rPr>
      </w:pPr>
      <w:r>
        <w:rPr>
          <w:rFonts w:hint="eastAsia" w:ascii="宋体" w:hAnsi="宋体"/>
          <w:bCs/>
          <w:sz w:val="24"/>
          <w:szCs w:val="24"/>
          <w:lang w:val="en-US" w:eastAsia="zh-CN"/>
        </w:rPr>
        <w:t>12</w:t>
      </w:r>
      <w:r>
        <w:rPr>
          <w:rFonts w:hint="eastAsia" w:ascii="宋体" w:hAnsi="宋体"/>
          <w:bCs/>
          <w:sz w:val="24"/>
          <w:szCs w:val="24"/>
          <w:lang w:val="zh-CN"/>
        </w:rPr>
        <w:t>、</w:t>
      </w:r>
      <w:r>
        <w:rPr>
          <w:rFonts w:ascii="宋体" w:hAnsi="宋体" w:cs="宋体"/>
          <w:sz w:val="24"/>
          <w:szCs w:val="24"/>
        </w:rPr>
        <w:t>本工程用混凝土均按商品砼考虑，砂浆按散装干拌考虑</w:t>
      </w:r>
      <w:r>
        <w:rPr>
          <w:rFonts w:hint="eastAsia" w:ascii="宋体" w:hAnsi="宋体"/>
          <w:bCs/>
          <w:sz w:val="24"/>
          <w:szCs w:val="24"/>
          <w:lang w:val="zh-CN"/>
        </w:rPr>
        <w:t>。</w:t>
      </w:r>
    </w:p>
    <w:p w14:paraId="568B84E2">
      <w:pPr>
        <w:spacing w:line="360" w:lineRule="auto"/>
        <w:ind w:firstLine="480" w:firstLineChars="200"/>
        <w:rPr>
          <w:rFonts w:ascii="宋体" w:hAnsi="宋体"/>
          <w:bCs/>
          <w:sz w:val="24"/>
          <w:szCs w:val="24"/>
          <w:lang w:val="zh-CN"/>
        </w:rPr>
      </w:pPr>
      <w:r>
        <w:rPr>
          <w:rFonts w:hint="eastAsia" w:ascii="宋体" w:hAnsi="宋体"/>
          <w:bCs/>
          <w:sz w:val="24"/>
          <w:szCs w:val="24"/>
          <w:lang w:val="en-US" w:eastAsia="zh-CN"/>
        </w:rPr>
        <w:t>13</w:t>
      </w:r>
      <w:r>
        <w:rPr>
          <w:rFonts w:hint="eastAsia" w:ascii="宋体" w:hAnsi="宋体"/>
          <w:bCs/>
          <w:sz w:val="24"/>
          <w:szCs w:val="24"/>
          <w:lang w:val="zh-CN"/>
        </w:rPr>
        <w:t>、</w:t>
      </w:r>
      <w:r>
        <w:rPr>
          <w:rFonts w:hint="eastAsia" w:ascii="宋体" w:hAnsi="宋体"/>
          <w:sz w:val="24"/>
          <w:szCs w:val="24"/>
          <w:lang w:val="zh-CN"/>
        </w:rPr>
        <w:t>材料搬运、卫生清理、垂直运输等零星费用均由投标单位在报价时自行考虑，</w:t>
      </w:r>
      <w:r>
        <w:rPr>
          <w:rFonts w:hint="eastAsia" w:ascii="宋体" w:hAnsi="宋体"/>
          <w:bCs/>
          <w:sz w:val="24"/>
          <w:szCs w:val="24"/>
          <w:lang w:val="zh-CN"/>
        </w:rPr>
        <w:t>分别包含在各个相应清单的综合单价中，结算时无论何种情况均不调整。</w:t>
      </w:r>
    </w:p>
    <w:p w14:paraId="3AEE9815">
      <w:pPr>
        <w:spacing w:line="360" w:lineRule="auto"/>
        <w:ind w:firstLine="480" w:firstLineChars="200"/>
        <w:rPr>
          <w:rFonts w:ascii="宋体" w:hAnsi="宋体"/>
          <w:bCs/>
          <w:sz w:val="24"/>
          <w:szCs w:val="24"/>
          <w:lang w:val="zh-CN"/>
        </w:rPr>
      </w:pPr>
      <w:r>
        <w:rPr>
          <w:rFonts w:hint="eastAsia" w:ascii="宋体" w:hAnsi="宋体"/>
          <w:bCs/>
          <w:sz w:val="24"/>
          <w:szCs w:val="24"/>
          <w:lang w:val="en-US" w:eastAsia="zh-CN"/>
        </w:rPr>
        <w:t>14</w:t>
      </w:r>
      <w:r>
        <w:rPr>
          <w:rFonts w:hint="eastAsia" w:ascii="宋体" w:hAnsi="宋体"/>
          <w:bCs/>
          <w:sz w:val="24"/>
          <w:szCs w:val="24"/>
          <w:lang w:val="zh-CN"/>
        </w:rPr>
        <w:t>、本工程量清单按增值税一般计税模式编制。</w:t>
      </w:r>
    </w:p>
    <w:p w14:paraId="08C02699">
      <w:pPr>
        <w:spacing w:line="360" w:lineRule="auto"/>
        <w:ind w:firstLine="480" w:firstLineChars="200"/>
        <w:rPr>
          <w:rFonts w:ascii="宋体" w:hAnsi="宋体"/>
          <w:bCs/>
          <w:color w:val="C00000"/>
          <w:sz w:val="24"/>
          <w:szCs w:val="24"/>
          <w:lang w:val="zh-CN"/>
        </w:rPr>
      </w:pPr>
      <w:r>
        <w:rPr>
          <w:rFonts w:hint="eastAsia" w:ascii="宋体" w:hAnsi="宋体"/>
          <w:bCs/>
          <w:color w:val="C00000"/>
          <w:sz w:val="24"/>
          <w:szCs w:val="24"/>
          <w:lang w:val="en-US" w:eastAsia="zh-CN"/>
        </w:rPr>
        <w:t>15</w:t>
      </w:r>
      <w:r>
        <w:rPr>
          <w:rFonts w:hint="eastAsia" w:ascii="宋体" w:hAnsi="宋体"/>
          <w:bCs/>
          <w:color w:val="C00000"/>
          <w:sz w:val="24"/>
          <w:szCs w:val="24"/>
        </w:rPr>
        <w:t>、</w:t>
      </w:r>
      <w:r>
        <w:rPr>
          <w:rFonts w:hint="eastAsia" w:ascii="宋体" w:hAnsi="宋体"/>
          <w:bCs/>
          <w:color w:val="C00000"/>
          <w:sz w:val="24"/>
          <w:szCs w:val="24"/>
          <w:lang w:val="zh-CN"/>
        </w:rPr>
        <w:t>本次招标列有暂列金</w:t>
      </w:r>
      <w:r>
        <w:rPr>
          <w:rFonts w:hint="eastAsia" w:ascii="宋体" w:hAnsi="宋体"/>
          <w:bCs/>
          <w:color w:val="C00000"/>
          <w:sz w:val="24"/>
          <w:szCs w:val="24"/>
          <w:lang w:val="en-US" w:eastAsia="zh-CN"/>
        </w:rPr>
        <w:t>9673.16</w:t>
      </w:r>
      <w:r>
        <w:rPr>
          <w:rFonts w:hint="eastAsia" w:ascii="宋体" w:hAnsi="宋体"/>
          <w:bCs/>
          <w:color w:val="C00000"/>
          <w:sz w:val="24"/>
          <w:szCs w:val="24"/>
          <w:lang w:val="zh-CN"/>
        </w:rPr>
        <w:t>元，投标单位应按照给定的金额正常计取规费税金后计入投标总价中，不能随意删除、改动。</w:t>
      </w:r>
    </w:p>
    <w:p w14:paraId="778F8422">
      <w:pPr>
        <w:ind w:firstLine="560"/>
        <w:jc w:val="left"/>
        <w:rPr>
          <w:rFonts w:ascii="宋体" w:hAnsi="宋体"/>
          <w:color w:val="000000"/>
          <w:kern w:val="0"/>
          <w:sz w:val="24"/>
          <w:szCs w:val="24"/>
          <w:lang w:val="zh-CN"/>
        </w:rPr>
      </w:pPr>
      <w:r>
        <w:rPr>
          <w:rFonts w:hint="eastAsia" w:ascii="宋体" w:hAnsi="宋体"/>
          <w:bCs/>
          <w:sz w:val="24"/>
          <w:szCs w:val="24"/>
          <w:lang w:val="en-US" w:eastAsia="zh-CN"/>
        </w:rPr>
        <w:t>16</w:t>
      </w:r>
      <w:r>
        <w:rPr>
          <w:rFonts w:hint="eastAsia" w:ascii="宋体" w:hAnsi="宋体"/>
          <w:bCs/>
          <w:sz w:val="24"/>
          <w:szCs w:val="24"/>
        </w:rPr>
        <w:t>、</w:t>
      </w:r>
      <w:r>
        <w:rPr>
          <w:rFonts w:hint="eastAsia" w:ascii="宋体" w:hAnsi="宋体"/>
          <w:bCs/>
          <w:sz w:val="24"/>
          <w:szCs w:val="24"/>
          <w:lang w:val="zh-CN"/>
        </w:rPr>
        <w:t>此次清单表格仅供参考，以投标系统自动生成的表格为准。若有疑问按规定提出答疑。</w:t>
      </w:r>
    </w:p>
    <w:p w14:paraId="2602F9CB">
      <w:pPr>
        <w:ind w:firstLine="570"/>
        <w:jc w:val="left"/>
        <w:rPr>
          <w:rFonts w:ascii="宋体" w:hAnsi="宋体"/>
          <w:color w:val="000000"/>
          <w:kern w:val="0"/>
          <w:sz w:val="24"/>
          <w:szCs w:val="24"/>
          <w:highlight w:val="white"/>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U0ZDYxOTY3NzhjOWZiOTk1MjQyOGQ3ZmE0Y2UxMmMifQ=="/>
  </w:docVars>
  <w:rsids>
    <w:rsidRoot w:val="00172A27"/>
    <w:rsid w:val="00031799"/>
    <w:rsid w:val="00044A45"/>
    <w:rsid w:val="000507E3"/>
    <w:rsid w:val="00053565"/>
    <w:rsid w:val="00061E27"/>
    <w:rsid w:val="0006556D"/>
    <w:rsid w:val="00072C81"/>
    <w:rsid w:val="00083897"/>
    <w:rsid w:val="00085B05"/>
    <w:rsid w:val="000D2336"/>
    <w:rsid w:val="000E2E11"/>
    <w:rsid w:val="001079FB"/>
    <w:rsid w:val="001230DA"/>
    <w:rsid w:val="00172A27"/>
    <w:rsid w:val="00197DBC"/>
    <w:rsid w:val="001A152F"/>
    <w:rsid w:val="001B3BA5"/>
    <w:rsid w:val="001C397E"/>
    <w:rsid w:val="00260E09"/>
    <w:rsid w:val="002731E9"/>
    <w:rsid w:val="002751A2"/>
    <w:rsid w:val="00276FAB"/>
    <w:rsid w:val="002A6614"/>
    <w:rsid w:val="002C614E"/>
    <w:rsid w:val="002C7A57"/>
    <w:rsid w:val="002F07CA"/>
    <w:rsid w:val="003065EC"/>
    <w:rsid w:val="00326CD7"/>
    <w:rsid w:val="00331993"/>
    <w:rsid w:val="00384697"/>
    <w:rsid w:val="00391B40"/>
    <w:rsid w:val="003C7170"/>
    <w:rsid w:val="003D2AF7"/>
    <w:rsid w:val="00424297"/>
    <w:rsid w:val="00453531"/>
    <w:rsid w:val="00460718"/>
    <w:rsid w:val="00473573"/>
    <w:rsid w:val="0049078D"/>
    <w:rsid w:val="004B07C8"/>
    <w:rsid w:val="004E5D36"/>
    <w:rsid w:val="00512E67"/>
    <w:rsid w:val="00525982"/>
    <w:rsid w:val="0057597B"/>
    <w:rsid w:val="0058605B"/>
    <w:rsid w:val="005A3F63"/>
    <w:rsid w:val="005B4C64"/>
    <w:rsid w:val="005C10A3"/>
    <w:rsid w:val="005C3D8F"/>
    <w:rsid w:val="006002DA"/>
    <w:rsid w:val="00604569"/>
    <w:rsid w:val="00623760"/>
    <w:rsid w:val="00626BF8"/>
    <w:rsid w:val="00626C50"/>
    <w:rsid w:val="00631818"/>
    <w:rsid w:val="00671460"/>
    <w:rsid w:val="006922D9"/>
    <w:rsid w:val="006B650C"/>
    <w:rsid w:val="006D44E9"/>
    <w:rsid w:val="007437F1"/>
    <w:rsid w:val="00785CE6"/>
    <w:rsid w:val="00790456"/>
    <w:rsid w:val="007A46FF"/>
    <w:rsid w:val="007B3196"/>
    <w:rsid w:val="00803340"/>
    <w:rsid w:val="00850FEE"/>
    <w:rsid w:val="00854ADB"/>
    <w:rsid w:val="00861564"/>
    <w:rsid w:val="00865CFA"/>
    <w:rsid w:val="00866EC0"/>
    <w:rsid w:val="00882158"/>
    <w:rsid w:val="008C6BAD"/>
    <w:rsid w:val="008E73CC"/>
    <w:rsid w:val="00903AA4"/>
    <w:rsid w:val="00906ED0"/>
    <w:rsid w:val="009106CE"/>
    <w:rsid w:val="00916720"/>
    <w:rsid w:val="009B2FB9"/>
    <w:rsid w:val="009E1DB4"/>
    <w:rsid w:val="00A37E1B"/>
    <w:rsid w:val="00A92E48"/>
    <w:rsid w:val="00AA5090"/>
    <w:rsid w:val="00AA5535"/>
    <w:rsid w:val="00AA660B"/>
    <w:rsid w:val="00AE2A6D"/>
    <w:rsid w:val="00AF4131"/>
    <w:rsid w:val="00B061C1"/>
    <w:rsid w:val="00B25271"/>
    <w:rsid w:val="00B50024"/>
    <w:rsid w:val="00B51F2B"/>
    <w:rsid w:val="00B76C94"/>
    <w:rsid w:val="00B862FC"/>
    <w:rsid w:val="00BD3A9D"/>
    <w:rsid w:val="00BE0778"/>
    <w:rsid w:val="00C2705F"/>
    <w:rsid w:val="00C402F2"/>
    <w:rsid w:val="00C44FD9"/>
    <w:rsid w:val="00C656EB"/>
    <w:rsid w:val="00CC0CDB"/>
    <w:rsid w:val="00CE22DE"/>
    <w:rsid w:val="00D2426B"/>
    <w:rsid w:val="00D573A6"/>
    <w:rsid w:val="00D82494"/>
    <w:rsid w:val="00D95E2B"/>
    <w:rsid w:val="00DC0E50"/>
    <w:rsid w:val="00E0102A"/>
    <w:rsid w:val="00E623D5"/>
    <w:rsid w:val="00E84D26"/>
    <w:rsid w:val="00EC168B"/>
    <w:rsid w:val="00ED4D8B"/>
    <w:rsid w:val="00F21430"/>
    <w:rsid w:val="00F62201"/>
    <w:rsid w:val="00F835E5"/>
    <w:rsid w:val="019E6BE9"/>
    <w:rsid w:val="16022F3E"/>
    <w:rsid w:val="17EC5EE1"/>
    <w:rsid w:val="1911069A"/>
    <w:rsid w:val="19FD63F8"/>
    <w:rsid w:val="20307EEF"/>
    <w:rsid w:val="2CC63563"/>
    <w:rsid w:val="35EF3CD1"/>
    <w:rsid w:val="36853E65"/>
    <w:rsid w:val="381043FC"/>
    <w:rsid w:val="3907383C"/>
    <w:rsid w:val="3A8D6FF8"/>
    <w:rsid w:val="44E36B62"/>
    <w:rsid w:val="4500217E"/>
    <w:rsid w:val="46B43DB4"/>
    <w:rsid w:val="48AB4A4C"/>
    <w:rsid w:val="4BE16432"/>
    <w:rsid w:val="4C144C5B"/>
    <w:rsid w:val="4D5E2238"/>
    <w:rsid w:val="4EAC2E6C"/>
    <w:rsid w:val="4EAF33D4"/>
    <w:rsid w:val="561E4AAF"/>
    <w:rsid w:val="56CD1EB0"/>
    <w:rsid w:val="58D30CEA"/>
    <w:rsid w:val="5F081445"/>
    <w:rsid w:val="6639293E"/>
    <w:rsid w:val="704B7BC9"/>
    <w:rsid w:val="713B24EE"/>
    <w:rsid w:val="747050EB"/>
    <w:rsid w:val="7EEE5CB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unhideWhenUsed/>
    <w:qFormat/>
    <w:uiPriority w:val="99"/>
    <w:rPr>
      <w:sz w:val="18"/>
      <w:szCs w:val="18"/>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99"/>
    <w:rPr>
      <w:sz w:val="18"/>
      <w:szCs w:val="18"/>
    </w:rPr>
  </w:style>
  <w:style w:type="character" w:customStyle="1" w:styleId="8">
    <w:name w:val="页脚 Char"/>
    <w:basedOn w:val="6"/>
    <w:link w:val="3"/>
    <w:autoRedefine/>
    <w:qFormat/>
    <w:uiPriority w:val="99"/>
    <w:rPr>
      <w:sz w:val="18"/>
      <w:szCs w:val="18"/>
    </w:rPr>
  </w:style>
  <w:style w:type="character" w:customStyle="1" w:styleId="9">
    <w:name w:val="批注框文本 Char"/>
    <w:basedOn w:val="6"/>
    <w:link w:val="2"/>
    <w:autoRedefine/>
    <w:semiHidden/>
    <w:qFormat/>
    <w:uiPriority w:val="99"/>
    <w:rPr>
      <w:sz w:val="18"/>
      <w:szCs w:val="18"/>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1570</Words>
  <Characters>1611</Characters>
  <Lines>20</Lines>
  <Paragraphs>5</Paragraphs>
  <TotalTime>6</TotalTime>
  <ScaleCrop>false</ScaleCrop>
  <LinksUpToDate>false</LinksUpToDate>
  <CharactersWithSpaces>1611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2019-07-27T09:59:00Z</dcterms:created>
  <dc:creator>Administrator</dc:creator>
  <cp:lastModifiedBy>我是...</cp:lastModifiedBy>
  <cp:lastPrinted>2024-11-26T02:40:11Z</cp:lastPrinted>
  <dcterms:modified xsi:type="dcterms:W3CDTF">2024-11-26T02:40:38Z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67424659320944569A4020179EFD5660</vt:lpwstr>
  </property>
</Properties>
</file>