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B79BCA">
      <w:pPr>
        <w:jc w:val="center"/>
        <w:rPr>
          <w:b/>
          <w:bCs/>
          <w:sz w:val="44"/>
          <w:szCs w:val="44"/>
        </w:rPr>
      </w:pPr>
      <w:r>
        <w:rPr>
          <w:rFonts w:hint="eastAsia" w:ascii="宋体" w:hAnsi="宋体"/>
          <w:b/>
          <w:bCs/>
          <w:sz w:val="44"/>
          <w:szCs w:val="44"/>
          <w:lang w:val="zh-CN"/>
        </w:rPr>
        <w:t>工程清单</w:t>
      </w:r>
      <w:r>
        <w:rPr>
          <w:rFonts w:hint="eastAsia"/>
          <w:b/>
          <w:bCs/>
          <w:sz w:val="44"/>
          <w:szCs w:val="44"/>
        </w:rPr>
        <w:t>编制说明</w:t>
      </w:r>
    </w:p>
    <w:p w14:paraId="11838022">
      <w:pPr>
        <w:spacing w:line="240" w:lineRule="auto"/>
      </w:pPr>
    </w:p>
    <w:p w14:paraId="29771D82">
      <w:pPr>
        <w:numPr>
          <w:ilvl w:val="0"/>
          <w:numId w:val="1"/>
        </w:numPr>
        <w:spacing w:line="360" w:lineRule="auto"/>
        <w:rPr>
          <w:rFonts w:hint="eastAsia" w:ascii="宋体" w:hAnsi="宋体" w:eastAsia="宋体" w:cs="宋体"/>
          <w:b/>
          <w:sz w:val="24"/>
          <w:szCs w:val="24"/>
          <w:lang w:val="zh-CN"/>
        </w:rPr>
      </w:pPr>
      <w:r>
        <w:rPr>
          <w:rFonts w:hint="eastAsia" w:ascii="宋体" w:hAnsi="宋体" w:eastAsia="宋体" w:cs="宋体"/>
          <w:b/>
          <w:sz w:val="24"/>
          <w:szCs w:val="24"/>
          <w:lang w:val="zh-CN"/>
        </w:rPr>
        <w:t>工程概况：</w:t>
      </w:r>
    </w:p>
    <w:p w14:paraId="68B818EF">
      <w:pPr>
        <w:ind w:firstLine="480" w:firstLineChars="200"/>
        <w:jc w:val="both"/>
        <w:rPr>
          <w:rFonts w:hint="eastAsia" w:ascii="宋体" w:hAnsi="宋体" w:eastAsia="宋体" w:cs="宋体"/>
          <w:sz w:val="24"/>
          <w:szCs w:val="24"/>
          <w:lang w:val="zh-CN"/>
        </w:rPr>
      </w:pPr>
      <w:r>
        <w:rPr>
          <w:rFonts w:hint="eastAsia" w:ascii="宋体" w:hAnsi="宋体" w:eastAsia="宋体" w:cs="宋体"/>
          <w:sz w:val="24"/>
          <w:szCs w:val="24"/>
          <w:lang w:val="zh-CN"/>
        </w:rPr>
        <w:t>1、工程名称：</w:t>
      </w:r>
      <w:r>
        <w:rPr>
          <w:rFonts w:hint="eastAsia" w:ascii="宋体" w:hAnsi="宋体" w:cs="宋体"/>
          <w:color w:val="000000"/>
          <w:kern w:val="0"/>
          <w:sz w:val="24"/>
          <w:szCs w:val="24"/>
          <w:u w:val="none"/>
          <w:lang w:val="zh-CN"/>
        </w:rPr>
        <w:t>乳山市乡镇兽医站标准化建设项目</w:t>
      </w:r>
      <w:r>
        <w:rPr>
          <w:rFonts w:hint="eastAsia" w:ascii="宋体" w:hAnsi="宋体" w:cs="宋体"/>
          <w:sz w:val="24"/>
        </w:rPr>
        <w:t xml:space="preserve"> </w:t>
      </w:r>
      <w:r>
        <w:rPr>
          <w:rFonts w:hint="eastAsia" w:ascii="宋体" w:hAnsi="宋体" w:eastAsia="宋体" w:cs="宋体"/>
          <w:b w:val="0"/>
          <w:bCs w:val="0"/>
          <w:sz w:val="24"/>
          <w:szCs w:val="24"/>
          <w:lang w:eastAsia="zh-CN"/>
        </w:rPr>
        <w:t>；</w:t>
      </w:r>
    </w:p>
    <w:p w14:paraId="377AC013">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2、工程位置：</w:t>
      </w:r>
      <w:r>
        <w:rPr>
          <w:rFonts w:hint="eastAsia" w:ascii="宋体" w:hAnsi="宋体" w:cs="宋体"/>
          <w:sz w:val="24"/>
        </w:rPr>
        <w:t>乳山</w:t>
      </w:r>
      <w:r>
        <w:rPr>
          <w:rFonts w:hint="eastAsia" w:ascii="宋体" w:hAnsi="宋体" w:cs="宋体"/>
          <w:sz w:val="24"/>
          <w:lang w:eastAsia="zh-CN"/>
        </w:rPr>
        <w:t>市各乡镇</w:t>
      </w:r>
      <w:r>
        <w:rPr>
          <w:rFonts w:hint="eastAsia" w:ascii="宋体" w:hAnsi="宋体" w:eastAsia="宋体" w:cs="宋体"/>
          <w:sz w:val="24"/>
          <w:szCs w:val="24"/>
          <w:lang w:val="zh-CN"/>
        </w:rPr>
        <w:t>；</w:t>
      </w:r>
    </w:p>
    <w:p w14:paraId="7AB3C1D3">
      <w:pPr>
        <w:spacing w:line="360" w:lineRule="auto"/>
        <w:ind w:firstLine="480" w:firstLineChars="200"/>
        <w:rPr>
          <w:rFonts w:hint="eastAsia" w:ascii="宋体" w:hAnsi="宋体" w:eastAsia="宋体" w:cs="宋体"/>
          <w:sz w:val="24"/>
          <w:lang w:val="zh-CN"/>
        </w:rPr>
      </w:pPr>
      <w:r>
        <w:rPr>
          <w:rFonts w:hint="eastAsia" w:ascii="宋体" w:hAnsi="宋体" w:eastAsia="宋体" w:cs="宋体"/>
          <w:sz w:val="24"/>
          <w:szCs w:val="24"/>
          <w:lang w:val="zh-CN"/>
        </w:rPr>
        <w:t>3、工程内容：各个乡镇兽医站办公楼内外、屋顶装饰装修及室外部分、安装部分改造工程</w:t>
      </w:r>
      <w:r>
        <w:rPr>
          <w:rFonts w:hint="eastAsia" w:ascii="宋体" w:hAnsi="宋体" w:eastAsia="宋体" w:cs="宋体"/>
          <w:sz w:val="24"/>
          <w:lang w:val="zh-CN"/>
        </w:rPr>
        <w:t>。</w:t>
      </w:r>
    </w:p>
    <w:p w14:paraId="33345EBE">
      <w:pPr>
        <w:spacing w:line="360" w:lineRule="auto"/>
        <w:ind w:firstLine="560"/>
        <w:rPr>
          <w:rFonts w:hint="eastAsia" w:ascii="宋体" w:hAnsi="宋体" w:eastAsia="宋体" w:cs="宋体"/>
          <w:sz w:val="24"/>
          <w:szCs w:val="24"/>
          <w:lang w:val="zh-CN"/>
        </w:rPr>
      </w:pPr>
      <w:r>
        <w:rPr>
          <w:rFonts w:hint="eastAsia" w:ascii="宋体" w:hAnsi="宋体" w:eastAsia="宋体" w:cs="宋体"/>
          <w:sz w:val="24"/>
          <w:szCs w:val="24"/>
          <w:lang w:val="zh-CN"/>
        </w:rPr>
        <w:t>具体内容见设计资料。</w:t>
      </w:r>
    </w:p>
    <w:p w14:paraId="73F3F2D9">
      <w:pPr>
        <w:numPr>
          <w:ilvl w:val="0"/>
          <w:numId w:val="1"/>
        </w:numPr>
        <w:spacing w:line="360" w:lineRule="auto"/>
        <w:ind w:left="0" w:leftChars="0" w:firstLine="0" w:firstLineChars="0"/>
        <w:rPr>
          <w:rFonts w:hint="eastAsia" w:ascii="宋体" w:hAnsi="宋体" w:eastAsia="宋体" w:cs="宋体"/>
          <w:b/>
          <w:sz w:val="24"/>
          <w:szCs w:val="24"/>
          <w:lang w:val="zh-CN"/>
        </w:rPr>
      </w:pPr>
      <w:r>
        <w:rPr>
          <w:rFonts w:hint="eastAsia" w:ascii="宋体" w:hAnsi="宋体" w:eastAsia="宋体" w:cs="宋体"/>
          <w:b/>
          <w:sz w:val="24"/>
          <w:szCs w:val="24"/>
          <w:lang w:val="zh-CN"/>
        </w:rPr>
        <w:t>编制范围：</w:t>
      </w:r>
    </w:p>
    <w:p w14:paraId="6831E8C6">
      <w:pPr>
        <w:numPr>
          <w:ilvl w:val="0"/>
          <w:numId w:val="0"/>
        </w:numPr>
        <w:spacing w:line="360" w:lineRule="auto"/>
        <w:ind w:leftChars="0"/>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 xml:space="preserve">    </w:t>
      </w:r>
      <w:r>
        <w:rPr>
          <w:rFonts w:hint="eastAsia" w:ascii="宋体" w:hAnsi="宋体" w:eastAsia="宋体" w:cs="宋体"/>
          <w:b w:val="0"/>
          <w:bCs w:val="0"/>
          <w:sz w:val="24"/>
          <w:szCs w:val="24"/>
          <w:lang w:eastAsia="zh-CN"/>
        </w:rPr>
        <w:t>甲方现场指定的整修范围的全部内容，详见工程量清单。</w:t>
      </w:r>
    </w:p>
    <w:p w14:paraId="769C269A">
      <w:pPr>
        <w:spacing w:line="360" w:lineRule="auto"/>
        <w:rPr>
          <w:rFonts w:hint="eastAsia" w:ascii="宋体" w:hAnsi="宋体" w:eastAsia="宋体" w:cs="宋体"/>
          <w:b/>
          <w:sz w:val="24"/>
          <w:szCs w:val="24"/>
        </w:rPr>
      </w:pPr>
      <w:r>
        <w:rPr>
          <w:rFonts w:hint="eastAsia" w:ascii="宋体" w:hAnsi="宋体" w:eastAsia="宋体" w:cs="宋体"/>
          <w:b/>
          <w:sz w:val="24"/>
          <w:szCs w:val="24"/>
          <w:lang w:val="zh-CN"/>
        </w:rPr>
        <w:t>三、编制依据：</w:t>
      </w:r>
    </w:p>
    <w:p w14:paraId="6ABFEA72">
      <w:pPr>
        <w:spacing w:line="360" w:lineRule="auto"/>
        <w:ind w:firstLine="560"/>
        <w:rPr>
          <w:rFonts w:hint="eastAsia" w:ascii="宋体" w:hAnsi="宋体" w:eastAsia="宋体" w:cs="宋体"/>
          <w:sz w:val="24"/>
          <w:szCs w:val="24"/>
          <w:lang w:val="zh-CN"/>
        </w:rPr>
      </w:pPr>
      <w:r>
        <w:rPr>
          <w:rFonts w:hint="eastAsia" w:ascii="宋体" w:hAnsi="宋体" w:eastAsia="宋体" w:cs="宋体"/>
          <w:sz w:val="24"/>
          <w:szCs w:val="24"/>
          <w:lang w:val="zh-CN"/>
        </w:rPr>
        <w:t>1、建设部《建设工程工程量清单计价规范》(GB50500-2013)；</w:t>
      </w:r>
    </w:p>
    <w:p w14:paraId="1FE7367A">
      <w:pPr>
        <w:spacing w:line="360" w:lineRule="auto"/>
        <w:ind w:firstLine="560"/>
        <w:rPr>
          <w:rFonts w:hint="eastAsia" w:ascii="宋体" w:hAnsi="宋体" w:eastAsia="宋体" w:cs="宋体"/>
          <w:sz w:val="24"/>
          <w:szCs w:val="24"/>
          <w:lang w:val="zh-CN"/>
        </w:rPr>
      </w:pPr>
      <w:r>
        <w:rPr>
          <w:rFonts w:hint="eastAsia" w:ascii="宋体" w:hAnsi="宋体" w:eastAsia="宋体" w:cs="宋体"/>
          <w:sz w:val="24"/>
          <w:szCs w:val="24"/>
          <w:lang w:val="zh-CN"/>
        </w:rPr>
        <w:t>2、《山东省建设工程工程量清单计价规则》（2013）；</w:t>
      </w:r>
    </w:p>
    <w:p w14:paraId="7E91A949">
      <w:pPr>
        <w:spacing w:line="360" w:lineRule="auto"/>
        <w:ind w:firstLine="560"/>
        <w:rPr>
          <w:rFonts w:hint="eastAsia" w:ascii="宋体" w:hAnsi="宋体" w:eastAsia="宋体" w:cs="宋体"/>
          <w:sz w:val="24"/>
          <w:szCs w:val="24"/>
          <w:lang w:val="zh-CN"/>
        </w:rPr>
      </w:pPr>
      <w:r>
        <w:rPr>
          <w:rFonts w:hint="eastAsia" w:ascii="宋体" w:hAnsi="宋体" w:eastAsia="宋体" w:cs="宋体"/>
          <w:sz w:val="24"/>
          <w:szCs w:val="24"/>
          <w:lang w:val="en-US" w:eastAsia="zh-CN"/>
        </w:rPr>
        <w:t>3</w:t>
      </w:r>
      <w:r>
        <w:rPr>
          <w:rFonts w:hint="eastAsia" w:ascii="宋体" w:hAnsi="宋体" w:eastAsia="宋体" w:cs="宋体"/>
          <w:sz w:val="24"/>
          <w:szCs w:val="24"/>
          <w:lang w:val="zh-CN"/>
        </w:rPr>
        <w:t>、《山东省建设工程费用项目组成及计算规则》；</w:t>
      </w:r>
    </w:p>
    <w:p w14:paraId="6FF81F59">
      <w:pPr>
        <w:spacing w:line="360" w:lineRule="auto"/>
        <w:ind w:firstLine="560"/>
        <w:rPr>
          <w:rFonts w:hint="eastAsia" w:ascii="宋体" w:hAnsi="宋体" w:eastAsia="宋体" w:cs="宋体"/>
          <w:sz w:val="24"/>
          <w:szCs w:val="24"/>
          <w:lang w:val="zh-CN"/>
        </w:rPr>
      </w:pPr>
      <w:r>
        <w:rPr>
          <w:rFonts w:hint="eastAsia" w:ascii="宋体" w:hAnsi="宋体" w:eastAsia="宋体" w:cs="宋体"/>
          <w:sz w:val="24"/>
          <w:szCs w:val="24"/>
          <w:lang w:val="en-US" w:eastAsia="zh-CN"/>
        </w:rPr>
        <w:t>4</w:t>
      </w:r>
      <w:r>
        <w:rPr>
          <w:rFonts w:hint="eastAsia" w:ascii="宋体" w:hAnsi="宋体" w:eastAsia="宋体" w:cs="宋体"/>
          <w:sz w:val="24"/>
          <w:szCs w:val="24"/>
          <w:lang w:val="zh-CN"/>
        </w:rPr>
        <w:t>、建设单位提供的图纸、做法、及相关说明等；</w:t>
      </w:r>
    </w:p>
    <w:p w14:paraId="42FF581C">
      <w:pPr>
        <w:spacing w:line="360" w:lineRule="auto"/>
        <w:ind w:firstLine="560"/>
        <w:rPr>
          <w:rFonts w:hint="eastAsia" w:ascii="宋体" w:hAnsi="宋体" w:eastAsia="宋体" w:cs="宋体"/>
          <w:sz w:val="24"/>
          <w:szCs w:val="24"/>
          <w:lang w:val="zh-CN"/>
        </w:rPr>
      </w:pPr>
      <w:r>
        <w:rPr>
          <w:rFonts w:hint="eastAsia" w:ascii="宋体" w:hAnsi="宋体" w:eastAsia="宋体" w:cs="宋体"/>
          <w:sz w:val="24"/>
          <w:szCs w:val="24"/>
          <w:lang w:val="en-US" w:eastAsia="zh-CN"/>
        </w:rPr>
        <w:t>5</w:t>
      </w:r>
      <w:r>
        <w:rPr>
          <w:rFonts w:hint="eastAsia" w:ascii="宋体" w:hAnsi="宋体" w:eastAsia="宋体" w:cs="宋体"/>
          <w:sz w:val="24"/>
          <w:szCs w:val="24"/>
          <w:lang w:val="zh-CN"/>
        </w:rPr>
        <w:t>、与建设项目相关的标准设计图集、规范、技术资料等。</w:t>
      </w:r>
    </w:p>
    <w:p w14:paraId="47962E9B">
      <w:pPr>
        <w:spacing w:line="360" w:lineRule="auto"/>
        <w:rPr>
          <w:rFonts w:hint="eastAsia" w:ascii="宋体" w:hAnsi="宋体" w:eastAsia="宋体" w:cs="宋体"/>
          <w:b/>
          <w:sz w:val="24"/>
          <w:szCs w:val="24"/>
        </w:rPr>
      </w:pPr>
      <w:r>
        <w:rPr>
          <w:rFonts w:hint="eastAsia" w:ascii="宋体" w:hAnsi="宋体" w:eastAsia="宋体" w:cs="宋体"/>
          <w:b/>
          <w:sz w:val="24"/>
          <w:szCs w:val="24"/>
          <w:lang w:val="zh-CN"/>
        </w:rPr>
        <w:t>四、说明事项：</w:t>
      </w:r>
    </w:p>
    <w:p w14:paraId="3B0CCFF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1、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14:paraId="002D1A9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2、所有清单综合单价应含其子目的全部工作内容的费用（与图纸和技术要求不一致、特别注明的除外），对不予计量的工作内容，其费用应视为已分摊在综合单价或总价之中。</w:t>
      </w:r>
    </w:p>
    <w:p w14:paraId="31D66258">
      <w:pPr>
        <w:spacing w:line="360" w:lineRule="auto"/>
        <w:ind w:firstLine="555"/>
        <w:rPr>
          <w:rFonts w:hint="eastAsia" w:ascii="宋体" w:hAnsi="宋体" w:eastAsia="宋体" w:cs="宋体"/>
          <w:sz w:val="24"/>
          <w:szCs w:val="24"/>
          <w:lang w:val="zh-CN"/>
        </w:rPr>
      </w:pPr>
      <w:r>
        <w:rPr>
          <w:rFonts w:hint="eastAsia" w:ascii="宋体" w:hAnsi="宋体" w:eastAsia="宋体" w:cs="宋体"/>
          <w:sz w:val="24"/>
          <w:szCs w:val="24"/>
          <w:lang w:val="zh-CN"/>
        </w:rPr>
        <w:t>3、投标单位在投标报价时，应根据企业自身实力结合市场信息，充分考虑市场竞争因素和市场风险进行自主报价。</w:t>
      </w:r>
    </w:p>
    <w:p w14:paraId="5C7895EF">
      <w:pPr>
        <w:spacing w:line="360" w:lineRule="auto"/>
        <w:ind w:firstLine="555"/>
        <w:rPr>
          <w:rFonts w:hint="eastAsia" w:ascii="宋体" w:hAnsi="宋体" w:eastAsia="宋体" w:cs="宋体"/>
          <w:sz w:val="24"/>
          <w:szCs w:val="24"/>
          <w:lang w:val="zh-CN"/>
        </w:rPr>
      </w:pPr>
      <w:r>
        <w:rPr>
          <w:rFonts w:hint="eastAsia" w:ascii="宋体" w:hAnsi="宋体" w:eastAsia="宋体" w:cs="宋体"/>
          <w:sz w:val="24"/>
          <w:szCs w:val="24"/>
          <w:lang w:val="zh-CN"/>
        </w:rPr>
        <w:t>4、工程量清单计价表中的综合单价应包括完成本项目（清单子目）内容所需的人工费、材料费、机械使用费、制作费、运输费、安装费、管理费、利润、自主报价材料的采保费、损耗等，并考虑风险因素，以及为完成本工程项目（清单子目）的施工所发生于该工程施工前和施工过程中技术、生活、安全等方面的非工程实体项目费用，以及招标文件和合同中明确的其他责任和义务。</w:t>
      </w:r>
    </w:p>
    <w:p w14:paraId="5EDE2AD0">
      <w:pPr>
        <w:spacing w:line="360" w:lineRule="auto"/>
        <w:ind w:firstLine="555"/>
        <w:rPr>
          <w:rFonts w:hint="eastAsia" w:ascii="宋体" w:hAnsi="宋体" w:eastAsia="宋体" w:cs="宋体"/>
          <w:sz w:val="24"/>
          <w:szCs w:val="24"/>
          <w:lang w:val="zh-CN"/>
        </w:rPr>
      </w:pPr>
      <w:r>
        <w:rPr>
          <w:rFonts w:hint="eastAsia" w:ascii="宋体" w:hAnsi="宋体" w:eastAsia="宋体" w:cs="宋体"/>
          <w:sz w:val="24"/>
          <w:szCs w:val="24"/>
          <w:lang w:val="zh-CN"/>
        </w:rPr>
        <w:t>5、投标单位应详细填写工程量清单计价表中的每一项综合单价及合价，如某一项没有填写视为已包括在其它项目清单的综合单价及总价内。</w:t>
      </w:r>
    </w:p>
    <w:p w14:paraId="26AAC783">
      <w:pPr>
        <w:spacing w:line="360" w:lineRule="auto"/>
        <w:ind w:firstLine="555"/>
        <w:rPr>
          <w:rFonts w:hint="eastAsia" w:ascii="宋体" w:hAnsi="宋体" w:eastAsia="宋体" w:cs="宋体"/>
          <w:sz w:val="24"/>
          <w:szCs w:val="24"/>
          <w:lang w:val="zh-CN"/>
        </w:rPr>
      </w:pPr>
      <w:r>
        <w:rPr>
          <w:rFonts w:hint="eastAsia" w:ascii="宋体" w:hAnsi="宋体" w:eastAsia="宋体" w:cs="宋体"/>
          <w:sz w:val="24"/>
          <w:szCs w:val="24"/>
          <w:lang w:val="zh-CN"/>
        </w:rPr>
        <w:t>6、投标单位必须完成所有按国家相关法律法规、行业规范等文件要求的检验、检测和验收工作；由此产生的费用投标单位在报价时须予以考虑，结算时不增加此部分费用。</w:t>
      </w:r>
    </w:p>
    <w:p w14:paraId="0420F8A1">
      <w:pPr>
        <w:spacing w:line="360" w:lineRule="auto"/>
        <w:ind w:firstLine="555"/>
        <w:rPr>
          <w:rFonts w:hint="eastAsia" w:ascii="宋体" w:hAnsi="宋体" w:eastAsia="宋体" w:cs="宋体"/>
          <w:sz w:val="24"/>
          <w:szCs w:val="24"/>
          <w:lang w:val="zh-CN"/>
        </w:rPr>
      </w:pPr>
      <w:r>
        <w:rPr>
          <w:rFonts w:hint="eastAsia" w:ascii="宋体" w:hAnsi="宋体" w:eastAsia="宋体" w:cs="宋体"/>
          <w:sz w:val="24"/>
          <w:szCs w:val="24"/>
          <w:lang w:val="zh-CN"/>
        </w:rPr>
        <w:t>7、工程施工中，为保证工程质量，施工单位自行采取的施工工艺、施工措施项目，均由投标单位在报价时自行考虑，结算时不增加此部分费用。</w:t>
      </w:r>
    </w:p>
    <w:p w14:paraId="1AEA2181">
      <w:pPr>
        <w:spacing w:line="360" w:lineRule="auto"/>
        <w:ind w:firstLine="555"/>
        <w:rPr>
          <w:rFonts w:hint="eastAsia" w:ascii="宋体" w:hAnsi="宋体" w:eastAsia="宋体" w:cs="宋体"/>
          <w:sz w:val="24"/>
          <w:szCs w:val="24"/>
          <w:lang w:val="zh-CN"/>
        </w:rPr>
      </w:pPr>
      <w:r>
        <w:rPr>
          <w:rFonts w:hint="eastAsia" w:ascii="宋体" w:hAnsi="宋体" w:eastAsia="宋体" w:cs="宋体"/>
          <w:sz w:val="24"/>
          <w:szCs w:val="24"/>
          <w:lang w:val="zh-CN"/>
        </w:rPr>
        <w:t>8、所有材料均应选用符合国标的产品，在投标文件中注明选用材料的品牌，所有由投标单位自主报价的材料，采购前中标单位均须提供样品，经招标人同意后方可使用；若中标单位提供的样品不符合招标文件的质量档次要求，招标人有权指定供应商，一切费用由中标单位承担。</w:t>
      </w:r>
    </w:p>
    <w:p w14:paraId="0088846A">
      <w:pPr>
        <w:spacing w:line="360" w:lineRule="auto"/>
        <w:ind w:firstLine="560"/>
        <w:rPr>
          <w:rFonts w:hint="eastAsia" w:ascii="宋体" w:hAnsi="宋体" w:eastAsia="宋体" w:cs="宋体"/>
          <w:sz w:val="24"/>
          <w:szCs w:val="24"/>
          <w:lang w:val="zh-CN"/>
        </w:rPr>
      </w:pPr>
      <w:r>
        <w:rPr>
          <w:rFonts w:hint="eastAsia" w:ascii="宋体" w:hAnsi="宋体" w:eastAsia="宋体" w:cs="宋体"/>
          <w:sz w:val="24"/>
          <w:szCs w:val="24"/>
          <w:lang w:val="zh-CN"/>
        </w:rPr>
        <w:t>9、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6215A1A7">
      <w:pPr>
        <w:spacing w:line="360" w:lineRule="auto"/>
        <w:ind w:firstLine="480" w:firstLineChars="200"/>
        <w:rPr>
          <w:rFonts w:hint="eastAsia" w:ascii="宋体" w:hAnsi="宋体" w:eastAsia="宋体" w:cs="宋体"/>
          <w:bCs/>
          <w:sz w:val="24"/>
          <w:szCs w:val="24"/>
          <w:lang w:val="zh-CN"/>
        </w:rPr>
      </w:pPr>
      <w:r>
        <w:rPr>
          <w:rFonts w:hint="eastAsia" w:ascii="宋体" w:hAnsi="宋体" w:eastAsia="宋体" w:cs="宋体"/>
          <w:sz w:val="24"/>
          <w:szCs w:val="24"/>
          <w:lang w:val="zh-CN"/>
        </w:rPr>
        <w:t>10、</w:t>
      </w:r>
      <w:r>
        <w:rPr>
          <w:rFonts w:hint="eastAsia" w:ascii="宋体" w:hAnsi="宋体" w:eastAsia="宋体" w:cs="宋体"/>
          <w:bCs/>
          <w:sz w:val="24"/>
          <w:szCs w:val="24"/>
          <w:lang w:val="zh-CN"/>
        </w:rPr>
        <w:t>、清单单价中，应综合考虑施工现场非正常施工因素增加的费用。</w:t>
      </w:r>
    </w:p>
    <w:p w14:paraId="07720399">
      <w:pPr>
        <w:spacing w:line="360" w:lineRule="auto"/>
        <w:ind w:firstLine="480" w:firstLineChars="200"/>
        <w:rPr>
          <w:rFonts w:hint="eastAsia" w:ascii="宋体" w:hAnsi="宋体" w:eastAsia="宋体" w:cs="宋体"/>
          <w:bCs/>
          <w:sz w:val="24"/>
          <w:szCs w:val="24"/>
          <w:lang w:val="zh-CN"/>
        </w:rPr>
      </w:pPr>
      <w:r>
        <w:rPr>
          <w:rFonts w:hint="eastAsia" w:ascii="宋体" w:hAnsi="宋体" w:eastAsia="宋体" w:cs="宋体"/>
          <w:bCs/>
          <w:sz w:val="24"/>
          <w:szCs w:val="24"/>
          <w:lang w:val="en-US" w:eastAsia="zh-CN"/>
        </w:rPr>
        <w:t>11</w:t>
      </w:r>
      <w:r>
        <w:rPr>
          <w:rFonts w:hint="eastAsia" w:ascii="宋体" w:hAnsi="宋体" w:eastAsia="宋体" w:cs="宋体"/>
          <w:bCs/>
          <w:sz w:val="24"/>
          <w:szCs w:val="24"/>
          <w:lang w:val="zh-CN"/>
        </w:rPr>
        <w:t>、</w:t>
      </w:r>
      <w:r>
        <w:rPr>
          <w:rFonts w:hint="eastAsia" w:ascii="宋体" w:hAnsi="宋体" w:eastAsia="宋体" w:cs="宋体"/>
          <w:sz w:val="24"/>
          <w:szCs w:val="24"/>
          <w:lang w:val="zh-CN"/>
        </w:rPr>
        <w:t>材料搬运、卫生清理、垂直运输及脚手架</w:t>
      </w:r>
      <w:bookmarkStart w:id="0" w:name="_GoBack"/>
      <w:bookmarkEnd w:id="0"/>
      <w:r>
        <w:rPr>
          <w:rFonts w:hint="eastAsia" w:ascii="宋体" w:hAnsi="宋体" w:eastAsia="宋体" w:cs="宋体"/>
          <w:sz w:val="24"/>
          <w:szCs w:val="24"/>
          <w:lang w:val="zh-CN"/>
        </w:rPr>
        <w:t>等零星费用均由投标单位在报价时自行考虑，</w:t>
      </w:r>
      <w:r>
        <w:rPr>
          <w:rFonts w:hint="eastAsia" w:ascii="宋体" w:hAnsi="宋体" w:eastAsia="宋体" w:cs="宋体"/>
          <w:bCs/>
          <w:sz w:val="24"/>
          <w:szCs w:val="24"/>
          <w:lang w:val="zh-CN"/>
        </w:rPr>
        <w:t>分别包含在各个相应清单的综合单价中，结算时无论何种情况均不调整。</w:t>
      </w:r>
    </w:p>
    <w:p w14:paraId="5B60A41F">
      <w:pPr>
        <w:spacing w:line="360" w:lineRule="auto"/>
        <w:ind w:firstLine="480" w:firstLineChars="200"/>
        <w:rPr>
          <w:rFonts w:hint="eastAsia" w:ascii="宋体" w:hAnsi="宋体" w:eastAsia="宋体" w:cs="宋体"/>
          <w:bCs/>
          <w:sz w:val="24"/>
          <w:szCs w:val="24"/>
          <w:lang w:val="zh-CN"/>
        </w:rPr>
      </w:pPr>
      <w:r>
        <w:rPr>
          <w:rFonts w:hint="eastAsia" w:ascii="宋体" w:hAnsi="宋体" w:eastAsia="宋体" w:cs="宋体"/>
          <w:bCs/>
          <w:sz w:val="24"/>
          <w:szCs w:val="24"/>
          <w:lang w:val="en-US" w:eastAsia="zh-CN"/>
        </w:rPr>
        <w:t>12</w:t>
      </w:r>
      <w:r>
        <w:rPr>
          <w:rFonts w:hint="eastAsia" w:ascii="宋体" w:hAnsi="宋体" w:eastAsia="宋体" w:cs="宋体"/>
          <w:bCs/>
          <w:sz w:val="24"/>
          <w:szCs w:val="24"/>
          <w:lang w:val="zh-CN"/>
        </w:rPr>
        <w:t>、本工程量清单按增值税一般计税模式编制。</w:t>
      </w:r>
    </w:p>
    <w:p w14:paraId="53A39CA1">
      <w:pPr>
        <w:spacing w:line="360" w:lineRule="auto"/>
        <w:ind w:firstLine="480" w:firstLineChars="200"/>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13、</w:t>
      </w:r>
      <w:r>
        <w:rPr>
          <w:rFonts w:hint="eastAsia" w:ascii="宋体" w:hAnsi="宋体" w:cs="宋体"/>
          <w:color w:val="000000"/>
          <w:sz w:val="24"/>
        </w:rPr>
        <w:t>本工程控制价含暂列</w:t>
      </w:r>
      <w:r>
        <w:rPr>
          <w:rFonts w:hint="eastAsia" w:ascii="宋体" w:hAnsi="宋体" w:cs="宋体"/>
          <w:sz w:val="24"/>
        </w:rPr>
        <w:t>金</w:t>
      </w:r>
      <w:r>
        <w:rPr>
          <w:rFonts w:hint="eastAsia" w:ascii="宋体" w:hAnsi="宋体" w:cs="宋体"/>
          <w:sz w:val="24"/>
          <w:lang w:val="en-US" w:eastAsia="zh-CN"/>
        </w:rPr>
        <w:t>26520.68元</w:t>
      </w:r>
      <w:r>
        <w:rPr>
          <w:rFonts w:hint="eastAsia" w:ascii="宋体" w:hAnsi="宋体" w:cs="宋体"/>
          <w:sz w:val="24"/>
          <w:lang w:eastAsia="zh-CN"/>
        </w:rPr>
        <w:t>。</w:t>
      </w:r>
    </w:p>
    <w:p w14:paraId="6ABB92A1">
      <w:pPr>
        <w:ind w:firstLine="480" w:firstLineChars="200"/>
        <w:jc w:val="left"/>
        <w:rPr>
          <w:rFonts w:hint="eastAsia" w:ascii="宋体" w:hAnsi="宋体" w:eastAsia="宋体" w:cs="宋体"/>
          <w:color w:val="000000"/>
          <w:kern w:val="0"/>
          <w:sz w:val="24"/>
          <w:szCs w:val="24"/>
          <w:highlight w:val="white"/>
          <w:lang w:val="zh-CN"/>
        </w:rPr>
      </w:pPr>
      <w:r>
        <w:rPr>
          <w:rFonts w:hint="eastAsia" w:ascii="宋体" w:hAnsi="宋体"/>
          <w:bCs/>
          <w:sz w:val="24"/>
          <w:szCs w:val="24"/>
          <w:lang w:val="en-US" w:eastAsia="zh-CN"/>
        </w:rPr>
        <w:t>14</w:t>
      </w:r>
      <w:r>
        <w:rPr>
          <w:rFonts w:hint="eastAsia" w:ascii="宋体" w:hAnsi="宋体"/>
          <w:bCs/>
          <w:sz w:val="24"/>
          <w:szCs w:val="24"/>
        </w:rPr>
        <w:t>、</w:t>
      </w:r>
      <w:r>
        <w:rPr>
          <w:rFonts w:hint="eastAsia" w:ascii="宋体" w:hAnsi="宋体"/>
          <w:bCs/>
          <w:sz w:val="24"/>
          <w:szCs w:val="24"/>
          <w:lang w:val="zh-CN"/>
        </w:rPr>
        <w:t>此次清单表格仅供参考，以投标系统自动生成的表格为准。若有疑问按规定提出答疑。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84B856"/>
    <w:multiLevelType w:val="singleLevel"/>
    <w:tmpl w:val="A984B85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E0ZmYzMWY5NTBjZTYyMTRlYWZjOTQzOWY2YzdhMGQifQ=="/>
  </w:docVars>
  <w:rsids>
    <w:rsidRoot w:val="00172A27"/>
    <w:rsid w:val="00031799"/>
    <w:rsid w:val="00044A45"/>
    <w:rsid w:val="000507E3"/>
    <w:rsid w:val="00053565"/>
    <w:rsid w:val="00061E27"/>
    <w:rsid w:val="0006556D"/>
    <w:rsid w:val="00072C81"/>
    <w:rsid w:val="00083897"/>
    <w:rsid w:val="00085B05"/>
    <w:rsid w:val="000D2336"/>
    <w:rsid w:val="000E2E11"/>
    <w:rsid w:val="001079FB"/>
    <w:rsid w:val="001230DA"/>
    <w:rsid w:val="00172A27"/>
    <w:rsid w:val="00197DBC"/>
    <w:rsid w:val="001A152F"/>
    <w:rsid w:val="001B3BA5"/>
    <w:rsid w:val="001C397E"/>
    <w:rsid w:val="00260E09"/>
    <w:rsid w:val="002731E9"/>
    <w:rsid w:val="002751A2"/>
    <w:rsid w:val="00276FAB"/>
    <w:rsid w:val="002A6614"/>
    <w:rsid w:val="002C614E"/>
    <w:rsid w:val="002C7A57"/>
    <w:rsid w:val="002F07CA"/>
    <w:rsid w:val="003065EC"/>
    <w:rsid w:val="00326CD7"/>
    <w:rsid w:val="00331993"/>
    <w:rsid w:val="00384697"/>
    <w:rsid w:val="00391B40"/>
    <w:rsid w:val="003C7170"/>
    <w:rsid w:val="003D2AF7"/>
    <w:rsid w:val="00424297"/>
    <w:rsid w:val="00453531"/>
    <w:rsid w:val="00460718"/>
    <w:rsid w:val="00473573"/>
    <w:rsid w:val="0049078D"/>
    <w:rsid w:val="004B07C8"/>
    <w:rsid w:val="004E5D36"/>
    <w:rsid w:val="00512E67"/>
    <w:rsid w:val="00525982"/>
    <w:rsid w:val="0057597B"/>
    <w:rsid w:val="0058605B"/>
    <w:rsid w:val="005A3F63"/>
    <w:rsid w:val="005B4C64"/>
    <w:rsid w:val="005C10A3"/>
    <w:rsid w:val="005C3D8F"/>
    <w:rsid w:val="006002DA"/>
    <w:rsid w:val="00604569"/>
    <w:rsid w:val="00623760"/>
    <w:rsid w:val="00626BF8"/>
    <w:rsid w:val="00626C50"/>
    <w:rsid w:val="00631818"/>
    <w:rsid w:val="00671460"/>
    <w:rsid w:val="006922D9"/>
    <w:rsid w:val="006B650C"/>
    <w:rsid w:val="006D44E9"/>
    <w:rsid w:val="007437F1"/>
    <w:rsid w:val="00785CE6"/>
    <w:rsid w:val="00790456"/>
    <w:rsid w:val="007A46FF"/>
    <w:rsid w:val="007B3196"/>
    <w:rsid w:val="00803340"/>
    <w:rsid w:val="00850FEE"/>
    <w:rsid w:val="00854ADB"/>
    <w:rsid w:val="00861564"/>
    <w:rsid w:val="00865CFA"/>
    <w:rsid w:val="00866EC0"/>
    <w:rsid w:val="00882158"/>
    <w:rsid w:val="008C6BAD"/>
    <w:rsid w:val="008E73CC"/>
    <w:rsid w:val="00903AA4"/>
    <w:rsid w:val="00906ED0"/>
    <w:rsid w:val="009106CE"/>
    <w:rsid w:val="00916720"/>
    <w:rsid w:val="009B2FB9"/>
    <w:rsid w:val="009E1DB4"/>
    <w:rsid w:val="00A37E1B"/>
    <w:rsid w:val="00A92E48"/>
    <w:rsid w:val="00AA5090"/>
    <w:rsid w:val="00AA5535"/>
    <w:rsid w:val="00AA660B"/>
    <w:rsid w:val="00AE2A6D"/>
    <w:rsid w:val="00AF4131"/>
    <w:rsid w:val="00B061C1"/>
    <w:rsid w:val="00B25271"/>
    <w:rsid w:val="00B50024"/>
    <w:rsid w:val="00B51F2B"/>
    <w:rsid w:val="00B76C94"/>
    <w:rsid w:val="00B862FC"/>
    <w:rsid w:val="00BD3A9D"/>
    <w:rsid w:val="00BE0778"/>
    <w:rsid w:val="00C2705F"/>
    <w:rsid w:val="00C402F2"/>
    <w:rsid w:val="00C44FD9"/>
    <w:rsid w:val="00C656EB"/>
    <w:rsid w:val="00CC0CDB"/>
    <w:rsid w:val="00CE22DE"/>
    <w:rsid w:val="00D2426B"/>
    <w:rsid w:val="00D573A6"/>
    <w:rsid w:val="00D82494"/>
    <w:rsid w:val="00D95E2B"/>
    <w:rsid w:val="00DC0E50"/>
    <w:rsid w:val="00E0102A"/>
    <w:rsid w:val="00E623D5"/>
    <w:rsid w:val="00E84D26"/>
    <w:rsid w:val="00EC168B"/>
    <w:rsid w:val="00ED4D8B"/>
    <w:rsid w:val="00F21430"/>
    <w:rsid w:val="00F62201"/>
    <w:rsid w:val="00F835E5"/>
    <w:rsid w:val="019E6BE9"/>
    <w:rsid w:val="15FF3F44"/>
    <w:rsid w:val="16022F3E"/>
    <w:rsid w:val="1671390D"/>
    <w:rsid w:val="1911069A"/>
    <w:rsid w:val="19FD63F8"/>
    <w:rsid w:val="1F042F45"/>
    <w:rsid w:val="20307EEF"/>
    <w:rsid w:val="3011772A"/>
    <w:rsid w:val="32D72074"/>
    <w:rsid w:val="37044D5E"/>
    <w:rsid w:val="381043FC"/>
    <w:rsid w:val="395F78FB"/>
    <w:rsid w:val="3A8D6FF8"/>
    <w:rsid w:val="3E3B0020"/>
    <w:rsid w:val="3E4402C9"/>
    <w:rsid w:val="428133ED"/>
    <w:rsid w:val="44E36B62"/>
    <w:rsid w:val="46B43DB4"/>
    <w:rsid w:val="48AB4A4C"/>
    <w:rsid w:val="4BE16432"/>
    <w:rsid w:val="4C144C5B"/>
    <w:rsid w:val="4EAF33D4"/>
    <w:rsid w:val="561E4AAF"/>
    <w:rsid w:val="56CD1EB0"/>
    <w:rsid w:val="58D30CEA"/>
    <w:rsid w:val="5F081445"/>
    <w:rsid w:val="5F37557F"/>
    <w:rsid w:val="6639293E"/>
    <w:rsid w:val="6D7132FF"/>
    <w:rsid w:val="704B7BC9"/>
    <w:rsid w:val="713B24EE"/>
    <w:rsid w:val="75E25010"/>
    <w:rsid w:val="77C06368"/>
    <w:rsid w:val="7BF434B8"/>
    <w:rsid w:val="7EEE5CB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9"/>
    <w:autoRedefine/>
    <w:semiHidden/>
    <w:unhideWhenUsed/>
    <w:qFormat/>
    <w:uiPriority w:val="99"/>
    <w:rPr>
      <w:sz w:val="18"/>
      <w:szCs w:val="18"/>
    </w:rPr>
  </w:style>
  <w:style w:type="paragraph" w:styleId="3">
    <w:name w:val="footer"/>
    <w:basedOn w:val="1"/>
    <w:link w:val="8"/>
    <w:autoRedefine/>
    <w:unhideWhenUsed/>
    <w:qFormat/>
    <w:uiPriority w:val="99"/>
    <w:pPr>
      <w:tabs>
        <w:tab w:val="center" w:pos="4153"/>
        <w:tab w:val="right" w:pos="8306"/>
      </w:tabs>
      <w:snapToGrid w:val="0"/>
      <w:jc w:val="left"/>
    </w:pPr>
    <w:rPr>
      <w:sz w:val="18"/>
      <w:szCs w:val="18"/>
    </w:rPr>
  </w:style>
  <w:style w:type="paragraph" w:styleId="4">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autoRedefine/>
    <w:qFormat/>
    <w:uiPriority w:val="99"/>
    <w:rPr>
      <w:sz w:val="18"/>
      <w:szCs w:val="18"/>
    </w:rPr>
  </w:style>
  <w:style w:type="character" w:customStyle="1" w:styleId="8">
    <w:name w:val="页脚 Char"/>
    <w:basedOn w:val="6"/>
    <w:link w:val="3"/>
    <w:autoRedefine/>
    <w:qFormat/>
    <w:uiPriority w:val="99"/>
    <w:rPr>
      <w:sz w:val="18"/>
      <w:szCs w:val="18"/>
    </w:rPr>
  </w:style>
  <w:style w:type="character" w:customStyle="1" w:styleId="9">
    <w:name w:val="批注框文本 Char"/>
    <w:basedOn w:val="6"/>
    <w:link w:val="2"/>
    <w:autoRedefine/>
    <w:semiHidden/>
    <w:qFormat/>
    <w:uiPriority w:val="99"/>
    <w:rPr>
      <w:sz w:val="18"/>
      <w:szCs w:val="18"/>
    </w:rPr>
  </w:style>
  <w:style w:type="paragraph" w:styleId="10">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1426</Words>
  <Characters>1447</Characters>
  <Lines>20</Lines>
  <Paragraphs>5</Paragraphs>
  <TotalTime>10</TotalTime>
  <ScaleCrop>false</ScaleCrop>
  <LinksUpToDate>false</LinksUpToDate>
  <CharactersWithSpaces>1452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2019-07-27T09:59:00Z</dcterms:created>
  <dc:creator>Administrator</dc:creator>
  <cp:lastModifiedBy>辉</cp:lastModifiedBy>
  <cp:lastPrinted>2024-11-27T07:46:00Z</cp:lastPrinted>
  <dcterms:modified xsi:type="dcterms:W3CDTF">2024-12-17T07:02:17Z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67424659320944569A4020179EFD5660</vt:lpwstr>
  </property>
</Properties>
</file>