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10D01">
      <w:pPr>
        <w:snapToGrid w:val="0"/>
        <w:jc w:val="center"/>
        <w:rPr>
          <w:rFonts w:hint="eastAsia" w:ascii="方正小标宋简体" w:hAnsi="黑体" w:eastAsia="方正小标宋简体" w:cs="方正小标宋简体"/>
          <w:kern w:val="0"/>
          <w:sz w:val="56"/>
          <w:szCs w:val="52"/>
          <w:lang w:eastAsia="zh-CN"/>
        </w:rPr>
      </w:pPr>
      <w:r>
        <w:rPr>
          <w:rFonts w:hint="eastAsia" w:ascii="方正小标宋简体" w:hAnsi="黑体" w:eastAsia="方正小标宋简体" w:cs="方正小标宋简体"/>
          <w:kern w:val="0"/>
          <w:sz w:val="56"/>
          <w:szCs w:val="52"/>
          <w:lang w:eastAsia="zh-CN"/>
        </w:rPr>
        <w:t>乳山市发展和改革局（乳山市人民防空办公室、乳山市国防动员办公室）</w:t>
      </w:r>
    </w:p>
    <w:p w14:paraId="4E00BE16">
      <w:pPr>
        <w:snapToGrid w:val="0"/>
        <w:jc w:val="center"/>
        <w:rPr>
          <w:rFonts w:ascii="方正小标宋简体" w:hAnsi="黑体" w:eastAsia="方正小标宋简体" w:cs="方正小标宋简体"/>
          <w:kern w:val="0"/>
          <w:sz w:val="56"/>
          <w:szCs w:val="52"/>
        </w:rPr>
      </w:pPr>
    </w:p>
    <w:p w14:paraId="1D351D72">
      <w:pPr>
        <w:spacing w:before="624" w:beforeLines="200" w:line="360" w:lineRule="auto"/>
        <w:jc w:val="center"/>
        <w:rPr>
          <w:rFonts w:ascii="方正小标宋简体" w:hAnsi="黑体" w:eastAsia="方正小标宋简体"/>
          <w:kern w:val="0"/>
          <w:sz w:val="72"/>
          <w:szCs w:val="52"/>
        </w:rPr>
      </w:pPr>
      <w:r>
        <w:rPr>
          <w:rFonts w:hint="eastAsia" w:ascii="方正小标宋简体" w:hAnsi="黑体" w:eastAsia="方正小标宋简体" w:cs="方正小标宋简体"/>
          <w:kern w:val="0"/>
          <w:sz w:val="72"/>
          <w:szCs w:val="52"/>
        </w:rPr>
        <w:t>竞争性磋商文件</w:t>
      </w:r>
    </w:p>
    <w:p w14:paraId="52179CAA">
      <w:pPr>
        <w:spacing w:line="360" w:lineRule="auto"/>
        <w:ind w:firstLine="723" w:firstLineChars="201"/>
        <w:jc w:val="left"/>
        <w:rPr>
          <w:rFonts w:ascii="宋体" w:hAnsi="宋体"/>
          <w:sz w:val="36"/>
          <w:szCs w:val="36"/>
        </w:rPr>
      </w:pPr>
    </w:p>
    <w:p w14:paraId="114D2AA5">
      <w:pPr>
        <w:spacing w:line="360" w:lineRule="auto"/>
        <w:jc w:val="left"/>
        <w:rPr>
          <w:rFonts w:ascii="宋体" w:hAnsi="宋体"/>
          <w:sz w:val="36"/>
          <w:szCs w:val="36"/>
        </w:rPr>
      </w:pPr>
      <w:r>
        <w:rPr>
          <w:rFonts w:hint="eastAsia" w:ascii="宋体" w:hAnsi="宋体"/>
          <w:sz w:val="36"/>
          <w:szCs w:val="36"/>
        </w:rPr>
        <w:t xml:space="preserve">    </w:t>
      </w:r>
    </w:p>
    <w:p w14:paraId="4F146B74">
      <w:pPr>
        <w:spacing w:after="156" w:afterLines="50" w:line="360" w:lineRule="auto"/>
        <w:ind w:firstLine="726" w:firstLineChars="201"/>
        <w:jc w:val="left"/>
        <w:rPr>
          <w:rFonts w:ascii="仿宋_GB2312" w:hAnsi="仿宋" w:eastAsia="仿宋_GB2312" w:cs="方正楷体简体"/>
          <w:b/>
          <w:sz w:val="36"/>
          <w:szCs w:val="36"/>
        </w:rPr>
      </w:pPr>
      <w:r>
        <w:rPr>
          <w:rFonts w:hint="eastAsia" w:ascii="仿宋_GB2312" w:hAnsi="仿宋" w:eastAsia="仿宋_GB2312" w:cs="方正楷体简体"/>
          <w:b/>
          <w:sz w:val="36"/>
          <w:szCs w:val="36"/>
        </w:rPr>
        <w:t>项目名称：</w:t>
      </w:r>
      <w:r>
        <w:rPr>
          <w:rFonts w:hint="eastAsia" w:ascii="仿宋_GB2312" w:hAnsi="仿宋" w:eastAsia="仿宋_GB2312" w:cs="方正楷体简体"/>
          <w:sz w:val="36"/>
          <w:szCs w:val="36"/>
        </w:rPr>
        <w:t>乳山市500MW/1000MWh电化学储能项目可研报告及电力接入系统论证报告</w:t>
      </w:r>
    </w:p>
    <w:p w14:paraId="0D69933C">
      <w:pPr>
        <w:spacing w:after="156" w:afterLines="50" w:line="360" w:lineRule="auto"/>
        <w:ind w:firstLine="726" w:firstLineChars="201"/>
        <w:jc w:val="left"/>
        <w:rPr>
          <w:rFonts w:ascii="仿宋_GB2312" w:hAnsi="仿宋" w:eastAsia="仿宋_GB2312" w:cs="方正楷体简体"/>
          <w:b/>
          <w:color w:val="FF0000"/>
          <w:sz w:val="36"/>
          <w:szCs w:val="36"/>
        </w:rPr>
      </w:pPr>
      <w:r>
        <w:rPr>
          <w:rFonts w:hint="eastAsia" w:ascii="仿宋_GB2312" w:hAnsi="仿宋" w:eastAsia="仿宋_GB2312" w:cs="方正楷体简体"/>
          <w:b/>
          <w:sz w:val="36"/>
          <w:szCs w:val="36"/>
        </w:rPr>
        <w:t>项目编号：</w:t>
      </w:r>
      <w:r>
        <w:rPr>
          <w:rFonts w:hint="eastAsia" w:ascii="仿宋_GB2312" w:hAnsi="仿宋" w:eastAsia="仿宋_GB2312" w:cs="方正楷体简体"/>
          <w:color w:val="FF0000"/>
          <w:sz w:val="36"/>
          <w:szCs w:val="36"/>
        </w:rPr>
        <w:t>SDHZ2024-028</w:t>
      </w:r>
    </w:p>
    <w:p w14:paraId="6D77F8DF">
      <w:pPr>
        <w:spacing w:after="156" w:afterLines="50" w:line="360" w:lineRule="auto"/>
        <w:ind w:firstLine="726" w:firstLineChars="201"/>
        <w:jc w:val="left"/>
        <w:rPr>
          <w:rFonts w:ascii="仿宋_GB2312" w:hAnsi="仿宋" w:eastAsia="仿宋_GB2312" w:cs="方正楷体简体"/>
          <w:sz w:val="36"/>
          <w:szCs w:val="36"/>
        </w:rPr>
      </w:pPr>
      <w:r>
        <w:rPr>
          <w:rFonts w:hint="eastAsia" w:ascii="仿宋_GB2312" w:hAnsi="仿宋" w:eastAsia="仿宋_GB2312" w:cs="方正楷体简体"/>
          <w:b/>
          <w:sz w:val="36"/>
          <w:szCs w:val="36"/>
        </w:rPr>
        <w:t>包段名称：</w:t>
      </w:r>
      <w:r>
        <w:rPr>
          <w:rFonts w:hint="eastAsia" w:ascii="仿宋_GB2312" w:hAnsi="仿宋" w:eastAsia="仿宋_GB2312" w:cs="方正楷体简体"/>
          <w:sz w:val="36"/>
          <w:szCs w:val="36"/>
        </w:rPr>
        <w:t>乳山市500MW/1000MWh电化学储能项目可研报告及电力接入系统论证报告(第</w:t>
      </w:r>
      <w:r>
        <w:rPr>
          <w:rFonts w:ascii="仿宋_GB2312" w:hAnsi="仿宋" w:eastAsia="仿宋_GB2312" w:cs="方正楷体简体"/>
          <w:sz w:val="36"/>
          <w:szCs w:val="36"/>
        </w:rPr>
        <w:t>A</w:t>
      </w:r>
      <w:r>
        <w:rPr>
          <w:rFonts w:hint="eastAsia" w:ascii="仿宋_GB2312" w:hAnsi="仿宋" w:eastAsia="仿宋_GB2312" w:cs="方正楷体简体"/>
          <w:sz w:val="36"/>
          <w:szCs w:val="36"/>
        </w:rPr>
        <w:t>包，共</w:t>
      </w:r>
      <w:r>
        <w:rPr>
          <w:rFonts w:ascii="仿宋_GB2312" w:hAnsi="仿宋" w:eastAsia="仿宋_GB2312" w:cs="方正楷体简体"/>
          <w:sz w:val="36"/>
          <w:szCs w:val="36"/>
        </w:rPr>
        <w:t>1</w:t>
      </w:r>
      <w:r>
        <w:rPr>
          <w:rFonts w:hint="eastAsia" w:ascii="仿宋_GB2312" w:hAnsi="仿宋" w:eastAsia="仿宋_GB2312" w:cs="方正楷体简体"/>
          <w:sz w:val="36"/>
          <w:szCs w:val="36"/>
        </w:rPr>
        <w:t xml:space="preserve">包) </w:t>
      </w:r>
    </w:p>
    <w:p w14:paraId="0CA8D8FA">
      <w:pPr>
        <w:spacing w:after="156" w:afterLines="50" w:line="360" w:lineRule="auto"/>
        <w:ind w:firstLine="726" w:firstLineChars="201"/>
        <w:jc w:val="left"/>
        <w:rPr>
          <w:rFonts w:ascii="仿宋_GB2312" w:hAnsi="仿宋" w:eastAsia="仿宋_GB2312" w:cs="方正楷体简体"/>
          <w:b/>
          <w:sz w:val="36"/>
          <w:szCs w:val="36"/>
        </w:rPr>
      </w:pPr>
      <w:r>
        <w:rPr>
          <w:rFonts w:hint="eastAsia" w:ascii="仿宋_GB2312" w:hAnsi="仿宋" w:eastAsia="仿宋_GB2312" w:cs="方正楷体简体"/>
          <w:b/>
          <w:sz w:val="36"/>
          <w:szCs w:val="36"/>
        </w:rPr>
        <w:t>采购方式：</w:t>
      </w:r>
      <w:r>
        <w:rPr>
          <w:rFonts w:hint="eastAsia" w:ascii="仿宋_GB2312" w:hAnsi="仿宋" w:eastAsia="仿宋_GB2312" w:cs="方正楷体简体"/>
          <w:sz w:val="36"/>
          <w:szCs w:val="36"/>
        </w:rPr>
        <w:t>竞争性磋商</w:t>
      </w:r>
    </w:p>
    <w:p w14:paraId="5B8FC101">
      <w:pPr>
        <w:spacing w:line="360" w:lineRule="auto"/>
        <w:rPr>
          <w:rFonts w:ascii="仿宋_GB2312" w:hAnsi="仿宋" w:eastAsia="仿宋_GB2312" w:cs="方正楷体简体"/>
          <w:b/>
          <w:sz w:val="16"/>
          <w:szCs w:val="36"/>
        </w:rPr>
      </w:pPr>
    </w:p>
    <w:p w14:paraId="7162CA84">
      <w:pPr>
        <w:spacing w:line="360" w:lineRule="auto"/>
        <w:ind w:firstLine="363" w:firstLineChars="201"/>
        <w:jc w:val="center"/>
        <w:rPr>
          <w:rFonts w:ascii="仿宋_GB2312" w:hAnsi="仿宋" w:eastAsia="仿宋_GB2312" w:cs="方正楷体简体"/>
          <w:b/>
          <w:sz w:val="18"/>
          <w:szCs w:val="36"/>
        </w:rPr>
      </w:pPr>
    </w:p>
    <w:p w14:paraId="36E1A833">
      <w:pPr>
        <w:spacing w:before="156" w:beforeLines="50" w:line="360" w:lineRule="auto"/>
        <w:ind w:firstLine="726" w:firstLineChars="201"/>
        <w:jc w:val="center"/>
        <w:rPr>
          <w:rFonts w:ascii="仿宋_GB2312" w:hAnsi="仿宋" w:eastAsia="仿宋_GB2312"/>
          <w:b/>
          <w:bCs/>
          <w:kern w:val="0"/>
          <w:sz w:val="36"/>
          <w:szCs w:val="36"/>
        </w:rPr>
      </w:pPr>
      <w:r>
        <w:rPr>
          <w:rFonts w:hint="eastAsia" w:ascii="仿宋_GB2312" w:hAnsi="仿宋" w:eastAsia="仿宋_GB2312" w:cs="方正楷体简体"/>
          <w:b/>
          <w:sz w:val="36"/>
          <w:szCs w:val="36"/>
        </w:rPr>
        <w:t>代理机构：</w:t>
      </w:r>
      <w:r>
        <w:rPr>
          <w:rFonts w:hint="eastAsia" w:ascii="仿宋_GB2312" w:hAnsi="仿宋" w:eastAsia="仿宋_GB2312" w:cs="方正楷体简体"/>
          <w:sz w:val="36"/>
          <w:szCs w:val="36"/>
        </w:rPr>
        <w:t>山东华正建筑设计咨询有限公司</w:t>
      </w:r>
    </w:p>
    <w:p w14:paraId="606710C9">
      <w:pPr>
        <w:spacing w:before="156" w:beforeLines="50" w:line="360" w:lineRule="auto"/>
        <w:ind w:firstLine="726" w:firstLineChars="201"/>
        <w:jc w:val="center"/>
        <w:rPr>
          <w:rFonts w:hint="eastAsia" w:ascii="仿宋_GB2312" w:hAnsi="仿宋" w:eastAsia="仿宋_GB2312" w:cs="方正楷体简体"/>
          <w:sz w:val="36"/>
          <w:szCs w:val="36"/>
          <w:lang w:eastAsia="zh-CN"/>
        </w:rPr>
        <w:sectPr>
          <w:headerReference r:id="rId3" w:type="default"/>
          <w:pgSz w:w="11906" w:h="16838"/>
          <w:pgMar w:top="1440" w:right="1080" w:bottom="1440" w:left="1080" w:header="851" w:footer="992" w:gutter="0"/>
          <w:pgNumType w:start="1"/>
          <w:cols w:space="720" w:num="1"/>
          <w:docGrid w:type="lines" w:linePitch="312" w:charSpace="0"/>
        </w:sectPr>
      </w:pPr>
      <w:r>
        <w:rPr>
          <w:rFonts w:hint="eastAsia" w:ascii="仿宋_GB2312" w:hAnsi="仿宋" w:eastAsia="仿宋_GB2312" w:cs="方正楷体简体"/>
          <w:b/>
          <w:sz w:val="36"/>
          <w:szCs w:val="36"/>
        </w:rPr>
        <w:t>编制时间：</w:t>
      </w:r>
      <w:r>
        <w:rPr>
          <w:rFonts w:hint="eastAsia" w:ascii="仿宋_GB2312" w:hAnsi="仿宋" w:eastAsia="仿宋_GB2312" w:cs="方正楷体简体"/>
          <w:sz w:val="36"/>
          <w:szCs w:val="36"/>
        </w:rPr>
        <w:t xml:space="preserve"> 2024年</w:t>
      </w:r>
      <w:r>
        <w:rPr>
          <w:rFonts w:hint="eastAsia" w:ascii="仿宋_GB2312" w:hAnsi="仿宋" w:eastAsia="仿宋_GB2312" w:cs="方正楷体简体"/>
          <w:sz w:val="36"/>
          <w:szCs w:val="36"/>
          <w:lang w:eastAsia="zh-CN"/>
        </w:rPr>
        <w:t>12月12日</w:t>
      </w:r>
    </w:p>
    <w:p w14:paraId="13402E45">
      <w:pPr>
        <w:spacing w:line="360" w:lineRule="auto"/>
        <w:ind w:firstLine="1045" w:firstLineChars="201"/>
        <w:jc w:val="center"/>
        <w:rPr>
          <w:rFonts w:ascii="黑体" w:hAnsi="黑体" w:eastAsia="黑体"/>
          <w:b/>
          <w:sz w:val="44"/>
          <w:szCs w:val="44"/>
        </w:rPr>
      </w:pPr>
      <w:r>
        <w:rPr>
          <w:rFonts w:hint="eastAsia" w:ascii="黑体" w:hAnsi="黑体" w:eastAsia="黑体" w:cs="方正小标宋简体"/>
          <w:kern w:val="0"/>
          <w:sz w:val="52"/>
          <w:szCs w:val="52"/>
        </w:rPr>
        <w:t>目  录</w:t>
      </w:r>
    </w:p>
    <w:p w14:paraId="2FBB45A7">
      <w:pPr>
        <w:spacing w:line="560" w:lineRule="exact"/>
        <w:ind w:firstLine="562" w:firstLineChars="201"/>
        <w:jc w:val="left"/>
        <w:rPr>
          <w:rFonts w:ascii="宋体" w:hAnsi="宋体" w:cs="方正楷体简体"/>
          <w:sz w:val="28"/>
          <w:szCs w:val="28"/>
        </w:rPr>
      </w:pPr>
    </w:p>
    <w:p w14:paraId="132C46BB">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 xml:space="preserve">第一章   竞争性磋商公告 </w:t>
      </w:r>
    </w:p>
    <w:p w14:paraId="1B57A917">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磋商须知</w:t>
      </w:r>
    </w:p>
    <w:p w14:paraId="5D6E7FA8">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4186539B">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磋商原则、程序与方法</w:t>
      </w:r>
    </w:p>
    <w:p w14:paraId="16FEC59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响应文件格式与要求</w:t>
      </w:r>
    </w:p>
    <w:p w14:paraId="52EA1781">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政府采购合同（范本）</w:t>
      </w:r>
    </w:p>
    <w:p w14:paraId="15E1FEEB">
      <w:pPr>
        <w:spacing w:line="560" w:lineRule="exact"/>
        <w:ind w:firstLine="424" w:firstLineChars="151"/>
        <w:jc w:val="left"/>
        <w:rPr>
          <w:rFonts w:ascii="仿宋_GB2312" w:hAnsi="宋体" w:eastAsia="仿宋_GB2312" w:cs="宋体"/>
          <w:b/>
          <w:bCs/>
          <w:caps/>
          <w:sz w:val="28"/>
          <w:szCs w:val="28"/>
        </w:rPr>
      </w:pPr>
    </w:p>
    <w:p w14:paraId="56E0907D">
      <w:pPr>
        <w:spacing w:line="560" w:lineRule="exact"/>
        <w:ind w:firstLine="424" w:firstLineChars="151"/>
        <w:jc w:val="left"/>
        <w:rPr>
          <w:rFonts w:ascii="仿宋_GB2312" w:hAnsi="宋体" w:eastAsia="仿宋_GB2312"/>
          <w:b/>
          <w:bCs/>
          <w:caps/>
          <w:sz w:val="28"/>
          <w:szCs w:val="28"/>
        </w:rPr>
      </w:pPr>
    </w:p>
    <w:p w14:paraId="5EC0DA69">
      <w:pPr>
        <w:rPr>
          <w:rFonts w:ascii="宋体" w:hAnsi="宋体"/>
          <w:kern w:val="0"/>
        </w:rPr>
        <w:sectPr>
          <w:headerReference r:id="rId4" w:type="default"/>
          <w:pgSz w:w="11906" w:h="16838"/>
          <w:pgMar w:top="1440" w:right="1080" w:bottom="1440" w:left="1080" w:header="851" w:footer="992" w:gutter="0"/>
          <w:pgNumType w:start="1"/>
          <w:cols w:space="720" w:num="1"/>
          <w:docGrid w:type="lines" w:linePitch="312" w:charSpace="0"/>
        </w:sectPr>
      </w:pPr>
    </w:p>
    <w:p w14:paraId="2D75F20E">
      <w:pPr>
        <w:pStyle w:val="31"/>
        <w:spacing w:before="100" w:beforeAutospacing="1" w:after="100" w:afterAutospacing="1" w:line="415" w:lineRule="auto"/>
        <w:rPr>
          <w:rFonts w:ascii="宋体" w:hAnsi="宋体" w:cs="宋体"/>
          <w:sz w:val="24"/>
          <w:szCs w:val="44"/>
        </w:rPr>
      </w:pPr>
      <w:r>
        <w:rPr>
          <w:rFonts w:hint="eastAsia" w:ascii="楷体_GB2312" w:hAnsi="宋体" w:eastAsia="楷体_GB2312" w:cs="宋体"/>
          <w:sz w:val="44"/>
          <w:szCs w:val="44"/>
        </w:rPr>
        <w:t>第一章 采购公告</w:t>
      </w:r>
    </w:p>
    <w:p w14:paraId="0E3446DA"/>
    <w:p w14:paraId="3AEC964D">
      <w:pPr>
        <w:sectPr>
          <w:headerReference r:id="rId6" w:type="first"/>
          <w:footerReference r:id="rId7" w:type="default"/>
          <w:headerReference r:id="rId5" w:type="even"/>
          <w:pgSz w:w="11906" w:h="16838"/>
          <w:pgMar w:top="1440" w:right="1077" w:bottom="1440" w:left="1077" w:header="851" w:footer="992" w:gutter="0"/>
          <w:cols w:space="720" w:num="1"/>
          <w:docGrid w:type="lines" w:linePitch="312" w:charSpace="0"/>
        </w:sectPr>
      </w:pPr>
      <w:bookmarkStart w:id="7" w:name="_GoBack"/>
      <w:bookmarkEnd w:id="7"/>
    </w:p>
    <w:p w14:paraId="6BA4936A">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乳山市500MW/1000MWh电化学储能项目可研报告及电力接入系统论证报告</w:t>
      </w:r>
    </w:p>
    <w:p w14:paraId="42936740">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竞争性磋商公告</w:t>
      </w:r>
    </w:p>
    <w:p w14:paraId="4B7BBEE7">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sz w:val="28"/>
          <w:szCs w:val="28"/>
        </w:rPr>
      </w:pPr>
      <w:r>
        <w:rPr>
          <w:rFonts w:hint="eastAsia" w:ascii="黑体" w:hAnsi="黑体" w:eastAsia="黑体" w:cs="宋体"/>
          <w:sz w:val="28"/>
          <w:szCs w:val="28"/>
        </w:rPr>
        <w:t>项目概况</w:t>
      </w:r>
    </w:p>
    <w:p w14:paraId="623CCA8F">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乳山市500MW/1000MWh电化学储能项目可研报告及电力接入系统论证报告的潜在供应商应在</w:t>
      </w:r>
      <w:r>
        <w:rPr>
          <w:rFonts w:hint="eastAsia" w:ascii="仿宋_GB2312" w:hAnsi="仿宋" w:eastAsia="仿宋_GB2312" w:cs="宋体"/>
          <w:spacing w:val="8"/>
          <w:sz w:val="28"/>
          <w:szCs w:val="28"/>
          <w:u w:val="single"/>
        </w:rPr>
        <w:t xml:space="preserve"> 威海市政府采购电子交易系统威海市公共资源交易网（乳山分中心）右侧“交易服务一网通办”登录后选择“政府采购”按钮</w:t>
      </w:r>
      <w:r>
        <w:rPr>
          <w:rFonts w:hint="eastAsia" w:ascii="仿宋_GB2312" w:hAnsi="仿宋" w:eastAsia="仿宋_GB2312" w:cs="宋体"/>
          <w:spacing w:val="8"/>
          <w:sz w:val="28"/>
          <w:szCs w:val="28"/>
        </w:rPr>
        <w:t>获取采购文件，并于</w:t>
      </w:r>
      <w:r>
        <w:rPr>
          <w:rFonts w:hint="eastAsia" w:ascii="仿宋_GB2312" w:hAnsi="宋体" w:eastAsia="仿宋_GB2312" w:cs="宋体"/>
          <w:spacing w:val="8"/>
          <w:sz w:val="28"/>
          <w:szCs w:val="28"/>
          <w:u w:val="single"/>
        </w:rPr>
        <w:t xml:space="preserve"> </w:t>
      </w:r>
      <w:r>
        <w:rPr>
          <w:rFonts w:hint="eastAsia" w:ascii="仿宋_GB2312" w:hAnsi="仿宋" w:eastAsia="仿宋_GB2312" w:cs="宋体"/>
          <w:spacing w:val="8"/>
          <w:sz w:val="28"/>
          <w:szCs w:val="28"/>
          <w:u w:val="single"/>
        </w:rPr>
        <w:t>2024年</w:t>
      </w:r>
      <w:r>
        <w:rPr>
          <w:rFonts w:hint="eastAsia" w:ascii="仿宋_GB2312" w:hAnsi="仿宋" w:eastAsia="仿宋_GB2312" w:cs="宋体"/>
          <w:spacing w:val="8"/>
          <w:sz w:val="28"/>
          <w:szCs w:val="28"/>
          <w:u w:val="single"/>
          <w:lang w:eastAsia="zh-CN"/>
        </w:rPr>
        <w:t>12月25日</w:t>
      </w:r>
      <w:r>
        <w:rPr>
          <w:rFonts w:hint="eastAsia" w:ascii="仿宋_GB2312" w:hAnsi="仿宋" w:eastAsia="仿宋_GB2312" w:cs="宋体"/>
          <w:spacing w:val="8"/>
          <w:sz w:val="28"/>
          <w:szCs w:val="28"/>
          <w:u w:val="single"/>
        </w:rPr>
        <w:t>09</w:t>
      </w:r>
      <w:r>
        <w:rPr>
          <w:rFonts w:ascii="仿宋_GB2312" w:hAnsi="仿宋" w:eastAsia="仿宋_GB2312" w:cs="宋体"/>
          <w:spacing w:val="8"/>
          <w:sz w:val="28"/>
          <w:szCs w:val="28"/>
          <w:u w:val="single"/>
        </w:rPr>
        <w:t>时00分</w:t>
      </w:r>
      <w:r>
        <w:rPr>
          <w:rFonts w:hint="eastAsia" w:ascii="仿宋_GB2312" w:hAnsi="仿宋" w:eastAsia="仿宋_GB2312" w:cs="宋体"/>
          <w:spacing w:val="8"/>
          <w:sz w:val="28"/>
          <w:szCs w:val="28"/>
          <w:u w:val="single"/>
        </w:rPr>
        <w:t>（北京时间）</w:t>
      </w:r>
      <w:r>
        <w:rPr>
          <w:rFonts w:hint="eastAsia" w:ascii="仿宋_GB2312" w:hAnsi="仿宋" w:eastAsia="仿宋_GB2312" w:cs="宋体"/>
          <w:spacing w:val="8"/>
          <w:sz w:val="28"/>
          <w:szCs w:val="28"/>
        </w:rPr>
        <w:t>前递交响应文件。</w:t>
      </w:r>
    </w:p>
    <w:p w14:paraId="68654910">
      <w:pPr>
        <w:spacing w:line="360" w:lineRule="auto"/>
        <w:outlineLvl w:val="0"/>
        <w:rPr>
          <w:rFonts w:ascii="黑体" w:hAnsi="黑体" w:eastAsia="黑体" w:cs="宋体"/>
          <w:sz w:val="28"/>
          <w:szCs w:val="28"/>
        </w:rPr>
      </w:pPr>
      <w:r>
        <w:rPr>
          <w:rFonts w:hint="eastAsia" w:ascii="黑体" w:hAnsi="黑体" w:eastAsia="黑体" w:cs="宋体"/>
          <w:sz w:val="28"/>
          <w:szCs w:val="28"/>
        </w:rPr>
        <w:t>一、项目基本情况</w:t>
      </w:r>
    </w:p>
    <w:p w14:paraId="6D07B006">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项目编号：SDHZ2024-028</w:t>
      </w:r>
    </w:p>
    <w:p w14:paraId="58744F0B">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项目名称：乳山市500MW/1000MWh电化学储能项目可研报告及电力接入系统论证报告</w:t>
      </w:r>
    </w:p>
    <w:p w14:paraId="23A0729B">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采购方式：竞争性磋商</w:t>
      </w:r>
    </w:p>
    <w:p w14:paraId="22BEE58C">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采购项目分包情况：</w:t>
      </w:r>
    </w:p>
    <w:tbl>
      <w:tblPr>
        <w:tblStyle w:val="33"/>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2268"/>
        <w:gridCol w:w="709"/>
        <w:gridCol w:w="1818"/>
        <w:gridCol w:w="1559"/>
        <w:gridCol w:w="1417"/>
        <w:gridCol w:w="1357"/>
      </w:tblGrid>
      <w:tr w14:paraId="41F4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bottom w:val="single" w:color="auto" w:sz="4" w:space="0"/>
            </w:tcBorders>
            <w:vAlign w:val="center"/>
          </w:tcPr>
          <w:p w14:paraId="06522BA6">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标包</w:t>
            </w:r>
          </w:p>
        </w:tc>
        <w:tc>
          <w:tcPr>
            <w:tcW w:w="2268" w:type="dxa"/>
            <w:vAlign w:val="center"/>
          </w:tcPr>
          <w:p w14:paraId="4E54E7FE">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名称</w:t>
            </w:r>
          </w:p>
        </w:tc>
        <w:tc>
          <w:tcPr>
            <w:tcW w:w="709" w:type="dxa"/>
            <w:vAlign w:val="center"/>
          </w:tcPr>
          <w:p w14:paraId="5CD508B3">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数量</w:t>
            </w:r>
          </w:p>
        </w:tc>
        <w:tc>
          <w:tcPr>
            <w:tcW w:w="1818" w:type="dxa"/>
            <w:tcBorders>
              <w:right w:val="single" w:color="auto" w:sz="4" w:space="0"/>
            </w:tcBorders>
            <w:vAlign w:val="center"/>
          </w:tcPr>
          <w:p w14:paraId="6321C49A">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包预算金额</w:t>
            </w:r>
          </w:p>
          <w:p w14:paraId="1A55ECE8">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（元）</w:t>
            </w:r>
          </w:p>
        </w:tc>
        <w:tc>
          <w:tcPr>
            <w:tcW w:w="1559" w:type="dxa"/>
            <w:vAlign w:val="center"/>
          </w:tcPr>
          <w:p w14:paraId="16DC346E">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最高限价（元）</w:t>
            </w:r>
          </w:p>
        </w:tc>
        <w:tc>
          <w:tcPr>
            <w:tcW w:w="1417" w:type="dxa"/>
            <w:tcBorders>
              <w:right w:val="single" w:color="auto" w:sz="4" w:space="0"/>
            </w:tcBorders>
            <w:vAlign w:val="center"/>
          </w:tcPr>
          <w:p w14:paraId="027A3383">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采购需求</w:t>
            </w:r>
          </w:p>
        </w:tc>
        <w:tc>
          <w:tcPr>
            <w:tcW w:w="1357" w:type="dxa"/>
            <w:tcBorders>
              <w:right w:val="single" w:color="auto" w:sz="4" w:space="0"/>
            </w:tcBorders>
            <w:vAlign w:val="center"/>
          </w:tcPr>
          <w:p w14:paraId="6A31594B">
            <w:pPr>
              <w:widowControl/>
              <w:adjustRightInd w:val="0"/>
              <w:snapToGrid w:val="0"/>
              <w:jc w:val="center"/>
              <w:rPr>
                <w:rFonts w:ascii="仿宋_GB2312" w:hAnsi="宋体" w:eastAsia="仿宋_GB2312" w:cs="宋体"/>
                <w:b/>
                <w:sz w:val="28"/>
              </w:rPr>
            </w:pPr>
            <w:r>
              <w:rPr>
                <w:rFonts w:hint="eastAsia" w:ascii="仿宋_GB2312" w:hAnsi="宋体" w:eastAsia="仿宋_GB2312" w:cs="宋体"/>
                <w:b/>
                <w:sz w:val="28"/>
              </w:rPr>
              <w:t>合同履行期限</w:t>
            </w:r>
          </w:p>
        </w:tc>
      </w:tr>
      <w:tr w14:paraId="1F22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1" w:hRule="atLeast"/>
          <w:jc w:val="center"/>
        </w:trPr>
        <w:tc>
          <w:tcPr>
            <w:tcW w:w="851" w:type="dxa"/>
            <w:tcBorders>
              <w:top w:val="single" w:color="auto" w:sz="4" w:space="0"/>
              <w:bottom w:val="single" w:color="auto" w:sz="4" w:space="0"/>
            </w:tcBorders>
            <w:vAlign w:val="center"/>
          </w:tcPr>
          <w:p w14:paraId="2D4D07E0">
            <w:pPr>
              <w:widowControl/>
              <w:adjustRightInd w:val="0"/>
              <w:snapToGrid w:val="0"/>
              <w:jc w:val="center"/>
              <w:rPr>
                <w:rFonts w:ascii="仿宋_GB2312" w:hAnsi="宋体" w:eastAsia="仿宋_GB2312" w:cs="宋体"/>
                <w:sz w:val="28"/>
              </w:rPr>
            </w:pPr>
            <w:r>
              <w:rPr>
                <w:rFonts w:ascii="仿宋_GB2312" w:hAnsi="宋体" w:eastAsia="仿宋_GB2312" w:cs="宋体"/>
                <w:sz w:val="28"/>
              </w:rPr>
              <w:t>A</w:t>
            </w:r>
          </w:p>
        </w:tc>
        <w:tc>
          <w:tcPr>
            <w:tcW w:w="2268" w:type="dxa"/>
            <w:vAlign w:val="center"/>
          </w:tcPr>
          <w:p w14:paraId="101AF2F8">
            <w:pPr>
              <w:widowControl/>
              <w:adjustRightInd w:val="0"/>
              <w:snapToGrid w:val="0"/>
              <w:jc w:val="center"/>
              <w:rPr>
                <w:rFonts w:ascii="仿宋_GB2312" w:hAnsi="宋体" w:eastAsia="仿宋_GB2312" w:cs="宋体"/>
                <w:sz w:val="28"/>
              </w:rPr>
            </w:pPr>
            <w:r>
              <w:rPr>
                <w:rFonts w:hint="eastAsia" w:ascii="仿宋_GB2312" w:hAnsi="宋体" w:eastAsia="仿宋_GB2312" w:cs="宋体"/>
                <w:sz w:val="28"/>
              </w:rPr>
              <w:t>乳山市500MW/1000MWh电化学储能项目可研报告及电力接入系统论证报告</w:t>
            </w:r>
          </w:p>
        </w:tc>
        <w:tc>
          <w:tcPr>
            <w:tcW w:w="709" w:type="dxa"/>
            <w:vAlign w:val="center"/>
          </w:tcPr>
          <w:p w14:paraId="4F07F01C">
            <w:pPr>
              <w:widowControl/>
              <w:adjustRightInd w:val="0"/>
              <w:snapToGrid w:val="0"/>
              <w:jc w:val="center"/>
              <w:rPr>
                <w:rFonts w:ascii="仿宋_GB2312" w:hAnsi="宋体" w:eastAsia="仿宋_GB2312" w:cs="宋体"/>
                <w:sz w:val="28"/>
              </w:rPr>
            </w:pPr>
            <w:r>
              <w:rPr>
                <w:rFonts w:ascii="仿宋_GB2312" w:hAnsi="宋体" w:eastAsia="仿宋_GB2312" w:cs="宋体"/>
                <w:sz w:val="28"/>
              </w:rPr>
              <w:t>1宗</w:t>
            </w:r>
          </w:p>
        </w:tc>
        <w:tc>
          <w:tcPr>
            <w:tcW w:w="1818" w:type="dxa"/>
            <w:tcBorders>
              <w:right w:val="single" w:color="auto" w:sz="4" w:space="0"/>
            </w:tcBorders>
            <w:vAlign w:val="center"/>
          </w:tcPr>
          <w:p w14:paraId="634CE92E">
            <w:pPr>
              <w:widowControl/>
              <w:adjustRightInd w:val="0"/>
              <w:snapToGrid w:val="0"/>
              <w:jc w:val="center"/>
              <w:rPr>
                <w:rFonts w:ascii="仿宋_GB2312" w:hAnsi="宋体" w:eastAsia="仿宋_GB2312" w:cs="宋体"/>
                <w:sz w:val="28"/>
              </w:rPr>
            </w:pPr>
            <w:r>
              <w:rPr>
                <w:rFonts w:hint="eastAsia" w:ascii="仿宋_GB2312" w:hAnsi="宋体" w:eastAsia="仿宋_GB2312" w:cs="宋体"/>
                <w:sz w:val="28"/>
              </w:rPr>
              <w:t>1150000.00</w:t>
            </w:r>
          </w:p>
        </w:tc>
        <w:tc>
          <w:tcPr>
            <w:tcW w:w="1559" w:type="dxa"/>
            <w:vAlign w:val="center"/>
          </w:tcPr>
          <w:p w14:paraId="32ADC817">
            <w:pPr>
              <w:widowControl/>
              <w:adjustRightInd w:val="0"/>
              <w:snapToGrid w:val="0"/>
              <w:jc w:val="center"/>
              <w:rPr>
                <w:rFonts w:ascii="仿宋_GB2312" w:hAnsi="宋体" w:eastAsia="仿宋_GB2312" w:cs="宋体"/>
                <w:sz w:val="28"/>
              </w:rPr>
            </w:pPr>
            <w:r>
              <w:rPr>
                <w:rFonts w:hint="eastAsia" w:ascii="仿宋_GB2312" w:hAnsi="宋体" w:eastAsia="仿宋_GB2312" w:cs="宋体"/>
                <w:sz w:val="28"/>
              </w:rPr>
              <w:t>1150000.00</w:t>
            </w:r>
          </w:p>
        </w:tc>
        <w:tc>
          <w:tcPr>
            <w:tcW w:w="1417" w:type="dxa"/>
            <w:tcBorders>
              <w:right w:val="single" w:color="auto" w:sz="4" w:space="0"/>
            </w:tcBorders>
            <w:vAlign w:val="center"/>
          </w:tcPr>
          <w:p w14:paraId="01A1CF5E">
            <w:pPr>
              <w:widowControl/>
              <w:adjustRightInd w:val="0"/>
              <w:snapToGrid w:val="0"/>
              <w:jc w:val="center"/>
              <w:rPr>
                <w:rFonts w:ascii="仿宋_GB2312" w:hAnsi="宋体" w:eastAsia="仿宋_GB2312" w:cs="宋体"/>
                <w:sz w:val="28"/>
              </w:rPr>
            </w:pPr>
            <w:r>
              <w:rPr>
                <w:rFonts w:hint="eastAsia" w:ascii="仿宋_GB2312" w:hAnsi="宋体" w:eastAsia="仿宋_GB2312" w:cs="宋体"/>
                <w:sz w:val="28"/>
              </w:rPr>
              <w:t>详见采购文件</w:t>
            </w:r>
          </w:p>
        </w:tc>
        <w:tc>
          <w:tcPr>
            <w:tcW w:w="1357" w:type="dxa"/>
            <w:tcBorders>
              <w:right w:val="single" w:color="auto" w:sz="4" w:space="0"/>
            </w:tcBorders>
            <w:vAlign w:val="center"/>
          </w:tcPr>
          <w:p w14:paraId="09D678F4">
            <w:pPr>
              <w:widowControl/>
              <w:adjustRightInd w:val="0"/>
              <w:snapToGrid w:val="0"/>
              <w:jc w:val="center"/>
              <w:rPr>
                <w:rFonts w:ascii="仿宋_GB2312" w:hAnsi="宋体" w:eastAsia="仿宋_GB2312" w:cs="宋体"/>
                <w:sz w:val="28"/>
              </w:rPr>
            </w:pPr>
            <w:r>
              <w:rPr>
                <w:rFonts w:hint="eastAsia" w:ascii="仿宋_GB2312" w:hAnsi="宋体" w:eastAsia="仿宋_GB2312" w:cs="宋体"/>
                <w:sz w:val="28"/>
              </w:rPr>
              <w:t>详见采购文件</w:t>
            </w:r>
          </w:p>
        </w:tc>
      </w:tr>
    </w:tbl>
    <w:p w14:paraId="2282AD98">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本项目不接受联合体响应</w:t>
      </w:r>
    </w:p>
    <w:p w14:paraId="07903FD2">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二、申请人的资格要求：</w:t>
      </w:r>
    </w:p>
    <w:p w14:paraId="153B93F8">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1.供应商应符合《中华人民共和国政府采购法》第二十二条规定(第一款 银行、保险、石油石化、电力、电信等特殊行业除外)且应为未被列入信用中国网站（www.creditchina.gov.cn）、中国政府采购网(www.ccgp.gov.cn)、信用山东（credit.shandong.gov.cn）、等渠道信用记录失信被执行人、重大税收违法失信主体、政府采购严重违法失信行为记录名单；</w:t>
      </w:r>
    </w:p>
    <w:p w14:paraId="25674434">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2.法律、法规其他规定要求；</w:t>
      </w:r>
    </w:p>
    <w:p w14:paraId="3CAE7F63">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3.落实政府采购政策需满足的资格要求：本项目不专门面向中小企业实施采购。</w:t>
      </w:r>
    </w:p>
    <w:p w14:paraId="27DBF524">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4.本项目的特定资格要求：具有工程设计电力行业甲级资质或工程设计综合资质。</w:t>
      </w:r>
    </w:p>
    <w:p w14:paraId="74E0209A">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三、获取采购文件</w:t>
      </w:r>
    </w:p>
    <w:p w14:paraId="1FAE7823">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1.时间：2024年</w:t>
      </w:r>
      <w:r>
        <w:rPr>
          <w:rFonts w:hint="eastAsia" w:ascii="仿宋_GB2312" w:hAnsi="仿宋" w:eastAsia="仿宋_GB2312" w:cs="宋体"/>
          <w:spacing w:val="8"/>
          <w:sz w:val="28"/>
          <w:szCs w:val="28"/>
          <w:lang w:eastAsia="zh-CN"/>
        </w:rPr>
        <w:t>12月12日</w:t>
      </w:r>
      <w:r>
        <w:rPr>
          <w:rFonts w:ascii="仿宋_GB2312" w:hAnsi="仿宋" w:eastAsia="仿宋_GB2312" w:cs="宋体"/>
          <w:spacing w:val="8"/>
          <w:sz w:val="28"/>
          <w:szCs w:val="28"/>
        </w:rPr>
        <w:t>17时00分</w:t>
      </w:r>
      <w:r>
        <w:rPr>
          <w:rFonts w:hint="eastAsia" w:ascii="仿宋_GB2312" w:hAnsi="仿宋" w:eastAsia="仿宋_GB2312" w:cs="宋体"/>
          <w:spacing w:val="8"/>
          <w:sz w:val="28"/>
          <w:szCs w:val="28"/>
        </w:rPr>
        <w:t>至2024年</w:t>
      </w:r>
      <w:r>
        <w:rPr>
          <w:rFonts w:hint="eastAsia" w:ascii="仿宋_GB2312" w:hAnsi="仿宋" w:eastAsia="仿宋_GB2312" w:cs="宋体"/>
          <w:spacing w:val="8"/>
          <w:sz w:val="28"/>
          <w:szCs w:val="28"/>
          <w:lang w:eastAsia="zh-CN"/>
        </w:rPr>
        <w:t>12月19日</w:t>
      </w:r>
      <w:r>
        <w:rPr>
          <w:rFonts w:ascii="仿宋_GB2312" w:hAnsi="仿宋" w:eastAsia="仿宋_GB2312" w:cs="宋体"/>
          <w:spacing w:val="8"/>
          <w:sz w:val="28"/>
          <w:szCs w:val="28"/>
        </w:rPr>
        <w:t>17时00分</w:t>
      </w:r>
      <w:r>
        <w:rPr>
          <w:rFonts w:hint="eastAsia" w:ascii="仿宋_GB2312" w:hAnsi="仿宋" w:eastAsia="仿宋_GB2312" w:cs="宋体"/>
          <w:spacing w:val="8"/>
          <w:sz w:val="28"/>
          <w:szCs w:val="28"/>
        </w:rPr>
        <w:t>（北京时间）</w:t>
      </w:r>
    </w:p>
    <w:p w14:paraId="2DD966A9">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2.地点：登录“威海市政府采购电子交易系统”（威海市公共资源交易网（乳山分中心）右侧“交易服务一网通办”登录后选择“政府采购”按钮）获取文件。逾期无法从威海市政府采购电子交易系统中获取文件，未在规定时间内从系统中获取文件的供应商将无法递交电子投标（响应）文件。</w:t>
      </w:r>
    </w:p>
    <w:p w14:paraId="769F47C0">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3.方式：本项目须网上获取竞争性磋商文件。参加本项目供应商须在“威海市交易服务一网通办系统”（威海市公共资源交易网右侧“交易服务一网通办”按钮）登录端口注册登记，并办理“安全证书（CA）”和“电子签章”进行获取文件。“安全证书（CA）”和“电子签章”办理详见“威海市公共资源交易网”（http://ggzyjy.weihai.cn/）“办事指南”-“政府采购专区”中“威海市政府采购交易系统供应商使用指南”。</w:t>
      </w:r>
    </w:p>
    <w:p w14:paraId="0296D676">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4.售价：免费</w:t>
      </w:r>
    </w:p>
    <w:p w14:paraId="66D23572">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四、响应文件提交</w:t>
      </w:r>
    </w:p>
    <w:p w14:paraId="7ABBACA5">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时间：2024年</w:t>
      </w:r>
      <w:r>
        <w:rPr>
          <w:rFonts w:hint="eastAsia" w:ascii="仿宋_GB2312" w:hAnsi="仿宋" w:eastAsia="仿宋_GB2312" w:cs="宋体"/>
          <w:spacing w:val="8"/>
          <w:sz w:val="28"/>
          <w:szCs w:val="28"/>
          <w:lang w:eastAsia="zh-CN"/>
        </w:rPr>
        <w:t>12月12日</w:t>
      </w:r>
      <w:r>
        <w:rPr>
          <w:rFonts w:ascii="仿宋_GB2312" w:hAnsi="仿宋" w:eastAsia="仿宋_GB2312" w:cs="宋体"/>
          <w:spacing w:val="8"/>
          <w:sz w:val="28"/>
          <w:szCs w:val="28"/>
        </w:rPr>
        <w:t>18时00分</w:t>
      </w:r>
      <w:r>
        <w:rPr>
          <w:rFonts w:hint="eastAsia" w:ascii="仿宋_GB2312" w:hAnsi="仿宋" w:eastAsia="仿宋_GB2312" w:cs="宋体"/>
          <w:spacing w:val="8"/>
          <w:sz w:val="28"/>
          <w:szCs w:val="28"/>
        </w:rPr>
        <w:t>至2024年</w:t>
      </w:r>
      <w:r>
        <w:rPr>
          <w:rFonts w:hint="eastAsia" w:ascii="仿宋_GB2312" w:hAnsi="仿宋" w:eastAsia="仿宋_GB2312" w:cs="宋体"/>
          <w:spacing w:val="8"/>
          <w:sz w:val="28"/>
          <w:szCs w:val="28"/>
          <w:lang w:eastAsia="zh-CN"/>
        </w:rPr>
        <w:t>12月25日</w:t>
      </w:r>
      <w:r>
        <w:rPr>
          <w:rFonts w:hint="eastAsia" w:ascii="仿宋_GB2312" w:hAnsi="仿宋" w:eastAsia="仿宋_GB2312" w:cs="宋体"/>
          <w:spacing w:val="8"/>
          <w:sz w:val="28"/>
          <w:szCs w:val="28"/>
        </w:rPr>
        <w:t>09</w:t>
      </w:r>
      <w:r>
        <w:rPr>
          <w:rFonts w:ascii="仿宋_GB2312" w:hAnsi="仿宋" w:eastAsia="仿宋_GB2312" w:cs="宋体"/>
          <w:spacing w:val="8"/>
          <w:sz w:val="28"/>
          <w:szCs w:val="28"/>
        </w:rPr>
        <w:t>时00分</w:t>
      </w:r>
    </w:p>
    <w:p w14:paraId="35CF0871">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地点：</w:t>
      </w:r>
      <w:r>
        <w:rPr>
          <w:rFonts w:hint="eastAsia" w:ascii="仿宋_GB2312" w:hAnsi="黑体" w:eastAsia="仿宋_GB2312" w:cs="宋体"/>
          <w:spacing w:val="8"/>
          <w:sz w:val="28"/>
          <w:szCs w:val="28"/>
        </w:rPr>
        <w:t>登录“威海市政府采购电子交易系统”（威海市公共资源交易网（乳山分中心）右侧“交易服务一网通办”登录后选择“政府采购”</w:t>
      </w:r>
      <w:r>
        <w:rPr>
          <w:rFonts w:hint="eastAsia" w:ascii="仿宋_GB2312" w:hAnsi="仿宋" w:eastAsia="仿宋_GB2312" w:cs="宋体"/>
          <w:spacing w:val="8"/>
          <w:sz w:val="28"/>
          <w:szCs w:val="28"/>
        </w:rPr>
        <w:t>网上递交。已在威海市政府采购电子交易系统获取文件的供应商在规定时间内递交电子投标（响应）文件。</w:t>
      </w:r>
    </w:p>
    <w:p w14:paraId="34C56098">
      <w:pPr>
        <w:widowControl/>
        <w:adjustRightInd w:val="0"/>
        <w:spacing w:line="360" w:lineRule="auto"/>
        <w:ind w:firstLine="560" w:firstLineChars="200"/>
        <w:jc w:val="left"/>
        <w:outlineLvl w:val="0"/>
        <w:rPr>
          <w:rFonts w:ascii="仿宋_GB2312" w:hAnsi="仿宋" w:eastAsia="仿宋_GB2312" w:cs="宋体"/>
          <w:spacing w:val="8"/>
          <w:sz w:val="28"/>
          <w:szCs w:val="28"/>
        </w:rPr>
      </w:pPr>
      <w:r>
        <w:rPr>
          <w:rFonts w:hint="eastAsia" w:ascii="黑体" w:hAnsi="黑体" w:eastAsia="黑体" w:cs="宋体"/>
          <w:sz w:val="28"/>
          <w:szCs w:val="28"/>
        </w:rPr>
        <w:t>五、开启</w:t>
      </w:r>
    </w:p>
    <w:p w14:paraId="18F96401">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时间：2024年</w:t>
      </w:r>
      <w:r>
        <w:rPr>
          <w:rFonts w:hint="eastAsia" w:ascii="仿宋_GB2312" w:hAnsi="仿宋" w:eastAsia="仿宋_GB2312" w:cs="宋体"/>
          <w:spacing w:val="8"/>
          <w:sz w:val="28"/>
          <w:szCs w:val="28"/>
          <w:lang w:eastAsia="zh-CN"/>
        </w:rPr>
        <w:t>12月25日</w:t>
      </w:r>
      <w:r>
        <w:rPr>
          <w:rFonts w:hint="eastAsia" w:ascii="仿宋_GB2312" w:hAnsi="仿宋" w:eastAsia="仿宋_GB2312" w:cs="宋体"/>
          <w:spacing w:val="8"/>
          <w:sz w:val="28"/>
          <w:szCs w:val="28"/>
        </w:rPr>
        <w:t>09时</w:t>
      </w:r>
      <w:r>
        <w:rPr>
          <w:rFonts w:ascii="仿宋_GB2312" w:hAnsi="仿宋" w:eastAsia="仿宋_GB2312" w:cs="宋体"/>
          <w:spacing w:val="8"/>
          <w:sz w:val="28"/>
          <w:szCs w:val="28"/>
        </w:rPr>
        <w:t>00分</w:t>
      </w:r>
      <w:r>
        <w:rPr>
          <w:rFonts w:hint="eastAsia" w:ascii="仿宋_GB2312" w:hAnsi="仿宋" w:eastAsia="仿宋_GB2312" w:cs="宋体"/>
          <w:spacing w:val="8"/>
          <w:sz w:val="28"/>
          <w:szCs w:val="28"/>
        </w:rPr>
        <w:t>（北京时间）</w:t>
      </w:r>
    </w:p>
    <w:p w14:paraId="27D3A8D8">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地点：威海市乳山市深圳路108号市民服务中心三楼</w:t>
      </w:r>
    </w:p>
    <w:p w14:paraId="05B22CC8">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六、公告期限</w:t>
      </w:r>
    </w:p>
    <w:p w14:paraId="39BDADB9">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自本公告发布之日起</w:t>
      </w:r>
      <w:r>
        <w:rPr>
          <w:rFonts w:ascii="仿宋_GB2312" w:hAnsi="仿宋" w:eastAsia="仿宋_GB2312" w:cs="宋体"/>
          <w:spacing w:val="8"/>
          <w:sz w:val="28"/>
          <w:szCs w:val="28"/>
        </w:rPr>
        <w:t>5</w:t>
      </w:r>
      <w:r>
        <w:rPr>
          <w:rFonts w:hint="eastAsia" w:ascii="仿宋_GB2312" w:hAnsi="仿宋" w:eastAsia="仿宋_GB2312" w:cs="宋体"/>
          <w:spacing w:val="8"/>
          <w:sz w:val="28"/>
          <w:szCs w:val="28"/>
        </w:rPr>
        <w:t>个工作日。</w:t>
      </w:r>
    </w:p>
    <w:p w14:paraId="6156CCCC">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七、其他补充事宜</w:t>
      </w:r>
    </w:p>
    <w:p w14:paraId="2FC2B963">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1、同时发布公告的媒体：威海市公共资源交易网、威海市公共资源交易网（乳山分中心）。</w:t>
      </w:r>
    </w:p>
    <w:p w14:paraId="057A53A6">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2、本项目实行全流程电子化，实行远程开标，报价供应商无需到现场，并保持通讯畅通，提前在个人电脑上进行测试确保音频、视频功能可正常使用，因通讯不畅造成的一切后果由供应商自行承担。供应商应提前熟悉交易系统，通过交易系统线上参加开启（解密）活动，不熟悉系统操作产生的风险由供应商承担。</w:t>
      </w:r>
    </w:p>
    <w:p w14:paraId="6D10D59D">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3、报价截止时间前，随时关注威海市公共资源交易网、威海市公共资源交易网（乳山分中心）及威海市乳山市政府采购电子交易系统内变更提醒。</w:t>
      </w:r>
    </w:p>
    <w:p w14:paraId="333ED987">
      <w:pPr>
        <w:spacing w:line="360" w:lineRule="auto"/>
        <w:ind w:firstLine="560" w:firstLineChars="200"/>
        <w:outlineLvl w:val="0"/>
        <w:rPr>
          <w:rFonts w:ascii="黑体" w:hAnsi="黑体" w:eastAsia="黑体" w:cs="宋体"/>
          <w:sz w:val="28"/>
          <w:szCs w:val="28"/>
        </w:rPr>
      </w:pPr>
      <w:r>
        <w:rPr>
          <w:rFonts w:hint="eastAsia" w:ascii="黑体" w:hAnsi="黑体" w:eastAsia="黑体" w:cs="宋体"/>
          <w:sz w:val="28"/>
          <w:szCs w:val="28"/>
        </w:rPr>
        <w:t>八、对本次采购提出询问，请按以下方式联系。</w:t>
      </w:r>
    </w:p>
    <w:p w14:paraId="1ED235C0">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1.采购人信息</w:t>
      </w:r>
    </w:p>
    <w:p w14:paraId="4714094C">
      <w:pPr>
        <w:widowControl/>
        <w:adjustRightInd w:val="0"/>
        <w:spacing w:line="360" w:lineRule="auto"/>
        <w:ind w:firstLine="592" w:firstLineChars="200"/>
        <w:jc w:val="left"/>
        <w:rPr>
          <w:rFonts w:hint="eastAsia" w:ascii="仿宋_GB2312" w:hAnsi="仿宋" w:eastAsia="仿宋_GB2312" w:cs="宋体"/>
          <w:spacing w:val="8"/>
          <w:sz w:val="28"/>
          <w:szCs w:val="28"/>
          <w:lang w:eastAsia="zh-CN"/>
        </w:rPr>
      </w:pPr>
      <w:r>
        <w:rPr>
          <w:rFonts w:hint="eastAsia" w:ascii="仿宋_GB2312" w:hAnsi="仿宋" w:eastAsia="仿宋_GB2312" w:cs="宋体"/>
          <w:spacing w:val="8"/>
          <w:sz w:val="28"/>
          <w:szCs w:val="28"/>
        </w:rPr>
        <w:t>名  称：</w:t>
      </w:r>
      <w:r>
        <w:rPr>
          <w:rFonts w:hint="eastAsia" w:ascii="仿宋_GB2312" w:hAnsi="仿宋" w:eastAsia="仿宋_GB2312" w:cs="宋体"/>
          <w:spacing w:val="8"/>
          <w:sz w:val="28"/>
          <w:szCs w:val="28"/>
          <w:lang w:eastAsia="zh-CN"/>
        </w:rPr>
        <w:t>乳山市发展和改革局（乳山市人民防空办公室、乳山市国防动员办公室）</w:t>
      </w:r>
    </w:p>
    <w:p w14:paraId="17D15A3A">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地  址：乳山市府前路5-1号</w:t>
      </w:r>
    </w:p>
    <w:p w14:paraId="1D218EB1">
      <w:pPr>
        <w:widowControl/>
        <w:adjustRightInd w:val="0"/>
        <w:spacing w:line="360" w:lineRule="auto"/>
        <w:ind w:firstLine="592" w:firstLineChars="200"/>
        <w:jc w:val="left"/>
        <w:rPr>
          <w:rFonts w:hint="eastAsia" w:ascii="仿宋_GB2312" w:hAnsi="仿宋" w:eastAsia="仿宋_GB2312" w:cs="宋体"/>
          <w:spacing w:val="8"/>
          <w:sz w:val="28"/>
          <w:szCs w:val="28"/>
          <w:lang w:eastAsia="zh-CN"/>
        </w:rPr>
      </w:pPr>
      <w:r>
        <w:rPr>
          <w:rFonts w:hint="eastAsia" w:ascii="仿宋_GB2312" w:hAnsi="仿宋" w:eastAsia="仿宋_GB2312" w:cs="宋体"/>
          <w:spacing w:val="8"/>
          <w:sz w:val="28"/>
          <w:szCs w:val="28"/>
        </w:rPr>
        <w:t>联系方式：</w:t>
      </w:r>
      <w:r>
        <w:rPr>
          <w:rFonts w:hint="eastAsia" w:ascii="仿宋_GB2312" w:hAnsi="仿宋" w:eastAsia="仿宋_GB2312" w:cs="宋体"/>
          <w:spacing w:val="8"/>
          <w:sz w:val="28"/>
          <w:szCs w:val="28"/>
          <w:lang w:eastAsia="zh-CN"/>
        </w:rPr>
        <w:t>0631-6660282</w:t>
      </w:r>
    </w:p>
    <w:p w14:paraId="75F372B9">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2.采购代理机构信息</w:t>
      </w:r>
    </w:p>
    <w:p w14:paraId="25767F99">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名  称：山东华正建筑设计咨询有限公司</w:t>
      </w:r>
    </w:p>
    <w:p w14:paraId="5900E416">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地  址：乳山市北环路53-3号</w:t>
      </w:r>
    </w:p>
    <w:p w14:paraId="5CC7D72A">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联系方式：0631-6665979</w:t>
      </w:r>
    </w:p>
    <w:p w14:paraId="48F9D2CF">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3.项目联系方式</w:t>
      </w:r>
    </w:p>
    <w:p w14:paraId="5CA1B3B9">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项目联系人：陈磊</w:t>
      </w:r>
    </w:p>
    <w:p w14:paraId="18AC2BC6">
      <w:pPr>
        <w:widowControl/>
        <w:adjustRightInd w:val="0"/>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电  话：0631-6665979</w:t>
      </w:r>
    </w:p>
    <w:p w14:paraId="352ACB15">
      <w:pPr>
        <w:widowControl/>
        <w:adjustRightInd w:val="0"/>
        <w:spacing w:line="360" w:lineRule="auto"/>
        <w:ind w:firstLine="592" w:firstLineChars="200"/>
        <w:jc w:val="left"/>
        <w:rPr>
          <w:rFonts w:ascii="仿宋_GB2312" w:hAnsi="仿宋" w:eastAsia="仿宋_GB2312" w:cs="宋体"/>
          <w:spacing w:val="8"/>
          <w:sz w:val="28"/>
          <w:szCs w:val="28"/>
        </w:rPr>
      </w:pPr>
    </w:p>
    <w:p w14:paraId="18952CC6">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发布人：山东华正建筑设计咨询有限公司</w:t>
      </w:r>
      <w:r>
        <w:rPr>
          <w:rFonts w:hint="eastAsia" w:ascii="仿宋_GB2312" w:hAnsi="宋体" w:eastAsia="仿宋_GB2312"/>
          <w:sz w:val="28"/>
          <w:szCs w:val="28"/>
        </w:rPr>
        <w:t xml:space="preserve"> </w:t>
      </w:r>
    </w:p>
    <w:p w14:paraId="6775218F">
      <w:pPr>
        <w:widowControl/>
        <w:adjustRightInd w:val="0"/>
        <w:spacing w:line="360" w:lineRule="auto"/>
        <w:ind w:left="-240"/>
        <w:jc w:val="right"/>
        <w:rPr>
          <w:rFonts w:hint="eastAsia" w:ascii="仿宋_GB2312" w:hAnsi="宋体" w:eastAsia="仿宋_GB2312" w:cs="宋体"/>
          <w:sz w:val="28"/>
          <w:szCs w:val="28"/>
          <w:lang w:eastAsia="zh-CN"/>
        </w:rPr>
      </w:pPr>
      <w:r>
        <w:rPr>
          <w:rFonts w:hint="eastAsia" w:ascii="仿宋_GB2312" w:hAnsi="宋体" w:eastAsia="仿宋_GB2312" w:cs="宋体"/>
          <w:sz w:val="28"/>
          <w:szCs w:val="28"/>
        </w:rPr>
        <w:t>发布时间：2024年</w:t>
      </w:r>
      <w:r>
        <w:rPr>
          <w:rFonts w:hint="eastAsia" w:ascii="仿宋_GB2312" w:hAnsi="宋体" w:eastAsia="仿宋_GB2312" w:cs="宋体"/>
          <w:sz w:val="28"/>
          <w:szCs w:val="28"/>
          <w:lang w:eastAsia="zh-CN"/>
        </w:rPr>
        <w:t>12月12日</w:t>
      </w:r>
    </w:p>
    <w:p w14:paraId="5C821073">
      <w:pPr>
        <w:widowControl/>
        <w:adjustRightInd w:val="0"/>
        <w:spacing w:line="360" w:lineRule="auto"/>
        <w:ind w:left="-298" w:leftChars="-142" w:right="280"/>
        <w:jc w:val="left"/>
        <w:rPr>
          <w:rFonts w:ascii="黑体" w:hAnsi="黑体" w:eastAsia="黑体" w:cs="宋体"/>
          <w:sz w:val="32"/>
          <w:szCs w:val="32"/>
        </w:rPr>
      </w:pPr>
    </w:p>
    <w:p w14:paraId="48FF45DD">
      <w:pPr>
        <w:rPr>
          <w:rFonts w:ascii="楷体_GB2312" w:hAnsi="宋体" w:eastAsia="楷体_GB2312" w:cs="宋体"/>
          <w:sz w:val="44"/>
          <w:szCs w:val="44"/>
        </w:rPr>
      </w:pPr>
      <w:r>
        <w:rPr>
          <w:rFonts w:hint="eastAsia" w:ascii="楷体_GB2312" w:hAnsi="宋体" w:eastAsia="楷体_GB2312" w:cs="宋体"/>
          <w:sz w:val="44"/>
          <w:szCs w:val="44"/>
        </w:rPr>
        <w:br w:type="page"/>
      </w:r>
    </w:p>
    <w:p w14:paraId="24895943">
      <w:pPr>
        <w:pStyle w:val="31"/>
        <w:spacing w:before="100" w:beforeAutospacing="1" w:after="100" w:afterAutospacing="1" w:line="415" w:lineRule="auto"/>
        <w:rPr>
          <w:rFonts w:ascii="楷体_GB2312" w:hAnsi="宋体" w:eastAsia="楷体_GB2312" w:cs="宋体"/>
          <w:sz w:val="44"/>
          <w:szCs w:val="44"/>
        </w:rPr>
        <w:sectPr>
          <w:headerReference r:id="rId8" w:type="default"/>
          <w:footerReference r:id="rId9" w:type="default"/>
          <w:pgSz w:w="11906" w:h="16838"/>
          <w:pgMar w:top="1440" w:right="1077" w:bottom="1440" w:left="1077" w:header="851" w:footer="992" w:gutter="0"/>
          <w:cols w:space="720" w:num="1"/>
          <w:docGrid w:type="lines" w:linePitch="312" w:charSpace="0"/>
        </w:sectPr>
      </w:pPr>
      <w:r>
        <w:rPr>
          <w:rFonts w:hint="eastAsia" w:ascii="楷体_GB2312" w:hAnsi="宋体" w:eastAsia="楷体_GB2312" w:cs="宋体"/>
          <w:sz w:val="44"/>
          <w:szCs w:val="44"/>
        </w:rPr>
        <w:t>第二章 投标（响应）须知</w:t>
      </w:r>
    </w:p>
    <w:p w14:paraId="255E5C55">
      <w:pPr>
        <w:spacing w:line="560" w:lineRule="exact"/>
        <w:jc w:val="center"/>
        <w:rPr>
          <w:rFonts w:ascii="黑体" w:hAnsi="黑体" w:eastAsia="黑体"/>
          <w:sz w:val="32"/>
          <w:szCs w:val="32"/>
        </w:rPr>
      </w:pPr>
      <w:r>
        <w:rPr>
          <w:rFonts w:hint="eastAsia" w:ascii="黑体" w:hAnsi="黑体" w:eastAsia="黑体"/>
          <w:sz w:val="32"/>
          <w:szCs w:val="32"/>
        </w:rPr>
        <w:t>响应</w:t>
      </w:r>
      <w:r>
        <w:rPr>
          <w:rFonts w:ascii="黑体" w:hAnsi="黑体" w:eastAsia="黑体"/>
          <w:sz w:val="32"/>
          <w:szCs w:val="32"/>
        </w:rPr>
        <w:t>须知前附表</w:t>
      </w:r>
    </w:p>
    <w:p w14:paraId="2DF6B05D">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本表是本采购项目的具体资料，是对供应商须知的汇总和补充，如本次磋商文件中其他内容与本表载明的内容不一致，应以本表为准。</w:t>
      </w:r>
    </w:p>
    <w:tbl>
      <w:tblPr>
        <w:tblStyle w:val="3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291"/>
      </w:tblGrid>
      <w:tr w14:paraId="1E9382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76F1AFB">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8291" w:type="dxa"/>
            <w:tcBorders>
              <w:top w:val="single" w:color="auto" w:sz="4" w:space="0"/>
              <w:left w:val="single" w:color="auto" w:sz="4" w:space="0"/>
              <w:bottom w:val="single" w:color="auto" w:sz="4" w:space="0"/>
            </w:tcBorders>
            <w:vAlign w:val="center"/>
          </w:tcPr>
          <w:p w14:paraId="7CF6F778">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64A711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5A9379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8291" w:type="dxa"/>
            <w:tcBorders>
              <w:top w:val="single" w:color="auto" w:sz="4" w:space="0"/>
              <w:left w:val="single" w:color="auto" w:sz="4" w:space="0"/>
              <w:bottom w:val="single" w:color="auto" w:sz="4" w:space="0"/>
            </w:tcBorders>
            <w:vAlign w:val="center"/>
          </w:tcPr>
          <w:p w14:paraId="5716EC4B">
            <w:pPr>
              <w:spacing w:line="560" w:lineRule="exact"/>
              <w:rPr>
                <w:rFonts w:ascii="仿宋_GB2312" w:hAnsi="宋体" w:eastAsia="仿宋_GB2312"/>
                <w:sz w:val="28"/>
                <w:szCs w:val="28"/>
              </w:rPr>
            </w:pPr>
            <w:r>
              <w:rPr>
                <w:rFonts w:hint="eastAsia" w:ascii="仿宋_GB2312" w:hAnsi="宋体" w:eastAsia="仿宋_GB2312"/>
                <w:sz w:val="28"/>
                <w:szCs w:val="28"/>
              </w:rPr>
              <w:t>项目名称：乳山市500MW/1000MWh电化学储能项目可研报告及电力接入系统论证报告</w:t>
            </w:r>
          </w:p>
        </w:tc>
      </w:tr>
      <w:tr w14:paraId="0C40D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7239658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8291" w:type="dxa"/>
            <w:tcBorders>
              <w:top w:val="single" w:color="auto" w:sz="4" w:space="0"/>
              <w:left w:val="single" w:color="auto" w:sz="4" w:space="0"/>
              <w:bottom w:val="single" w:color="auto" w:sz="4" w:space="0"/>
            </w:tcBorders>
            <w:vAlign w:val="center"/>
          </w:tcPr>
          <w:p w14:paraId="7E858C09">
            <w:pPr>
              <w:spacing w:line="560" w:lineRule="exact"/>
              <w:rPr>
                <w:rFonts w:ascii="仿宋_GB2312" w:hAnsi="宋体" w:eastAsia="仿宋_GB2312"/>
                <w:sz w:val="28"/>
                <w:szCs w:val="28"/>
              </w:rPr>
            </w:pPr>
            <w:r>
              <w:rPr>
                <w:rFonts w:hint="eastAsia" w:ascii="仿宋_GB2312" w:hAnsi="宋体" w:eastAsia="仿宋_GB2312"/>
                <w:sz w:val="28"/>
                <w:szCs w:val="28"/>
              </w:rPr>
              <w:t>项目编号：SDHZ2024-028</w:t>
            </w:r>
          </w:p>
        </w:tc>
      </w:tr>
      <w:tr w14:paraId="5DC5B5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3D30AAFA">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8291" w:type="dxa"/>
            <w:tcBorders>
              <w:top w:val="single" w:color="auto" w:sz="4" w:space="0"/>
              <w:left w:val="single" w:color="auto" w:sz="4" w:space="0"/>
              <w:bottom w:val="single" w:color="auto" w:sz="4" w:space="0"/>
            </w:tcBorders>
            <w:vAlign w:val="center"/>
          </w:tcPr>
          <w:p w14:paraId="54F88BE3">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采购人名称：</w:t>
            </w:r>
            <w:r>
              <w:rPr>
                <w:rFonts w:hint="eastAsia" w:ascii="仿宋_GB2312" w:hAnsi="宋体" w:eastAsia="仿宋_GB2312"/>
                <w:sz w:val="28"/>
                <w:szCs w:val="28"/>
                <w:lang w:eastAsia="zh-CN"/>
              </w:rPr>
              <w:t>乳山市发展和改革局（乳山市人民防空办公室、乳山市国防动员办公室）</w:t>
            </w:r>
          </w:p>
          <w:p w14:paraId="7F18DDA3">
            <w:pPr>
              <w:spacing w:line="560" w:lineRule="exact"/>
              <w:rPr>
                <w:rFonts w:ascii="仿宋_GB2312" w:hAnsi="宋体" w:eastAsia="仿宋_GB2312"/>
                <w:sz w:val="28"/>
                <w:szCs w:val="28"/>
              </w:rPr>
            </w:pPr>
            <w:r>
              <w:rPr>
                <w:rFonts w:hint="eastAsia" w:ascii="仿宋_GB2312" w:hAnsi="宋体" w:eastAsia="仿宋_GB2312"/>
                <w:sz w:val="28"/>
                <w:szCs w:val="28"/>
              </w:rPr>
              <w:t>地址：</w:t>
            </w:r>
            <w:r>
              <w:rPr>
                <w:rFonts w:hint="eastAsia" w:ascii="仿宋_GB2312" w:hAnsi="仿宋" w:eastAsia="仿宋_GB2312" w:cs="宋体"/>
                <w:spacing w:val="8"/>
                <w:sz w:val="28"/>
                <w:szCs w:val="28"/>
              </w:rPr>
              <w:t>乳山市府前路5-1号</w:t>
            </w:r>
          </w:p>
          <w:p w14:paraId="7DC68DE1">
            <w:pPr>
              <w:spacing w:line="560" w:lineRule="exact"/>
              <w:rPr>
                <w:rFonts w:ascii="仿宋_GB2312" w:hAnsi="宋体" w:eastAsia="仿宋_GB2312"/>
                <w:sz w:val="28"/>
                <w:szCs w:val="28"/>
              </w:rPr>
            </w:pPr>
            <w:r>
              <w:rPr>
                <w:rFonts w:hint="eastAsia" w:ascii="仿宋_GB2312" w:hAnsi="宋体" w:eastAsia="仿宋_GB2312"/>
                <w:sz w:val="28"/>
                <w:szCs w:val="28"/>
              </w:rPr>
              <w:t>联系人：于露</w:t>
            </w:r>
          </w:p>
          <w:p w14:paraId="7F627B2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联系方式：</w:t>
            </w:r>
            <w:r>
              <w:rPr>
                <w:rFonts w:hint="eastAsia" w:ascii="仿宋_GB2312" w:hAnsi="宋体" w:eastAsia="仿宋_GB2312"/>
                <w:sz w:val="28"/>
                <w:szCs w:val="28"/>
                <w:lang w:eastAsia="zh-CN"/>
              </w:rPr>
              <w:t>0631-6660282</w:t>
            </w:r>
          </w:p>
        </w:tc>
      </w:tr>
      <w:tr w14:paraId="2D7F79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332BCFB5">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8291" w:type="dxa"/>
            <w:tcBorders>
              <w:top w:val="single" w:color="auto" w:sz="4" w:space="0"/>
              <w:left w:val="single" w:color="auto" w:sz="4" w:space="0"/>
              <w:bottom w:val="single" w:color="auto" w:sz="4" w:space="0"/>
            </w:tcBorders>
            <w:vAlign w:val="center"/>
          </w:tcPr>
          <w:p w14:paraId="52E6EAE4">
            <w:pPr>
              <w:spacing w:line="560" w:lineRule="exact"/>
              <w:rPr>
                <w:rFonts w:ascii="仿宋_GB2312" w:hAnsi="宋体" w:eastAsia="仿宋_GB2312"/>
                <w:sz w:val="28"/>
                <w:szCs w:val="28"/>
              </w:rPr>
            </w:pPr>
            <w:r>
              <w:rPr>
                <w:rFonts w:hint="eastAsia" w:ascii="仿宋_GB2312" w:hAnsi="宋体" w:eastAsia="仿宋_GB2312"/>
                <w:sz w:val="28"/>
                <w:szCs w:val="28"/>
              </w:rPr>
              <w:t>采购代理机构名称：山东华正建筑设计咨询有限公司</w:t>
            </w:r>
          </w:p>
          <w:p w14:paraId="7EA75749">
            <w:pPr>
              <w:spacing w:line="560" w:lineRule="exact"/>
              <w:rPr>
                <w:rFonts w:ascii="仿宋_GB2312" w:hAnsi="宋体" w:eastAsia="仿宋_GB2312"/>
                <w:sz w:val="28"/>
                <w:szCs w:val="28"/>
              </w:rPr>
            </w:pPr>
            <w:r>
              <w:rPr>
                <w:rFonts w:hint="eastAsia" w:ascii="仿宋_GB2312" w:hAnsi="宋体" w:eastAsia="仿宋_GB2312"/>
                <w:sz w:val="28"/>
                <w:szCs w:val="28"/>
              </w:rPr>
              <w:t>地址：乳山市北环路53-3号</w:t>
            </w:r>
            <w:r>
              <w:rPr>
                <w:rFonts w:ascii="仿宋_GB2312" w:hAnsi="宋体" w:eastAsia="仿宋_GB2312"/>
                <w:sz w:val="28"/>
                <w:szCs w:val="28"/>
              </w:rPr>
              <w:t xml:space="preserve"> </w:t>
            </w:r>
          </w:p>
          <w:p w14:paraId="30AA9332">
            <w:pPr>
              <w:spacing w:line="560" w:lineRule="exact"/>
              <w:rPr>
                <w:rFonts w:ascii="仿宋_GB2312" w:hAnsi="宋体" w:eastAsia="仿宋_GB2312"/>
                <w:sz w:val="28"/>
                <w:szCs w:val="28"/>
              </w:rPr>
            </w:pPr>
            <w:r>
              <w:rPr>
                <w:rFonts w:hint="eastAsia" w:ascii="仿宋_GB2312" w:hAnsi="宋体" w:eastAsia="仿宋_GB2312"/>
                <w:sz w:val="28"/>
                <w:szCs w:val="28"/>
              </w:rPr>
              <w:t>联系人：陈磊</w:t>
            </w:r>
          </w:p>
          <w:p w14:paraId="29C06631">
            <w:pPr>
              <w:spacing w:line="560" w:lineRule="exact"/>
              <w:rPr>
                <w:rFonts w:ascii="仿宋_GB2312" w:hAnsi="宋体" w:eastAsia="仿宋_GB2312"/>
                <w:sz w:val="28"/>
                <w:szCs w:val="28"/>
              </w:rPr>
            </w:pPr>
            <w:r>
              <w:rPr>
                <w:rFonts w:hint="eastAsia" w:ascii="仿宋_GB2312" w:hAnsi="宋体" w:eastAsia="仿宋_GB2312"/>
                <w:sz w:val="28"/>
                <w:szCs w:val="28"/>
              </w:rPr>
              <w:t>联系方式：0631-6665979</w:t>
            </w:r>
          </w:p>
        </w:tc>
      </w:tr>
      <w:tr w14:paraId="2B240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24BE52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5</w:t>
            </w:r>
          </w:p>
        </w:tc>
        <w:tc>
          <w:tcPr>
            <w:tcW w:w="8291" w:type="dxa"/>
            <w:tcBorders>
              <w:top w:val="single" w:color="auto" w:sz="4" w:space="0"/>
              <w:left w:val="single" w:color="auto" w:sz="4" w:space="0"/>
              <w:bottom w:val="single" w:color="auto" w:sz="4" w:space="0"/>
            </w:tcBorders>
            <w:vAlign w:val="center"/>
          </w:tcPr>
          <w:p w14:paraId="44B05D25">
            <w:pPr>
              <w:spacing w:line="560" w:lineRule="exact"/>
              <w:jc w:val="left"/>
              <w:rPr>
                <w:rFonts w:ascii="仿宋_GB2312" w:hAnsi="宋体" w:eastAsia="仿宋_GB2312"/>
                <w:sz w:val="28"/>
                <w:szCs w:val="28"/>
              </w:rPr>
            </w:pPr>
            <w:r>
              <w:rPr>
                <w:rFonts w:hint="eastAsia" w:ascii="仿宋_GB2312" w:hAnsi="宋体" w:eastAsia="仿宋_GB2312"/>
                <w:sz w:val="28"/>
                <w:szCs w:val="28"/>
              </w:rPr>
              <w:t>资质证明文件原件：无需提供资质证明文件原件</w:t>
            </w:r>
          </w:p>
        </w:tc>
      </w:tr>
      <w:tr w14:paraId="683763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BED9D9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8291" w:type="dxa"/>
            <w:tcBorders>
              <w:top w:val="single" w:color="auto" w:sz="4" w:space="0"/>
              <w:left w:val="single" w:color="auto" w:sz="4" w:space="0"/>
              <w:bottom w:val="single" w:color="auto" w:sz="4" w:space="0"/>
            </w:tcBorders>
            <w:vAlign w:val="center"/>
          </w:tcPr>
          <w:p w14:paraId="34135057">
            <w:pPr>
              <w:spacing w:line="560" w:lineRule="exact"/>
              <w:rPr>
                <w:rFonts w:ascii="仿宋_GB2312" w:hAnsi="宋体" w:eastAsia="仿宋_GB2312"/>
                <w:sz w:val="28"/>
                <w:szCs w:val="28"/>
              </w:rPr>
            </w:pPr>
            <w:r>
              <w:rPr>
                <w:rFonts w:hint="eastAsia" w:ascii="仿宋_GB2312" w:hAnsi="宋体" w:eastAsia="仿宋_GB2312"/>
                <w:sz w:val="28"/>
                <w:szCs w:val="28"/>
              </w:rPr>
              <w:t>响应文件份数：网上按时递交电子响应文件1份</w:t>
            </w:r>
          </w:p>
        </w:tc>
      </w:tr>
      <w:tr w14:paraId="2847B9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777EFEA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8291" w:type="dxa"/>
            <w:tcBorders>
              <w:top w:val="single" w:color="auto" w:sz="4" w:space="0"/>
              <w:left w:val="single" w:color="auto" w:sz="4" w:space="0"/>
              <w:bottom w:val="single" w:color="auto" w:sz="4" w:space="0"/>
            </w:tcBorders>
            <w:vAlign w:val="center"/>
          </w:tcPr>
          <w:p w14:paraId="66D40F23">
            <w:pPr>
              <w:spacing w:line="560" w:lineRule="exact"/>
              <w:rPr>
                <w:rFonts w:ascii="仿宋_GB2312" w:hAnsi="宋体" w:eastAsia="仿宋_GB2312"/>
                <w:sz w:val="28"/>
                <w:szCs w:val="28"/>
              </w:rPr>
            </w:pPr>
            <w:r>
              <w:rPr>
                <w:rFonts w:hint="eastAsia" w:ascii="仿宋_GB2312" w:hAnsi="宋体" w:eastAsia="仿宋_GB2312"/>
                <w:sz w:val="28"/>
                <w:szCs w:val="28"/>
              </w:rPr>
              <w:t>是否允许分包：否</w:t>
            </w:r>
          </w:p>
          <w:p w14:paraId="414AB875">
            <w:pPr>
              <w:spacing w:line="560" w:lineRule="exact"/>
              <w:rPr>
                <w:rFonts w:ascii="仿宋_GB2312" w:hAnsi="宋体" w:eastAsia="仿宋_GB2312"/>
                <w:sz w:val="28"/>
                <w:szCs w:val="28"/>
              </w:rPr>
            </w:pPr>
            <w:r>
              <w:rPr>
                <w:rFonts w:hint="eastAsia" w:ascii="仿宋_GB2312" w:hAnsi="宋体" w:eastAsia="仿宋_GB2312"/>
                <w:sz w:val="28"/>
                <w:szCs w:val="28"/>
              </w:rPr>
              <w:t>实物样品：无</w:t>
            </w:r>
          </w:p>
        </w:tc>
      </w:tr>
      <w:tr w14:paraId="68B01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303E315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8291" w:type="dxa"/>
            <w:tcBorders>
              <w:top w:val="single" w:color="auto" w:sz="4" w:space="0"/>
              <w:left w:val="single" w:color="auto" w:sz="4" w:space="0"/>
              <w:bottom w:val="single" w:color="auto" w:sz="4" w:space="0"/>
            </w:tcBorders>
            <w:vAlign w:val="center"/>
          </w:tcPr>
          <w:p w14:paraId="1445E9CD">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现场踏勘：无 </w:t>
            </w:r>
          </w:p>
        </w:tc>
      </w:tr>
      <w:tr w14:paraId="25202C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9D43815">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8291" w:type="dxa"/>
            <w:tcBorders>
              <w:top w:val="single" w:color="auto" w:sz="4" w:space="0"/>
              <w:left w:val="single" w:color="auto" w:sz="4" w:space="0"/>
              <w:bottom w:val="single" w:color="auto" w:sz="4" w:space="0"/>
            </w:tcBorders>
            <w:vAlign w:val="center"/>
          </w:tcPr>
          <w:p w14:paraId="1617B8E3">
            <w:pPr>
              <w:spacing w:line="560" w:lineRule="exact"/>
              <w:rPr>
                <w:rFonts w:ascii="仿宋_GB2312" w:hAnsi="宋体" w:eastAsia="仿宋_GB2312"/>
                <w:sz w:val="28"/>
                <w:szCs w:val="28"/>
              </w:rPr>
            </w:pPr>
            <w:r>
              <w:rPr>
                <w:rFonts w:hint="eastAsia" w:ascii="仿宋_GB2312" w:hAnsi="宋体" w:eastAsia="仿宋_GB2312"/>
                <w:sz w:val="28"/>
                <w:szCs w:val="28"/>
              </w:rPr>
              <w:t xml:space="preserve">现场演示：无 </w:t>
            </w:r>
          </w:p>
        </w:tc>
      </w:tr>
      <w:tr w14:paraId="5702F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94AB7A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8291" w:type="dxa"/>
            <w:tcBorders>
              <w:top w:val="single" w:color="auto" w:sz="4" w:space="0"/>
              <w:left w:val="single" w:color="auto" w:sz="4" w:space="0"/>
              <w:bottom w:val="single" w:color="auto" w:sz="4" w:space="0"/>
            </w:tcBorders>
            <w:vAlign w:val="center"/>
          </w:tcPr>
          <w:p w14:paraId="42941C7B">
            <w:pPr>
              <w:spacing w:line="560" w:lineRule="exact"/>
              <w:rPr>
                <w:rFonts w:ascii="仿宋_GB2312" w:hAnsi="宋体" w:eastAsia="仿宋_GB2312"/>
                <w:sz w:val="28"/>
                <w:szCs w:val="28"/>
              </w:rPr>
            </w:pPr>
            <w:r>
              <w:rPr>
                <w:rFonts w:hint="eastAsia" w:ascii="仿宋_GB2312" w:hAnsi="宋体" w:eastAsia="仿宋_GB2312"/>
                <w:sz w:val="28"/>
                <w:szCs w:val="28"/>
              </w:rPr>
              <w:t>报价有效期：开标之日起90天</w:t>
            </w:r>
          </w:p>
        </w:tc>
      </w:tr>
      <w:tr w14:paraId="5DAEDA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90" w:hRule="atLeast"/>
          <w:jc w:val="center"/>
        </w:trPr>
        <w:tc>
          <w:tcPr>
            <w:tcW w:w="908" w:type="dxa"/>
            <w:tcBorders>
              <w:top w:val="single" w:color="auto" w:sz="4" w:space="0"/>
              <w:bottom w:val="single" w:color="auto" w:sz="4" w:space="0"/>
              <w:right w:val="single" w:color="auto" w:sz="4" w:space="0"/>
            </w:tcBorders>
            <w:vAlign w:val="center"/>
          </w:tcPr>
          <w:p w14:paraId="7F0EDC45">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8291" w:type="dxa"/>
            <w:tcBorders>
              <w:top w:val="single" w:color="auto" w:sz="4" w:space="0"/>
              <w:left w:val="single" w:color="auto" w:sz="4" w:space="0"/>
              <w:bottom w:val="single" w:color="auto" w:sz="4" w:space="0"/>
            </w:tcBorders>
            <w:vAlign w:val="center"/>
          </w:tcPr>
          <w:p w14:paraId="790D432C">
            <w:pPr>
              <w:spacing w:line="560" w:lineRule="exact"/>
              <w:rPr>
                <w:rFonts w:ascii="仿宋_GB2312" w:hAnsi="宋体" w:eastAsia="仿宋_GB2312"/>
                <w:sz w:val="28"/>
                <w:szCs w:val="28"/>
              </w:rPr>
            </w:pPr>
            <w:r>
              <w:rPr>
                <w:rFonts w:hint="eastAsia" w:ascii="仿宋_GB2312" w:hAnsi="宋体" w:eastAsia="仿宋_GB2312"/>
                <w:sz w:val="28"/>
                <w:szCs w:val="28"/>
              </w:rPr>
              <w:t>是否专门面向</w:t>
            </w:r>
            <w:r>
              <w:rPr>
                <w:rFonts w:ascii="仿宋_GB2312" w:hAnsi="宋体" w:eastAsia="仿宋_GB2312"/>
                <w:sz w:val="28"/>
                <w:szCs w:val="28"/>
              </w:rPr>
              <w:t>中小企业采购</w:t>
            </w:r>
            <w:r>
              <w:rPr>
                <w:rFonts w:hint="eastAsia" w:ascii="仿宋_GB2312" w:hAnsi="宋体" w:eastAsia="仿宋_GB2312"/>
                <w:sz w:val="28"/>
                <w:szCs w:val="28"/>
              </w:rPr>
              <w:t>：</w:t>
            </w:r>
            <w:r>
              <w:rPr>
                <w:rFonts w:ascii="仿宋_GB2312" w:hAnsi="宋体" w:eastAsia="仿宋_GB2312"/>
                <w:sz w:val="28"/>
                <w:szCs w:val="28"/>
              </w:rPr>
              <w:t>否</w:t>
            </w:r>
          </w:p>
        </w:tc>
      </w:tr>
      <w:tr w14:paraId="400FCF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43EAEDE1">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8291" w:type="dxa"/>
            <w:tcBorders>
              <w:top w:val="single" w:color="auto" w:sz="4" w:space="0"/>
              <w:left w:val="single" w:color="auto" w:sz="4" w:space="0"/>
              <w:bottom w:val="single" w:color="auto" w:sz="4" w:space="0"/>
            </w:tcBorders>
            <w:vAlign w:val="center"/>
          </w:tcPr>
          <w:p w14:paraId="309890F4">
            <w:pPr>
              <w:spacing w:line="560" w:lineRule="exact"/>
              <w:rPr>
                <w:rFonts w:ascii="仿宋_GB2312" w:hAnsi="宋体" w:eastAsia="仿宋_GB2312"/>
                <w:sz w:val="28"/>
                <w:szCs w:val="28"/>
              </w:rPr>
            </w:pPr>
            <w:r>
              <w:rPr>
                <w:rFonts w:hint="eastAsia" w:ascii="仿宋_GB2312" w:hAnsi="宋体" w:eastAsia="仿宋_GB2312"/>
                <w:sz w:val="28"/>
                <w:szCs w:val="28"/>
              </w:rPr>
              <w:t>本项目不</w:t>
            </w:r>
            <w:r>
              <w:rPr>
                <w:rFonts w:ascii="仿宋_GB2312" w:hAnsi="宋体" w:eastAsia="仿宋_GB2312"/>
                <w:sz w:val="28"/>
                <w:szCs w:val="28"/>
              </w:rPr>
              <w:t>允许</w:t>
            </w:r>
            <w:r>
              <w:rPr>
                <w:rFonts w:hint="eastAsia" w:ascii="仿宋_GB2312" w:hAnsi="宋体" w:eastAsia="仿宋_GB2312"/>
                <w:sz w:val="28"/>
                <w:szCs w:val="28"/>
              </w:rPr>
              <w:t>投报</w:t>
            </w:r>
            <w:r>
              <w:rPr>
                <w:rFonts w:ascii="仿宋_GB2312" w:hAnsi="宋体" w:eastAsia="仿宋_GB2312"/>
                <w:sz w:val="28"/>
                <w:szCs w:val="28"/>
              </w:rPr>
              <w:t>进口产品</w:t>
            </w:r>
          </w:p>
        </w:tc>
      </w:tr>
      <w:tr w14:paraId="3F7233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4EB54B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8291" w:type="dxa"/>
            <w:tcBorders>
              <w:top w:val="single" w:color="auto" w:sz="4" w:space="0"/>
              <w:left w:val="single" w:color="auto" w:sz="4" w:space="0"/>
              <w:bottom w:val="single" w:color="auto" w:sz="4" w:space="0"/>
            </w:tcBorders>
            <w:vAlign w:val="center"/>
          </w:tcPr>
          <w:p w14:paraId="6529E6F1">
            <w:pPr>
              <w:spacing w:line="600" w:lineRule="exact"/>
              <w:rPr>
                <w:rFonts w:ascii="仿宋_GB2312" w:hAnsi="宋体" w:eastAsia="仿宋_GB2312"/>
                <w:sz w:val="28"/>
                <w:szCs w:val="28"/>
              </w:rPr>
            </w:pPr>
            <w:r>
              <w:rPr>
                <w:rFonts w:hint="eastAsia" w:ascii="仿宋_GB2312" w:hAnsi="宋体" w:eastAsia="仿宋_GB2312"/>
                <w:sz w:val="28"/>
                <w:szCs w:val="28"/>
              </w:rPr>
              <w:t>本分包最高限价：</w:t>
            </w:r>
            <w:r>
              <w:rPr>
                <w:rFonts w:hint="eastAsia" w:ascii="仿宋_GB2312" w:hAnsi="宋体" w:eastAsia="仿宋_GB2312"/>
                <w:sz w:val="28"/>
                <w:szCs w:val="28"/>
                <w:u w:val="single"/>
              </w:rPr>
              <w:t>1150000.00</w:t>
            </w:r>
            <w:r>
              <w:rPr>
                <w:rFonts w:hint="eastAsia" w:ascii="仿宋_GB2312" w:hAnsi="宋体" w:eastAsia="仿宋_GB2312"/>
                <w:sz w:val="28"/>
                <w:szCs w:val="28"/>
              </w:rPr>
              <w:t>元</w:t>
            </w:r>
          </w:p>
        </w:tc>
      </w:tr>
      <w:tr w14:paraId="1C2902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DB8890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8291" w:type="dxa"/>
            <w:tcBorders>
              <w:top w:val="single" w:color="auto" w:sz="4" w:space="0"/>
              <w:left w:val="single" w:color="auto" w:sz="4" w:space="0"/>
              <w:bottom w:val="single" w:color="auto" w:sz="4" w:space="0"/>
            </w:tcBorders>
            <w:vAlign w:val="center"/>
          </w:tcPr>
          <w:p w14:paraId="3667FF63">
            <w:pPr>
              <w:spacing w:line="560" w:lineRule="exact"/>
              <w:rPr>
                <w:rFonts w:ascii="仿宋_GB2312" w:hAnsi="宋体" w:eastAsia="仿宋_GB2312"/>
                <w:sz w:val="28"/>
                <w:szCs w:val="28"/>
              </w:rPr>
            </w:pPr>
            <w:r>
              <w:rPr>
                <w:rFonts w:hint="eastAsia" w:ascii="仿宋_GB2312" w:hAnsi="宋体" w:eastAsia="仿宋_GB2312"/>
                <w:sz w:val="28"/>
                <w:szCs w:val="28"/>
              </w:rPr>
              <w:t>本项目不接受联合体响应</w:t>
            </w:r>
          </w:p>
        </w:tc>
      </w:tr>
      <w:tr w14:paraId="106E94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238948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8291" w:type="dxa"/>
            <w:tcBorders>
              <w:top w:val="single" w:color="auto" w:sz="4" w:space="0"/>
              <w:left w:val="single" w:color="auto" w:sz="4" w:space="0"/>
              <w:bottom w:val="single" w:color="auto" w:sz="4" w:space="0"/>
            </w:tcBorders>
            <w:vAlign w:val="center"/>
          </w:tcPr>
          <w:p w14:paraId="1837AA11">
            <w:pPr>
              <w:spacing w:line="560" w:lineRule="exact"/>
              <w:rPr>
                <w:rFonts w:ascii="仿宋_GB2312" w:hAnsi="宋体" w:eastAsia="仿宋_GB2312"/>
                <w:sz w:val="28"/>
                <w:szCs w:val="28"/>
              </w:rPr>
            </w:pPr>
            <w:r>
              <w:rPr>
                <w:rFonts w:hint="eastAsia" w:ascii="仿宋_GB2312" w:hAnsi="宋体" w:eastAsia="仿宋_GB2312"/>
                <w:sz w:val="28"/>
                <w:szCs w:val="28"/>
              </w:rPr>
              <w:t>本项目不收取磋商保证金</w:t>
            </w:r>
          </w:p>
        </w:tc>
      </w:tr>
      <w:tr w14:paraId="0EEB0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EF7F86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8291" w:type="dxa"/>
            <w:tcBorders>
              <w:top w:val="single" w:color="auto" w:sz="4" w:space="0"/>
              <w:left w:val="single" w:color="auto" w:sz="4" w:space="0"/>
              <w:bottom w:val="single" w:color="auto" w:sz="4" w:space="0"/>
            </w:tcBorders>
            <w:vAlign w:val="center"/>
          </w:tcPr>
          <w:p w14:paraId="67A1427B">
            <w:pPr>
              <w:spacing w:line="560" w:lineRule="exact"/>
              <w:rPr>
                <w:rFonts w:ascii="仿宋_GB2312" w:hAnsi="宋体" w:eastAsia="仿宋_GB2312"/>
                <w:sz w:val="28"/>
                <w:szCs w:val="28"/>
              </w:rPr>
            </w:pPr>
            <w:r>
              <w:rPr>
                <w:rFonts w:hint="eastAsia" w:ascii="仿宋_GB2312" w:hAnsi="宋体" w:eastAsia="仿宋_GB2312"/>
                <w:sz w:val="28"/>
                <w:szCs w:val="28"/>
              </w:rPr>
              <w:t>响应文件递交时间：</w:t>
            </w:r>
          </w:p>
          <w:p w14:paraId="339B7344">
            <w:pPr>
              <w:spacing w:line="560" w:lineRule="exact"/>
              <w:rPr>
                <w:rFonts w:ascii="仿宋_GB2312" w:hAnsi="宋体" w:eastAsia="仿宋_GB2312"/>
                <w:sz w:val="28"/>
                <w:szCs w:val="28"/>
              </w:rPr>
            </w:pPr>
            <w:r>
              <w:rPr>
                <w:rFonts w:hint="eastAsia" w:ascii="仿宋_GB2312" w:hAnsi="宋体" w:eastAsia="仿宋_GB2312"/>
                <w:sz w:val="28"/>
                <w:szCs w:val="28"/>
              </w:rPr>
              <w:t>2024年</w:t>
            </w:r>
            <w:r>
              <w:rPr>
                <w:rFonts w:hint="eastAsia" w:ascii="仿宋_GB2312" w:hAnsi="宋体" w:eastAsia="仿宋_GB2312"/>
                <w:sz w:val="28"/>
                <w:szCs w:val="28"/>
                <w:lang w:eastAsia="zh-CN"/>
              </w:rPr>
              <w:t>12月12日</w:t>
            </w:r>
            <w:r>
              <w:rPr>
                <w:rFonts w:hint="eastAsia" w:ascii="仿宋_GB2312" w:hAnsi="宋体" w:eastAsia="仿宋_GB2312"/>
                <w:sz w:val="28"/>
                <w:szCs w:val="28"/>
              </w:rPr>
              <w:t>1</w:t>
            </w:r>
            <w:r>
              <w:rPr>
                <w:rFonts w:ascii="仿宋_GB2312" w:hAnsi="宋体" w:eastAsia="仿宋_GB2312"/>
                <w:sz w:val="28"/>
                <w:szCs w:val="28"/>
              </w:rPr>
              <w:t>8时00分</w:t>
            </w:r>
            <w:r>
              <w:rPr>
                <w:rFonts w:hint="eastAsia" w:ascii="仿宋_GB2312" w:hAnsi="宋体" w:eastAsia="仿宋_GB2312"/>
                <w:sz w:val="28"/>
                <w:szCs w:val="28"/>
              </w:rPr>
              <w:t>至2024年</w:t>
            </w:r>
            <w:r>
              <w:rPr>
                <w:rFonts w:hint="eastAsia" w:ascii="仿宋_GB2312" w:hAnsi="宋体" w:eastAsia="仿宋_GB2312"/>
                <w:sz w:val="28"/>
                <w:szCs w:val="28"/>
                <w:lang w:eastAsia="zh-CN"/>
              </w:rPr>
              <w:t>12月25日</w:t>
            </w:r>
            <w:r>
              <w:rPr>
                <w:rFonts w:hint="eastAsia" w:ascii="仿宋_GB2312" w:hAnsi="宋体" w:eastAsia="仿宋_GB2312"/>
                <w:sz w:val="28"/>
                <w:szCs w:val="28"/>
              </w:rPr>
              <w:t>09时</w:t>
            </w:r>
            <w:r>
              <w:rPr>
                <w:rFonts w:ascii="仿宋_GB2312" w:hAnsi="宋体" w:eastAsia="仿宋_GB2312"/>
                <w:sz w:val="28"/>
                <w:szCs w:val="28"/>
              </w:rPr>
              <w:t>00分</w:t>
            </w:r>
            <w:r>
              <w:rPr>
                <w:rFonts w:hint="eastAsia" w:ascii="仿宋_GB2312" w:hAnsi="宋体" w:eastAsia="仿宋_GB2312"/>
                <w:sz w:val="28"/>
                <w:szCs w:val="28"/>
              </w:rPr>
              <w:t>（以威海市政府采购电子交易系统具体显示时间为准）</w:t>
            </w:r>
          </w:p>
          <w:p w14:paraId="4CA91741">
            <w:pPr>
              <w:spacing w:line="560" w:lineRule="exact"/>
              <w:rPr>
                <w:rFonts w:ascii="仿宋_GB2312" w:hAnsi="宋体" w:eastAsia="仿宋_GB2312"/>
                <w:sz w:val="28"/>
                <w:szCs w:val="28"/>
              </w:rPr>
            </w:pPr>
            <w:r>
              <w:rPr>
                <w:rFonts w:hint="eastAsia" w:ascii="仿宋_GB2312" w:hAnsi="宋体" w:eastAsia="仿宋_GB2312"/>
                <w:sz w:val="28"/>
                <w:szCs w:val="28"/>
              </w:rPr>
              <w:t>响应文件递交网址：</w:t>
            </w:r>
          </w:p>
          <w:p w14:paraId="6554AAED">
            <w:pPr>
              <w:spacing w:line="560" w:lineRule="exact"/>
              <w:rPr>
                <w:rFonts w:ascii="仿宋_GB2312" w:hAnsi="宋体" w:eastAsia="仿宋_GB2312"/>
                <w:sz w:val="28"/>
                <w:szCs w:val="28"/>
              </w:rPr>
            </w:pPr>
            <w:r>
              <w:rPr>
                <w:rFonts w:hint="eastAsia" w:ascii="仿宋_GB2312" w:hAnsi="黑体" w:eastAsia="仿宋_GB2312" w:cs="宋体"/>
                <w:spacing w:val="8"/>
                <w:sz w:val="28"/>
                <w:szCs w:val="28"/>
              </w:rPr>
              <w:t>登录“威海市政府采购电子交易系统”（威海市公共资源交易网（乳山分中心）右侧“交易服务一网通办”登录后选择“政府采购”</w:t>
            </w:r>
          </w:p>
        </w:tc>
      </w:tr>
      <w:tr w14:paraId="350BA2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7260551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8291" w:type="dxa"/>
            <w:tcBorders>
              <w:top w:val="single" w:color="auto" w:sz="4" w:space="0"/>
              <w:left w:val="single" w:color="auto" w:sz="4" w:space="0"/>
              <w:bottom w:val="single" w:color="auto" w:sz="4" w:space="0"/>
            </w:tcBorders>
            <w:vAlign w:val="center"/>
          </w:tcPr>
          <w:p w14:paraId="13BCBA6C">
            <w:pPr>
              <w:spacing w:line="560" w:lineRule="exact"/>
              <w:rPr>
                <w:rFonts w:ascii="仿宋_GB2312" w:hAnsi="宋体" w:eastAsia="仿宋_GB2312"/>
                <w:sz w:val="28"/>
                <w:szCs w:val="28"/>
              </w:rPr>
            </w:pPr>
            <w:r>
              <w:rPr>
                <w:rFonts w:hint="eastAsia" w:ascii="仿宋_GB2312" w:hAnsi="宋体" w:eastAsia="仿宋_GB2312"/>
                <w:sz w:val="28"/>
                <w:szCs w:val="28"/>
              </w:rPr>
              <w:t>响应文件开启（解密）时间：2024年</w:t>
            </w:r>
            <w:r>
              <w:rPr>
                <w:rFonts w:hint="eastAsia" w:ascii="仿宋_GB2312" w:hAnsi="宋体" w:eastAsia="仿宋_GB2312"/>
                <w:sz w:val="28"/>
                <w:szCs w:val="28"/>
                <w:lang w:eastAsia="zh-CN"/>
              </w:rPr>
              <w:t>12月25日</w:t>
            </w:r>
            <w:r>
              <w:rPr>
                <w:rFonts w:hint="eastAsia" w:ascii="仿宋_GB2312" w:hAnsi="宋体" w:eastAsia="仿宋_GB2312"/>
                <w:sz w:val="28"/>
                <w:szCs w:val="28"/>
              </w:rPr>
              <w:t>09时</w:t>
            </w:r>
            <w:r>
              <w:rPr>
                <w:rFonts w:ascii="仿宋_GB2312" w:hAnsi="宋体" w:eastAsia="仿宋_GB2312"/>
                <w:sz w:val="28"/>
                <w:szCs w:val="28"/>
              </w:rPr>
              <w:t>00分</w:t>
            </w:r>
          </w:p>
          <w:p w14:paraId="77F7266C">
            <w:pPr>
              <w:spacing w:line="560" w:lineRule="exact"/>
              <w:rPr>
                <w:rFonts w:ascii="仿宋_GB2312" w:hAnsi="宋体" w:eastAsia="仿宋_GB2312"/>
                <w:sz w:val="28"/>
                <w:szCs w:val="28"/>
              </w:rPr>
            </w:pPr>
            <w:r>
              <w:rPr>
                <w:rFonts w:hint="eastAsia" w:ascii="仿宋_GB2312" w:hAnsi="宋体" w:eastAsia="仿宋_GB2312"/>
                <w:sz w:val="28"/>
                <w:szCs w:val="28"/>
              </w:rPr>
              <w:t>开标地点：威海市乳山市深圳路108号市民服务中心三楼</w:t>
            </w:r>
          </w:p>
        </w:tc>
      </w:tr>
      <w:tr w14:paraId="37D2E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26817F7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8291" w:type="dxa"/>
            <w:tcBorders>
              <w:top w:val="single" w:color="auto" w:sz="4" w:space="0"/>
              <w:left w:val="single" w:color="auto" w:sz="4" w:space="0"/>
              <w:bottom w:val="single" w:color="auto" w:sz="4" w:space="0"/>
            </w:tcBorders>
            <w:vAlign w:val="center"/>
          </w:tcPr>
          <w:p w14:paraId="705A0B34">
            <w:pPr>
              <w:spacing w:line="560" w:lineRule="exact"/>
              <w:rPr>
                <w:rFonts w:ascii="仿宋_GB2312" w:hAnsi="宋体" w:eastAsia="仿宋_GB2312"/>
                <w:sz w:val="28"/>
                <w:szCs w:val="28"/>
              </w:rPr>
            </w:pPr>
            <w:r>
              <w:rPr>
                <w:rFonts w:hint="eastAsia" w:ascii="仿宋_GB2312" w:eastAsia="仿宋_GB2312"/>
                <w:sz w:val="28"/>
                <w:szCs w:val="28"/>
              </w:rPr>
              <w:t>响应文件开启（解密）、磋商方式：远程解密、磋商，供应商无需到现场参与解密、磋商，</w:t>
            </w:r>
            <w:r>
              <w:rPr>
                <w:rFonts w:hint="eastAsia" w:ascii="仿宋_GB2312" w:hAnsi="宋体" w:eastAsia="仿宋_GB2312"/>
                <w:sz w:val="28"/>
                <w:szCs w:val="28"/>
              </w:rPr>
              <w:t>请提前熟悉电子交易系统操作流程，并实时关注电子交易系统相关通知，且联络方式应保持通讯畅通。[操作手册获取方式：操作手册请登录威海市公共资源交易网-办事指南栏目-政府采购专区-《威海市政府采购电子交易系统供应商操作手册》下载查看（网址：http://ggzyjy.weihai.cn/bszn/005002/20210702/ed187b7b-6fef-4726-8e07-c0e3ee8d5a46.html）</w:t>
            </w:r>
            <w:r>
              <w:rPr>
                <w:rFonts w:ascii="仿宋_GB2312" w:hAnsi="宋体" w:eastAsia="仿宋_GB2312"/>
                <w:sz w:val="28"/>
                <w:szCs w:val="28"/>
              </w:rPr>
              <w:t>]</w:t>
            </w:r>
            <w:r>
              <w:rPr>
                <w:rFonts w:hint="eastAsia" w:ascii="仿宋_GB2312" w:hAnsi="宋体" w:eastAsia="仿宋_GB2312"/>
                <w:sz w:val="28"/>
                <w:szCs w:val="28"/>
              </w:rPr>
              <w:t>。</w:t>
            </w:r>
          </w:p>
        </w:tc>
      </w:tr>
      <w:tr w14:paraId="68775F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5AA092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8291" w:type="dxa"/>
            <w:tcBorders>
              <w:top w:val="single" w:color="auto" w:sz="4" w:space="0"/>
              <w:left w:val="single" w:color="auto" w:sz="4" w:space="0"/>
              <w:bottom w:val="single" w:color="auto" w:sz="4" w:space="0"/>
            </w:tcBorders>
            <w:vAlign w:val="center"/>
          </w:tcPr>
          <w:p w14:paraId="1D05291E">
            <w:pPr>
              <w:spacing w:line="560" w:lineRule="exact"/>
              <w:rPr>
                <w:rFonts w:ascii="仿宋_GB2312" w:hAnsi="宋体" w:eastAsia="仿宋_GB2312"/>
                <w:sz w:val="28"/>
                <w:szCs w:val="28"/>
              </w:rPr>
            </w:pPr>
            <w:r>
              <w:rPr>
                <w:rFonts w:hint="eastAsia" w:ascii="仿宋_GB2312" w:hAnsi="宋体" w:eastAsia="仿宋_GB2312"/>
                <w:sz w:val="28"/>
                <w:szCs w:val="28"/>
              </w:rPr>
              <w:t>响应文件开启（解密）程序：</w:t>
            </w:r>
          </w:p>
          <w:p w14:paraId="003FB854">
            <w:pPr>
              <w:spacing w:line="560" w:lineRule="exact"/>
              <w:rPr>
                <w:rFonts w:ascii="仿宋_GB2312" w:hAnsi="宋体" w:eastAsia="仿宋_GB2312"/>
                <w:sz w:val="28"/>
                <w:szCs w:val="28"/>
              </w:rPr>
            </w:pPr>
            <w:r>
              <w:rPr>
                <w:rFonts w:hint="eastAsia" w:ascii="仿宋_GB2312" w:hAnsi="宋体" w:eastAsia="仿宋_GB2312"/>
                <w:sz w:val="28"/>
                <w:szCs w:val="28"/>
              </w:rPr>
              <w:t>响应文件开启（解密）后15分钟内完成解密</w:t>
            </w:r>
          </w:p>
        </w:tc>
      </w:tr>
      <w:tr w14:paraId="7A12F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5B51C05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8291" w:type="dxa"/>
            <w:tcBorders>
              <w:top w:val="single" w:color="auto" w:sz="4" w:space="0"/>
              <w:left w:val="single" w:color="auto" w:sz="4" w:space="0"/>
              <w:bottom w:val="single" w:color="auto" w:sz="4" w:space="0"/>
            </w:tcBorders>
            <w:vAlign w:val="center"/>
          </w:tcPr>
          <w:p w14:paraId="4C898167">
            <w:pPr>
              <w:spacing w:line="560" w:lineRule="exact"/>
              <w:rPr>
                <w:rFonts w:ascii="仿宋_GB2312" w:hAnsi="宋体" w:eastAsia="仿宋_GB2312"/>
                <w:sz w:val="28"/>
                <w:szCs w:val="28"/>
              </w:rPr>
            </w:pPr>
            <w:r>
              <w:rPr>
                <w:rFonts w:hint="eastAsia" w:ascii="仿宋_GB2312" w:hAnsi="宋体" w:eastAsia="仿宋_GB2312"/>
                <w:sz w:val="28"/>
                <w:szCs w:val="28"/>
              </w:rPr>
              <w:t>乳山市500MW/1000MWh电化学储能项目可研报告及电力接入系统论证报告(</w:t>
            </w:r>
            <w:r>
              <w:rPr>
                <w:rFonts w:ascii="仿宋_GB2312" w:hAnsi="宋体" w:eastAsia="仿宋_GB2312"/>
                <w:sz w:val="28"/>
                <w:szCs w:val="28"/>
              </w:rPr>
              <w:t>A</w:t>
            </w:r>
            <w:r>
              <w:rPr>
                <w:rFonts w:hint="eastAsia" w:ascii="仿宋_GB2312" w:hAnsi="宋体" w:eastAsia="仿宋_GB2312"/>
                <w:sz w:val="28"/>
                <w:szCs w:val="28"/>
              </w:rPr>
              <w:t>包)</w:t>
            </w:r>
          </w:p>
        </w:tc>
      </w:tr>
      <w:tr w14:paraId="6C591A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69C39B2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21</w:t>
            </w:r>
          </w:p>
        </w:tc>
        <w:tc>
          <w:tcPr>
            <w:tcW w:w="8291" w:type="dxa"/>
            <w:tcBorders>
              <w:top w:val="single" w:color="auto" w:sz="4" w:space="0"/>
              <w:left w:val="single" w:color="auto" w:sz="4" w:space="0"/>
              <w:bottom w:val="single" w:color="auto" w:sz="4" w:space="0"/>
            </w:tcBorders>
            <w:vAlign w:val="center"/>
          </w:tcPr>
          <w:p w14:paraId="7DA1AAEC">
            <w:pPr>
              <w:spacing w:line="560" w:lineRule="exact"/>
              <w:rPr>
                <w:rFonts w:ascii="仿宋_GB2312" w:hAnsi="宋体" w:eastAsia="仿宋_GB2312"/>
                <w:sz w:val="28"/>
                <w:szCs w:val="28"/>
              </w:rPr>
            </w:pPr>
            <w:r>
              <w:rPr>
                <w:rFonts w:hint="eastAsia" w:ascii="仿宋_GB2312" w:hAnsi="宋体" w:eastAsia="仿宋_GB2312"/>
                <w:sz w:val="28"/>
                <w:szCs w:val="28"/>
              </w:rPr>
              <w:t>乳山市500MW/1000MWh电化学储能项目可研报告及电力接入系统论证报告(</w:t>
            </w:r>
            <w:r>
              <w:rPr>
                <w:rFonts w:ascii="仿宋_GB2312" w:hAnsi="宋体" w:eastAsia="仿宋_GB2312"/>
                <w:sz w:val="28"/>
                <w:szCs w:val="28"/>
              </w:rPr>
              <w:t>A</w:t>
            </w:r>
            <w:r>
              <w:rPr>
                <w:rFonts w:hint="eastAsia" w:ascii="仿宋_GB2312" w:hAnsi="宋体" w:eastAsia="仿宋_GB2312"/>
                <w:sz w:val="28"/>
                <w:szCs w:val="28"/>
              </w:rPr>
              <w:t>包)</w:t>
            </w:r>
          </w:p>
          <w:p w14:paraId="562550EE">
            <w:pPr>
              <w:spacing w:line="560" w:lineRule="exact"/>
              <w:rPr>
                <w:rFonts w:ascii="仿宋_GB2312" w:hAnsi="宋体" w:eastAsia="仿宋_GB2312"/>
                <w:color w:val="FF0000"/>
                <w:sz w:val="28"/>
                <w:szCs w:val="28"/>
              </w:rPr>
            </w:pPr>
            <w:r>
              <w:rPr>
                <w:rFonts w:hint="eastAsia" w:ascii="仿宋_GB2312" w:hAnsi="宋体" w:eastAsia="仿宋_GB2312"/>
                <w:color w:val="FF0000"/>
                <w:sz w:val="28"/>
                <w:szCs w:val="28"/>
              </w:rPr>
              <w:t>交付期:合同签订之日起15日内</w:t>
            </w:r>
          </w:p>
          <w:p w14:paraId="11545773">
            <w:pPr>
              <w:spacing w:line="560" w:lineRule="exact"/>
              <w:rPr>
                <w:rFonts w:ascii="仿宋_GB2312" w:hAnsi="宋体" w:eastAsia="仿宋_GB2312"/>
                <w:sz w:val="28"/>
                <w:szCs w:val="28"/>
              </w:rPr>
            </w:pPr>
            <w:r>
              <w:rPr>
                <w:rFonts w:hint="eastAsia" w:ascii="仿宋_GB2312" w:hAnsi="宋体" w:eastAsia="仿宋_GB2312"/>
                <w:sz w:val="28"/>
                <w:szCs w:val="28"/>
              </w:rPr>
              <w:t>交付地点:采购人指定地点</w:t>
            </w:r>
          </w:p>
        </w:tc>
      </w:tr>
      <w:tr w14:paraId="40E329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02D2616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8291" w:type="dxa"/>
            <w:tcBorders>
              <w:top w:val="single" w:color="auto" w:sz="4" w:space="0"/>
              <w:left w:val="single" w:color="auto" w:sz="4" w:space="0"/>
              <w:bottom w:val="single" w:color="auto" w:sz="4" w:space="0"/>
            </w:tcBorders>
            <w:vAlign w:val="center"/>
          </w:tcPr>
          <w:p w14:paraId="0B6B03DA">
            <w:pPr>
              <w:spacing w:line="560" w:lineRule="exact"/>
              <w:rPr>
                <w:rFonts w:ascii="仿宋_GB2312" w:hAnsi="宋体" w:eastAsia="仿宋_GB2312"/>
                <w:sz w:val="28"/>
                <w:szCs w:val="28"/>
              </w:rPr>
            </w:pPr>
            <w:r>
              <w:rPr>
                <w:rFonts w:hint="eastAsia" w:ascii="仿宋_GB2312" w:hAnsi="宋体" w:eastAsia="仿宋_GB2312"/>
                <w:sz w:val="28"/>
                <w:szCs w:val="28"/>
              </w:rPr>
              <w:t>评标办法：乳山市500MW/1000MWh电化学储能项目可研报告及电力接入系统论证报告(</w:t>
            </w:r>
            <w:r>
              <w:rPr>
                <w:rFonts w:ascii="仿宋_GB2312" w:hAnsi="宋体" w:eastAsia="仿宋_GB2312"/>
                <w:sz w:val="28"/>
                <w:szCs w:val="28"/>
              </w:rPr>
              <w:t>A</w:t>
            </w:r>
            <w:r>
              <w:rPr>
                <w:rFonts w:hint="eastAsia" w:ascii="仿宋_GB2312" w:hAnsi="宋体" w:eastAsia="仿宋_GB2312"/>
                <w:sz w:val="28"/>
                <w:szCs w:val="28"/>
              </w:rPr>
              <w:t>包),综合评分法</w:t>
            </w:r>
          </w:p>
        </w:tc>
      </w:tr>
      <w:tr w14:paraId="60C231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79974165">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8291" w:type="dxa"/>
            <w:tcBorders>
              <w:top w:val="single" w:color="auto" w:sz="4" w:space="0"/>
              <w:left w:val="single" w:color="auto" w:sz="4" w:space="0"/>
              <w:bottom w:val="single" w:color="auto" w:sz="4" w:space="0"/>
            </w:tcBorders>
            <w:vAlign w:val="center"/>
          </w:tcPr>
          <w:p w14:paraId="73E55C95">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本项目不收取履约保证金。如成交单位中标后不按采购文件相关规定执行的，按诚信体系建设要求列入信用黑名单，1-3年内禁止参加政府采购活动。</w:t>
            </w:r>
          </w:p>
        </w:tc>
      </w:tr>
      <w:tr w14:paraId="4E148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F7CCF4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8291" w:type="dxa"/>
            <w:tcBorders>
              <w:top w:val="single" w:color="auto" w:sz="4" w:space="0"/>
              <w:left w:val="single" w:color="auto" w:sz="4" w:space="0"/>
              <w:bottom w:val="single" w:color="auto" w:sz="4" w:space="0"/>
            </w:tcBorders>
            <w:vAlign w:val="center"/>
          </w:tcPr>
          <w:p w14:paraId="10FEEB50">
            <w:pPr>
              <w:spacing w:line="600" w:lineRule="exact"/>
              <w:rPr>
                <w:rFonts w:ascii="仿宋_GB2312" w:hAnsi="宋体" w:eastAsia="仿宋_GB2312"/>
                <w:sz w:val="28"/>
                <w:szCs w:val="28"/>
              </w:rPr>
            </w:pPr>
            <w:r>
              <w:rPr>
                <w:rFonts w:ascii="仿宋_GB2312" w:hAnsi="宋体" w:eastAsia="仿宋_GB2312"/>
                <w:sz w:val="28"/>
                <w:szCs w:val="28"/>
              </w:rPr>
              <w:t>是否兼投不兼中：否</w:t>
            </w:r>
          </w:p>
        </w:tc>
      </w:tr>
      <w:tr w14:paraId="746A45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637BADC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8291" w:type="dxa"/>
            <w:tcBorders>
              <w:top w:val="single" w:color="auto" w:sz="4" w:space="0"/>
              <w:left w:val="single" w:color="auto" w:sz="4" w:space="0"/>
              <w:bottom w:val="single" w:color="auto" w:sz="4" w:space="0"/>
            </w:tcBorders>
            <w:vAlign w:val="center"/>
          </w:tcPr>
          <w:p w14:paraId="7715098A">
            <w:pPr>
              <w:spacing w:line="560" w:lineRule="exact"/>
              <w:rPr>
                <w:rFonts w:ascii="仿宋_GB2312" w:hAnsi="宋体" w:eastAsia="仿宋_GB2312"/>
                <w:sz w:val="28"/>
                <w:szCs w:val="28"/>
              </w:rPr>
            </w:pPr>
            <w:r>
              <w:rPr>
                <w:rFonts w:hint="eastAsia" w:ascii="仿宋_GB2312" w:hAnsi="宋体" w:eastAsia="仿宋_GB2312"/>
                <w:sz w:val="28"/>
                <w:szCs w:val="28"/>
              </w:rPr>
              <w:t>本项目付款方式如下：</w:t>
            </w:r>
          </w:p>
          <w:p w14:paraId="5517FA26">
            <w:pPr>
              <w:spacing w:line="560" w:lineRule="exact"/>
              <w:rPr>
                <w:rFonts w:hint="default" w:ascii="仿宋_GB2312" w:hAnsi="宋体" w:eastAsia="仿宋_GB2312"/>
                <w:sz w:val="28"/>
                <w:szCs w:val="28"/>
                <w:lang w:val="en-US" w:eastAsia="zh-CN"/>
              </w:rPr>
            </w:pPr>
            <w:r>
              <w:rPr>
                <w:rFonts w:hint="eastAsia" w:ascii="仿宋_GB2312" w:hAnsi="宋体" w:eastAsia="仿宋_GB2312"/>
                <w:sz w:val="28"/>
                <w:szCs w:val="28"/>
                <w:lang w:eastAsia="zh-CN"/>
              </w:rPr>
              <w:t>本项目无预付款，提交项目可研报告及电力接入系统论证报告后，30日内支付到合同价款的50%，方案和报告通过第三方评审并根据评审意见完成修改后支付剩余的50%。方案和报告编制完成后，非中标方原因导致180天内无法开始评审工作，视为完成编制任务，支付合同价款的80%，将来具备审查条件时双方继续履行，完全完成后支付剩余价款</w:t>
            </w:r>
            <w:r>
              <w:rPr>
                <w:rFonts w:hint="eastAsia" w:ascii="仿宋_GB2312" w:hAnsi="宋体" w:eastAsia="仿宋_GB2312"/>
                <w:sz w:val="28"/>
                <w:szCs w:val="28"/>
              </w:rPr>
              <w:t>。</w:t>
            </w:r>
          </w:p>
        </w:tc>
      </w:tr>
      <w:tr w14:paraId="3939F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61734C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8291" w:type="dxa"/>
            <w:tcBorders>
              <w:top w:val="single" w:color="auto" w:sz="4" w:space="0"/>
              <w:left w:val="single" w:color="auto" w:sz="4" w:space="0"/>
              <w:bottom w:val="single" w:color="auto" w:sz="4" w:space="0"/>
            </w:tcBorders>
            <w:vAlign w:val="center"/>
          </w:tcPr>
          <w:p w14:paraId="2406E685">
            <w:pPr>
              <w:spacing w:line="560" w:lineRule="exact"/>
              <w:rPr>
                <w:rFonts w:ascii="仿宋_GB2312" w:hAnsi="宋体" w:eastAsia="仿宋_GB2312"/>
                <w:sz w:val="28"/>
                <w:szCs w:val="28"/>
              </w:rPr>
            </w:pPr>
            <w:r>
              <w:rPr>
                <w:rFonts w:hint="eastAsia" w:ascii="仿宋_GB2312" w:hAnsi="宋体" w:eastAsia="仿宋_GB2312"/>
                <w:sz w:val="28"/>
                <w:szCs w:val="28"/>
              </w:rPr>
              <w:t>推荐成交</w:t>
            </w:r>
            <w:r>
              <w:rPr>
                <w:rFonts w:ascii="仿宋_GB2312" w:hAnsi="宋体" w:eastAsia="仿宋_GB2312"/>
                <w:sz w:val="28"/>
                <w:szCs w:val="28"/>
              </w:rPr>
              <w:t>候选供应商的数量</w:t>
            </w:r>
            <w:r>
              <w:rPr>
                <w:rFonts w:hint="eastAsia" w:ascii="仿宋_GB2312" w:hAnsi="宋体" w:eastAsia="仿宋_GB2312"/>
                <w:sz w:val="28"/>
                <w:szCs w:val="28"/>
              </w:rPr>
              <w:t>：1-3家（当资格性和符合性检查合格供应商家数为3家时，推荐总分排序最高的供应商为成交</w:t>
            </w:r>
            <w:r>
              <w:rPr>
                <w:rFonts w:ascii="仿宋_GB2312" w:hAnsi="宋体" w:eastAsia="仿宋_GB2312"/>
                <w:sz w:val="28"/>
                <w:szCs w:val="28"/>
              </w:rPr>
              <w:t>候选供应商</w:t>
            </w:r>
            <w:r>
              <w:rPr>
                <w:rFonts w:hint="eastAsia" w:ascii="仿宋_GB2312" w:hAnsi="宋体" w:eastAsia="仿宋_GB2312"/>
                <w:sz w:val="28"/>
                <w:szCs w:val="28"/>
              </w:rPr>
              <w:t>；当资格性和符合性检查合格供应商家数为4家时，推荐总分排序最高的前2名供应商为成交</w:t>
            </w:r>
            <w:r>
              <w:rPr>
                <w:rFonts w:ascii="仿宋_GB2312" w:hAnsi="宋体" w:eastAsia="仿宋_GB2312"/>
                <w:sz w:val="28"/>
                <w:szCs w:val="28"/>
              </w:rPr>
              <w:t>候选供应商</w:t>
            </w:r>
            <w:r>
              <w:rPr>
                <w:rFonts w:hint="eastAsia" w:ascii="仿宋_GB2312" w:hAnsi="宋体" w:eastAsia="仿宋_GB2312"/>
                <w:sz w:val="28"/>
                <w:szCs w:val="28"/>
              </w:rPr>
              <w:t>；当资格性和符合性检查合格供应商家数为5家及以上时，推荐总分排序最高的前3名供应商为成交</w:t>
            </w:r>
            <w:r>
              <w:rPr>
                <w:rFonts w:ascii="仿宋_GB2312" w:hAnsi="宋体" w:eastAsia="仿宋_GB2312"/>
                <w:sz w:val="28"/>
                <w:szCs w:val="28"/>
              </w:rPr>
              <w:t>候选供应商</w:t>
            </w:r>
            <w:r>
              <w:rPr>
                <w:rFonts w:hint="eastAsia" w:ascii="仿宋_GB2312" w:hAnsi="宋体" w:eastAsia="仿宋_GB2312"/>
                <w:sz w:val="28"/>
                <w:szCs w:val="28"/>
              </w:rPr>
              <w:t>。）</w:t>
            </w:r>
          </w:p>
        </w:tc>
      </w:tr>
      <w:tr w14:paraId="5E8DF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7F94E9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27</w:t>
            </w:r>
          </w:p>
        </w:tc>
        <w:tc>
          <w:tcPr>
            <w:tcW w:w="8291" w:type="dxa"/>
            <w:tcBorders>
              <w:top w:val="single" w:color="auto" w:sz="4" w:space="0"/>
              <w:left w:val="single" w:color="auto" w:sz="4" w:space="0"/>
              <w:bottom w:val="single" w:color="auto" w:sz="4" w:space="0"/>
            </w:tcBorders>
            <w:vAlign w:val="center"/>
          </w:tcPr>
          <w:p w14:paraId="2A7FBC34">
            <w:pPr>
              <w:spacing w:line="560" w:lineRule="exact"/>
              <w:rPr>
                <w:rFonts w:ascii="仿宋_GB2312" w:hAnsi="宋体" w:eastAsia="仿宋_GB2312"/>
                <w:sz w:val="28"/>
                <w:szCs w:val="28"/>
              </w:rPr>
            </w:pPr>
            <w:r>
              <w:rPr>
                <w:rFonts w:hint="eastAsia" w:ascii="仿宋_GB2312" w:hAnsi="宋体" w:eastAsia="仿宋_GB2312"/>
                <w:sz w:val="28"/>
                <w:szCs w:val="28"/>
              </w:rPr>
              <w:t>是否委托评审委员会确定成交供应商：否</w:t>
            </w:r>
          </w:p>
        </w:tc>
      </w:tr>
      <w:tr w14:paraId="0097EB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D411FF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28</w:t>
            </w:r>
          </w:p>
        </w:tc>
        <w:tc>
          <w:tcPr>
            <w:tcW w:w="8291" w:type="dxa"/>
            <w:tcBorders>
              <w:top w:val="single" w:color="auto" w:sz="4" w:space="0"/>
              <w:left w:val="single" w:color="auto" w:sz="4" w:space="0"/>
              <w:bottom w:val="single" w:color="auto" w:sz="4" w:space="0"/>
            </w:tcBorders>
            <w:vAlign w:val="center"/>
          </w:tcPr>
          <w:p w14:paraId="2F8424A5">
            <w:pPr>
              <w:spacing w:line="560" w:lineRule="exact"/>
              <w:rPr>
                <w:rFonts w:ascii="仿宋_GB2312" w:hAnsi="宋体" w:eastAsia="仿宋_GB2312"/>
                <w:sz w:val="28"/>
                <w:szCs w:val="28"/>
              </w:rPr>
            </w:pPr>
            <w:r>
              <w:rPr>
                <w:rFonts w:hint="eastAsia" w:ascii="仿宋_GB2312" w:hAnsi="宋体" w:eastAsia="仿宋_GB2312"/>
                <w:sz w:val="28"/>
                <w:szCs w:val="28"/>
              </w:rPr>
              <w:t>是否</w:t>
            </w:r>
            <w:r>
              <w:rPr>
                <w:rFonts w:ascii="仿宋_GB2312" w:hAnsi="宋体" w:eastAsia="仿宋_GB2312"/>
                <w:sz w:val="28"/>
                <w:szCs w:val="28"/>
              </w:rPr>
              <w:t>属于信用担保试点范围</w:t>
            </w:r>
            <w:r>
              <w:rPr>
                <w:rFonts w:hint="eastAsia" w:ascii="仿宋_GB2312" w:hAnsi="宋体" w:eastAsia="仿宋_GB2312"/>
                <w:sz w:val="28"/>
                <w:szCs w:val="28"/>
              </w:rPr>
              <w:t>：否</w:t>
            </w:r>
          </w:p>
        </w:tc>
      </w:tr>
      <w:tr w14:paraId="55882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15FF9D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29</w:t>
            </w:r>
          </w:p>
        </w:tc>
        <w:tc>
          <w:tcPr>
            <w:tcW w:w="8291" w:type="dxa"/>
            <w:tcBorders>
              <w:top w:val="single" w:color="auto" w:sz="4" w:space="0"/>
              <w:left w:val="single" w:color="auto" w:sz="4" w:space="0"/>
              <w:bottom w:val="single" w:color="auto" w:sz="4" w:space="0"/>
            </w:tcBorders>
            <w:vAlign w:val="center"/>
          </w:tcPr>
          <w:p w14:paraId="16ECE136">
            <w:pPr>
              <w:spacing w:line="560" w:lineRule="exact"/>
              <w:rPr>
                <w:rFonts w:ascii="仿宋_GB2312" w:hAnsi="宋体" w:eastAsia="仿宋_GB2312"/>
                <w:sz w:val="28"/>
                <w:szCs w:val="28"/>
              </w:rPr>
            </w:pPr>
            <w:r>
              <w:rPr>
                <w:rFonts w:hint="eastAsia" w:ascii="仿宋_GB2312" w:hAnsi="宋体" w:eastAsia="仿宋_GB2312"/>
                <w:sz w:val="28"/>
                <w:szCs w:val="28"/>
              </w:rPr>
              <w:t>反腐倡廉监督联系方式：</w:t>
            </w:r>
          </w:p>
          <w:p w14:paraId="2472C8CB">
            <w:pPr>
              <w:spacing w:line="560" w:lineRule="exact"/>
              <w:rPr>
                <w:rFonts w:ascii="仿宋_GB2312" w:hAnsi="宋体" w:eastAsia="仿宋_GB2312"/>
                <w:sz w:val="28"/>
                <w:szCs w:val="28"/>
              </w:rPr>
            </w:pPr>
            <w:r>
              <w:rPr>
                <w:rFonts w:hint="eastAsia" w:ascii="仿宋_GB2312" w:hAnsi="宋体" w:eastAsia="仿宋_GB2312"/>
                <w:sz w:val="28"/>
                <w:szCs w:val="28"/>
              </w:rPr>
              <w:t>电话/邮箱：</w:t>
            </w:r>
            <w:r>
              <w:rPr>
                <w:rFonts w:hint="eastAsia" w:ascii="仿宋_GB2312" w:hAnsi="宋体" w:eastAsia="仿宋_GB2312"/>
                <w:color w:val="FF0000"/>
                <w:sz w:val="28"/>
                <w:szCs w:val="28"/>
              </w:rPr>
              <w:t>0631-6660282/rsfdfwzx@wh.shandong.cn</w:t>
            </w:r>
          </w:p>
        </w:tc>
      </w:tr>
      <w:tr w14:paraId="0117DF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FB5CC5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30</w:t>
            </w:r>
          </w:p>
        </w:tc>
        <w:tc>
          <w:tcPr>
            <w:tcW w:w="8291" w:type="dxa"/>
            <w:tcBorders>
              <w:top w:val="single" w:color="auto" w:sz="4" w:space="0"/>
              <w:left w:val="single" w:color="auto" w:sz="4" w:space="0"/>
              <w:bottom w:val="single" w:color="auto" w:sz="4" w:space="0"/>
            </w:tcBorders>
            <w:vAlign w:val="center"/>
          </w:tcPr>
          <w:p w14:paraId="7E066D67">
            <w:pPr>
              <w:spacing w:line="560" w:lineRule="exact"/>
              <w:rPr>
                <w:rFonts w:ascii="仿宋_GB2312" w:hAnsi="仿宋" w:eastAsia="仿宋_GB2312" w:cs="宋体"/>
                <w:sz w:val="28"/>
                <w:szCs w:val="28"/>
              </w:rPr>
            </w:pPr>
            <w:r>
              <w:rPr>
                <w:rFonts w:hint="eastAsia" w:ascii="仿宋_GB2312" w:hAnsi="宋体" w:eastAsia="仿宋_GB2312"/>
                <w:sz w:val="28"/>
                <w:szCs w:val="28"/>
              </w:rPr>
              <w:t>质疑受理方式：</w:t>
            </w:r>
          </w:p>
          <w:p w14:paraId="384F6A47">
            <w:pPr>
              <w:spacing w:line="560" w:lineRule="exact"/>
              <w:rPr>
                <w:rFonts w:ascii="仿宋_GB2312" w:hAnsi="仿宋" w:eastAsia="仿宋_GB2312" w:cs="宋体"/>
                <w:sz w:val="28"/>
                <w:szCs w:val="28"/>
              </w:rPr>
            </w:pPr>
            <w:r>
              <w:rPr>
                <w:rFonts w:hint="eastAsia" w:ascii="仿宋_GB2312" w:hAnsi="仿宋" w:eastAsia="仿宋_GB2312" w:cs="宋体"/>
                <w:sz w:val="28"/>
                <w:szCs w:val="28"/>
              </w:rPr>
              <w:t>（1）当面接收：接收地址详见本表采购人及代理机构地址。</w:t>
            </w:r>
          </w:p>
          <w:p w14:paraId="487EF775">
            <w:pPr>
              <w:spacing w:line="560" w:lineRule="exact"/>
              <w:rPr>
                <w:rFonts w:ascii="仿宋_GB2312" w:hAnsi="仿宋" w:eastAsia="仿宋_GB2312" w:cs="宋体"/>
                <w:sz w:val="28"/>
                <w:szCs w:val="28"/>
              </w:rPr>
            </w:pPr>
            <w:r>
              <w:rPr>
                <w:rFonts w:hint="eastAsia" w:ascii="仿宋_GB2312" w:hAnsi="仿宋" w:eastAsia="仿宋_GB2312" w:cs="宋体"/>
                <w:sz w:val="28"/>
                <w:szCs w:val="28"/>
              </w:rPr>
              <w:t>（2）邮件接收：sdhzzbdl@163.com</w:t>
            </w:r>
          </w:p>
          <w:p w14:paraId="56125608">
            <w:pPr>
              <w:spacing w:line="560" w:lineRule="exact"/>
              <w:rPr>
                <w:rFonts w:ascii="仿宋_GB2312" w:hAnsi="仿宋" w:eastAsia="仿宋_GB2312" w:cs="宋体"/>
                <w:sz w:val="28"/>
                <w:szCs w:val="28"/>
              </w:rPr>
            </w:pPr>
            <w:r>
              <w:rPr>
                <w:rFonts w:hint="eastAsia" w:ascii="仿宋_GB2312" w:hAnsi="仿宋" w:eastAsia="仿宋_GB2312" w:cs="宋体"/>
                <w:sz w:val="28"/>
                <w:szCs w:val="28"/>
              </w:rPr>
              <w:t>（3）政府采购电子交易系统上传：通过威海市政府采购电子交易系统中“公文管理-供”功能上传。</w:t>
            </w:r>
          </w:p>
          <w:p w14:paraId="274DABD8">
            <w:pPr>
              <w:spacing w:line="560" w:lineRule="exact"/>
              <w:rPr>
                <w:rFonts w:ascii="仿宋_GB2312" w:hAnsi="仿宋" w:eastAsia="仿宋_GB2312" w:cs="宋体"/>
                <w:sz w:val="28"/>
                <w:szCs w:val="28"/>
              </w:rPr>
            </w:pPr>
            <w:r>
              <w:rPr>
                <w:rFonts w:hint="eastAsia" w:ascii="仿宋_GB2312" w:hAnsi="仿宋" w:eastAsia="仿宋_GB2312" w:cs="宋体"/>
                <w:sz w:val="28"/>
                <w:szCs w:val="28"/>
              </w:rPr>
              <w:t>以上三种方式任选其一。</w:t>
            </w:r>
          </w:p>
        </w:tc>
      </w:tr>
      <w:tr w14:paraId="6C98A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71DD2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31</w:t>
            </w:r>
          </w:p>
        </w:tc>
        <w:tc>
          <w:tcPr>
            <w:tcW w:w="8291" w:type="dxa"/>
            <w:tcBorders>
              <w:top w:val="single" w:color="auto" w:sz="4" w:space="0"/>
              <w:left w:val="single" w:color="auto" w:sz="4" w:space="0"/>
              <w:bottom w:val="single" w:color="auto" w:sz="4" w:space="0"/>
            </w:tcBorders>
            <w:vAlign w:val="center"/>
          </w:tcPr>
          <w:p w14:paraId="15013827">
            <w:pPr>
              <w:spacing w:line="560" w:lineRule="exact"/>
              <w:rPr>
                <w:rFonts w:ascii="仿宋_GB2312" w:hAnsi="仿宋" w:eastAsia="仿宋_GB2312" w:cs="宋体"/>
                <w:sz w:val="28"/>
                <w:szCs w:val="28"/>
              </w:rPr>
            </w:pPr>
            <w:r>
              <w:rPr>
                <w:rFonts w:hint="eastAsia" w:ascii="仿宋_GB2312" w:hAnsi="宋体" w:eastAsia="仿宋_GB2312"/>
                <w:sz w:val="28"/>
                <w:szCs w:val="28"/>
              </w:rPr>
              <w:t>投诉受理方式：</w:t>
            </w:r>
          </w:p>
          <w:p w14:paraId="04DD94C3">
            <w:pPr>
              <w:spacing w:line="560" w:lineRule="exact"/>
              <w:rPr>
                <w:rFonts w:ascii="仿宋_GB2312" w:hAnsi="仿宋" w:eastAsia="仿宋_GB2312" w:cs="宋体"/>
                <w:sz w:val="28"/>
                <w:szCs w:val="28"/>
              </w:rPr>
            </w:pPr>
            <w:r>
              <w:rPr>
                <w:rFonts w:hint="eastAsia" w:ascii="仿宋_GB2312" w:hAnsi="仿宋" w:eastAsia="仿宋_GB2312" w:cs="宋体"/>
                <w:sz w:val="28"/>
                <w:szCs w:val="28"/>
              </w:rPr>
              <w:t>（1）当面接收：接收地址为山东省乳山市深圳路108-7号市民服务中心社会事务类窗口70号。</w:t>
            </w:r>
          </w:p>
          <w:p w14:paraId="1002483D">
            <w:pPr>
              <w:spacing w:line="560" w:lineRule="exact"/>
              <w:rPr>
                <w:rFonts w:ascii="仿宋_GB2312" w:hAnsi="仿宋" w:eastAsia="仿宋_GB2312" w:cs="宋体"/>
                <w:sz w:val="28"/>
                <w:szCs w:val="28"/>
              </w:rPr>
            </w:pPr>
            <w:r>
              <w:rPr>
                <w:rFonts w:hint="eastAsia" w:ascii="仿宋_GB2312" w:hAnsi="仿宋" w:eastAsia="仿宋_GB2312" w:cs="宋体"/>
                <w:sz w:val="28"/>
                <w:szCs w:val="28"/>
              </w:rPr>
              <w:t>（2）邮件接收：rsczjcgb@wh.shandong.cn。</w:t>
            </w:r>
          </w:p>
          <w:p w14:paraId="044AF725">
            <w:pPr>
              <w:spacing w:line="560" w:lineRule="exact"/>
              <w:rPr>
                <w:rFonts w:ascii="仿宋_GB2312" w:hAnsi="仿宋" w:eastAsia="仿宋_GB2312" w:cs="宋体"/>
                <w:sz w:val="28"/>
                <w:szCs w:val="28"/>
              </w:rPr>
            </w:pPr>
            <w:r>
              <w:rPr>
                <w:rFonts w:hint="eastAsia" w:ascii="仿宋_GB2312" w:hAnsi="仿宋" w:eastAsia="仿宋_GB2312" w:cs="宋体"/>
                <w:sz w:val="28"/>
                <w:szCs w:val="28"/>
              </w:rPr>
              <w:t>（3）政府采购电子交易系统上传：通过威海市政府采购电子交易系统中“网上投诉”功能上传。</w:t>
            </w:r>
          </w:p>
          <w:p w14:paraId="4DC29B0A">
            <w:pPr>
              <w:spacing w:line="560" w:lineRule="exact"/>
              <w:rPr>
                <w:rFonts w:ascii="仿宋_GB2312" w:hAnsi="仿宋" w:eastAsia="仿宋_GB2312" w:cs="宋体"/>
                <w:sz w:val="28"/>
                <w:szCs w:val="28"/>
              </w:rPr>
            </w:pPr>
            <w:r>
              <w:rPr>
                <w:rFonts w:hint="eastAsia" w:ascii="仿宋_GB2312" w:hAnsi="仿宋" w:eastAsia="仿宋_GB2312" w:cs="宋体"/>
                <w:sz w:val="28"/>
                <w:szCs w:val="28"/>
              </w:rPr>
              <w:t>以上三种方式任选其一。</w:t>
            </w:r>
          </w:p>
        </w:tc>
      </w:tr>
      <w:tr w14:paraId="5552D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7E54D49">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32</w:t>
            </w:r>
          </w:p>
        </w:tc>
        <w:tc>
          <w:tcPr>
            <w:tcW w:w="8291" w:type="dxa"/>
            <w:tcBorders>
              <w:top w:val="single" w:color="auto" w:sz="4" w:space="0"/>
              <w:left w:val="single" w:color="auto" w:sz="4" w:space="0"/>
              <w:bottom w:val="single" w:color="auto" w:sz="4" w:space="0"/>
            </w:tcBorders>
            <w:vAlign w:val="center"/>
          </w:tcPr>
          <w:p w14:paraId="0A2634BA">
            <w:pPr>
              <w:spacing w:line="560" w:lineRule="exact"/>
              <w:rPr>
                <w:rFonts w:ascii="仿宋_GB2312" w:hAnsi="宋体" w:eastAsia="仿宋_GB2312"/>
                <w:sz w:val="28"/>
                <w:szCs w:val="28"/>
              </w:rPr>
            </w:pPr>
            <w:r>
              <w:rPr>
                <w:rFonts w:hint="eastAsia" w:ascii="仿宋_GB2312" w:hAnsi="宋体" w:eastAsia="仿宋_GB2312"/>
                <w:sz w:val="28"/>
                <w:szCs w:val="28"/>
              </w:rPr>
              <w:t>代理服务费：参照“山东省招标代理服务收费指导意见”规定的收费标准收取代理服务费。人民币16200.00元，由成交单位在签订合同前向采购代理机构缴纳，包含在报价中。</w:t>
            </w:r>
          </w:p>
          <w:p w14:paraId="0D82DE4D">
            <w:pPr>
              <w:snapToGrid w:val="0"/>
              <w:spacing w:line="560" w:lineRule="exact"/>
              <w:jc w:val="left"/>
              <w:rPr>
                <w:rFonts w:ascii="仿宋_GB2312" w:hAnsi="宋体" w:eastAsia="仿宋_GB2312"/>
                <w:sz w:val="28"/>
                <w:szCs w:val="28"/>
              </w:rPr>
            </w:pPr>
            <w:r>
              <w:rPr>
                <w:rFonts w:hint="eastAsia" w:ascii="仿宋_GB2312" w:hAnsi="宋体" w:eastAsia="仿宋_GB2312"/>
                <w:sz w:val="28"/>
                <w:szCs w:val="28"/>
              </w:rPr>
              <w:t>开户名称：山东华正建筑设计咨询有限公司</w:t>
            </w:r>
          </w:p>
          <w:p w14:paraId="20E8DFE7">
            <w:pPr>
              <w:spacing w:line="560" w:lineRule="exact"/>
              <w:rPr>
                <w:rFonts w:ascii="仿宋_GB2312" w:hAnsi="宋体" w:eastAsia="仿宋_GB2312"/>
                <w:sz w:val="28"/>
                <w:szCs w:val="28"/>
              </w:rPr>
            </w:pPr>
            <w:r>
              <w:rPr>
                <w:rFonts w:hint="eastAsia" w:ascii="仿宋_GB2312" w:hAnsi="宋体" w:eastAsia="仿宋_GB2312"/>
                <w:sz w:val="28"/>
                <w:szCs w:val="28"/>
              </w:rPr>
              <w:t>开户行：中国农业银行乳山支行</w:t>
            </w:r>
          </w:p>
          <w:p w14:paraId="5BBCD889">
            <w:pPr>
              <w:spacing w:line="560" w:lineRule="exact"/>
              <w:rPr>
                <w:rFonts w:ascii="仿宋_GB2312" w:hAnsi="宋体" w:eastAsia="仿宋_GB2312"/>
                <w:sz w:val="28"/>
                <w:szCs w:val="28"/>
              </w:rPr>
            </w:pPr>
            <w:r>
              <w:rPr>
                <w:rFonts w:hint="eastAsia" w:ascii="仿宋_GB2312" w:hAnsi="宋体" w:eastAsia="仿宋_GB2312"/>
                <w:sz w:val="28"/>
                <w:szCs w:val="28"/>
              </w:rPr>
              <w:t>账号：155701 0104 0013 670</w:t>
            </w:r>
          </w:p>
        </w:tc>
      </w:tr>
      <w:tr w14:paraId="17EC1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AA65F8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33</w:t>
            </w:r>
          </w:p>
        </w:tc>
        <w:tc>
          <w:tcPr>
            <w:tcW w:w="8291" w:type="dxa"/>
            <w:tcBorders>
              <w:top w:val="single" w:color="auto" w:sz="4" w:space="0"/>
              <w:left w:val="single" w:color="auto" w:sz="4" w:space="0"/>
              <w:bottom w:val="single" w:color="auto" w:sz="4" w:space="0"/>
            </w:tcBorders>
            <w:vAlign w:val="center"/>
          </w:tcPr>
          <w:p w14:paraId="5D515B26">
            <w:pPr>
              <w:spacing w:line="560" w:lineRule="exact"/>
              <w:rPr>
                <w:rFonts w:ascii="仿宋_GB2312" w:hAnsi="宋体" w:eastAsia="仿宋_GB2312"/>
                <w:sz w:val="28"/>
                <w:szCs w:val="28"/>
              </w:rPr>
            </w:pPr>
            <w:r>
              <w:rPr>
                <w:rFonts w:hint="eastAsia" w:ascii="仿宋_GB2312" w:hAnsi="宋体" w:eastAsia="仿宋_GB2312"/>
                <w:sz w:val="28"/>
                <w:szCs w:val="28"/>
              </w:rPr>
              <w:t xml:space="preserve">公证费/见证费：无 </w:t>
            </w:r>
          </w:p>
        </w:tc>
      </w:tr>
      <w:tr w14:paraId="3C41D7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45E0B9B9">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34</w:t>
            </w:r>
          </w:p>
        </w:tc>
        <w:tc>
          <w:tcPr>
            <w:tcW w:w="8291" w:type="dxa"/>
            <w:tcBorders>
              <w:top w:val="single" w:color="auto" w:sz="4" w:space="0"/>
              <w:left w:val="single" w:color="auto" w:sz="4" w:space="0"/>
              <w:bottom w:val="single" w:color="auto" w:sz="4" w:space="0"/>
            </w:tcBorders>
            <w:vAlign w:val="center"/>
          </w:tcPr>
          <w:p w14:paraId="604158EA">
            <w:pPr>
              <w:spacing w:line="560" w:lineRule="exact"/>
              <w:rPr>
                <w:rFonts w:ascii="仿宋_GB2312" w:hAnsi="宋体" w:eastAsia="仿宋_GB2312"/>
                <w:sz w:val="28"/>
                <w:szCs w:val="28"/>
              </w:rPr>
            </w:pPr>
            <w:r>
              <w:rPr>
                <w:rFonts w:hint="eastAsia" w:ascii="仿宋_GB2312" w:hAnsi="宋体" w:eastAsia="仿宋_GB2312"/>
                <w:sz w:val="28"/>
                <w:szCs w:val="28"/>
              </w:rPr>
              <w:t>本项目按</w:t>
            </w:r>
            <w:r>
              <w:rPr>
                <w:rFonts w:ascii="仿宋_GB2312" w:hAnsi="宋体" w:eastAsia="仿宋_GB2312"/>
                <w:sz w:val="28"/>
                <w:szCs w:val="28"/>
              </w:rPr>
              <w:t>货物类</w:t>
            </w:r>
            <w:r>
              <w:rPr>
                <w:rFonts w:hint="eastAsia" w:ascii="仿宋_GB2312" w:hAnsi="宋体" w:eastAsia="仿宋_GB2312"/>
                <w:sz w:val="28"/>
                <w:szCs w:val="28"/>
              </w:rPr>
              <w:t>以</w:t>
            </w:r>
            <w:r>
              <w:rPr>
                <w:rFonts w:ascii="仿宋_GB2312" w:hAnsi="宋体" w:eastAsia="仿宋_GB2312"/>
                <w:sz w:val="28"/>
                <w:szCs w:val="28"/>
              </w:rPr>
              <w:t>竞争性磋商</w:t>
            </w:r>
            <w:r>
              <w:rPr>
                <w:rFonts w:hint="eastAsia" w:ascii="仿宋_GB2312" w:hAnsi="宋体" w:eastAsia="仿宋_GB2312"/>
                <w:sz w:val="28"/>
                <w:szCs w:val="28"/>
              </w:rPr>
              <w:t>方式实施采购</w:t>
            </w:r>
          </w:p>
        </w:tc>
      </w:tr>
      <w:tr w14:paraId="75C922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DC23599">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35</w:t>
            </w:r>
          </w:p>
        </w:tc>
        <w:tc>
          <w:tcPr>
            <w:tcW w:w="8291" w:type="dxa"/>
            <w:tcBorders>
              <w:top w:val="single" w:color="auto" w:sz="4" w:space="0"/>
              <w:left w:val="single" w:color="auto" w:sz="4" w:space="0"/>
              <w:bottom w:val="single" w:color="auto" w:sz="4" w:space="0"/>
            </w:tcBorders>
            <w:vAlign w:val="center"/>
          </w:tcPr>
          <w:p w14:paraId="03CEA847">
            <w:pPr>
              <w:spacing w:line="560" w:lineRule="exact"/>
              <w:rPr>
                <w:rFonts w:ascii="仿宋_GB2312" w:hAnsi="宋体" w:eastAsia="仿宋_GB2312"/>
                <w:sz w:val="28"/>
                <w:szCs w:val="28"/>
              </w:rPr>
            </w:pPr>
            <w:r>
              <w:rPr>
                <w:rFonts w:hint="eastAsia" w:ascii="仿宋_GB2312" w:hAnsi="宋体" w:eastAsia="仿宋_GB2312"/>
                <w:sz w:val="28"/>
                <w:szCs w:val="28"/>
              </w:rPr>
              <w:t>采购标的对应的中小企业划分标准所属行业（具体划分标准详见下附表）：</w:t>
            </w:r>
            <w:r>
              <w:rPr>
                <w:rFonts w:hint="eastAsia" w:ascii="仿宋_GB2312" w:eastAsia="仿宋_GB2312"/>
                <w:sz w:val="28"/>
                <w:szCs w:val="28"/>
              </w:rPr>
              <w:t>其他未列明行业</w:t>
            </w:r>
          </w:p>
        </w:tc>
      </w:tr>
    </w:tbl>
    <w:p w14:paraId="48D67000">
      <w:pPr>
        <w:pStyle w:val="30"/>
        <w:spacing w:line="432" w:lineRule="auto"/>
        <w:rPr>
          <w:rFonts w:ascii="仿宋_GB2312" w:eastAsia="仿宋_GB2312"/>
          <w:bCs/>
          <w:sz w:val="28"/>
          <w:szCs w:val="28"/>
        </w:rPr>
      </w:pPr>
    </w:p>
    <w:p w14:paraId="332A1F0C">
      <w:pPr>
        <w:pStyle w:val="30"/>
        <w:spacing w:line="432" w:lineRule="auto"/>
        <w:rPr>
          <w:rFonts w:ascii="仿宋_GB2312" w:eastAsia="仿宋_GB2312"/>
          <w:bCs/>
          <w:sz w:val="28"/>
          <w:szCs w:val="28"/>
        </w:rPr>
      </w:pPr>
      <w:r>
        <w:rPr>
          <w:rFonts w:hint="eastAsia" w:ascii="仿宋_GB2312" w:eastAsia="仿宋_GB2312"/>
          <w:bCs/>
          <w:sz w:val="28"/>
          <w:szCs w:val="28"/>
        </w:rPr>
        <w:t>附表：</w:t>
      </w:r>
    </w:p>
    <w:p w14:paraId="104907B9">
      <w:pPr>
        <w:pStyle w:val="30"/>
        <w:spacing w:line="432" w:lineRule="auto"/>
        <w:jc w:val="center"/>
        <w:rPr>
          <w:rStyle w:val="36"/>
          <w:rFonts w:ascii="方正小标宋简体" w:eastAsia="方正小标宋简体"/>
          <w:b w:val="0"/>
          <w:sz w:val="36"/>
          <w:szCs w:val="36"/>
        </w:rPr>
      </w:pPr>
      <w:r>
        <w:rPr>
          <w:rStyle w:val="36"/>
          <w:rFonts w:hint="eastAsia" w:ascii="方正小标宋简体" w:eastAsia="方正小标宋简体"/>
          <w:b w:val="0"/>
          <w:sz w:val="36"/>
          <w:szCs w:val="36"/>
        </w:rPr>
        <w:t>关于印发中小企业划型标准规定的通知</w:t>
      </w:r>
    </w:p>
    <w:p w14:paraId="750A0718">
      <w:pPr>
        <w:pStyle w:val="30"/>
        <w:spacing w:line="432" w:lineRule="auto"/>
        <w:jc w:val="center"/>
      </w:pPr>
      <w:r>
        <w:rPr>
          <w:rFonts w:hint="eastAsia" w:ascii="楷体_GB2312" w:eastAsia="楷体_GB2312"/>
          <w:sz w:val="22"/>
        </w:rPr>
        <w:t>工信部联企业〔2011〕300号</w:t>
      </w:r>
    </w:p>
    <w:p w14:paraId="7760E3AC">
      <w:pPr>
        <w:pStyle w:val="30"/>
        <w:spacing w:line="432" w:lineRule="auto"/>
        <w:rPr>
          <w:rFonts w:ascii="仿宋_GB2312" w:eastAsia="仿宋_GB2312"/>
          <w:sz w:val="28"/>
          <w:szCs w:val="28"/>
        </w:rPr>
      </w:pPr>
      <w:r>
        <w:rPr>
          <w:rFonts w:hint="eastAsia" w:ascii="仿宋_GB2312" w:eastAsia="仿宋_GB2312"/>
          <w:sz w:val="28"/>
          <w:szCs w:val="28"/>
        </w:rPr>
        <w:t>各省、自治区、直辖市人民政府，国务院各部委、各直属机构及有关单位：</w:t>
      </w:r>
    </w:p>
    <w:p w14:paraId="455595CD">
      <w:pPr>
        <w:pStyle w:val="30"/>
        <w:spacing w:line="432" w:lineRule="auto"/>
        <w:rPr>
          <w:rFonts w:ascii="仿宋_GB2312" w:eastAsia="仿宋_GB2312"/>
          <w:sz w:val="28"/>
          <w:szCs w:val="28"/>
        </w:rPr>
      </w:pPr>
      <w:r>
        <w:rPr>
          <w:rFonts w:hint="eastAsia" w:ascii="仿宋_GB2312" w:eastAsia="仿宋_GB2312"/>
          <w:sz w:val="28"/>
          <w:szCs w:val="28"/>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94DC7F2">
      <w:pPr>
        <w:pStyle w:val="30"/>
        <w:spacing w:line="432" w:lineRule="auto"/>
        <w:jc w:val="right"/>
        <w:rPr>
          <w:rFonts w:ascii="仿宋_GB2312" w:eastAsia="仿宋_GB2312"/>
          <w:sz w:val="28"/>
          <w:szCs w:val="28"/>
        </w:rPr>
      </w:pPr>
    </w:p>
    <w:p w14:paraId="1D709B1B">
      <w:pPr>
        <w:pStyle w:val="30"/>
        <w:spacing w:line="432" w:lineRule="auto"/>
        <w:jc w:val="right"/>
        <w:rPr>
          <w:rFonts w:ascii="仿宋_GB2312" w:eastAsia="仿宋_GB2312"/>
          <w:sz w:val="28"/>
          <w:szCs w:val="28"/>
        </w:rPr>
      </w:pPr>
      <w:r>
        <w:rPr>
          <w:rFonts w:hint="eastAsia" w:ascii="仿宋_GB2312" w:eastAsia="仿宋_GB2312"/>
          <w:sz w:val="28"/>
          <w:szCs w:val="28"/>
        </w:rPr>
        <w:t>　　　　　　　　　　工业和信息化部　国家统计局</w:t>
      </w:r>
    </w:p>
    <w:p w14:paraId="66044D3C">
      <w:pPr>
        <w:pStyle w:val="30"/>
        <w:spacing w:line="432" w:lineRule="auto"/>
        <w:jc w:val="right"/>
        <w:rPr>
          <w:rFonts w:ascii="仿宋_GB2312" w:eastAsia="仿宋_GB2312"/>
          <w:sz w:val="28"/>
          <w:szCs w:val="28"/>
        </w:rPr>
      </w:pPr>
      <w:r>
        <w:rPr>
          <w:rFonts w:hint="eastAsia" w:ascii="仿宋_GB2312" w:eastAsia="仿宋_GB2312"/>
          <w:sz w:val="28"/>
          <w:szCs w:val="28"/>
        </w:rPr>
        <w:t>国家发展和改革委员会　财政部</w:t>
      </w:r>
    </w:p>
    <w:p w14:paraId="0FE5EE69">
      <w:pPr>
        <w:pStyle w:val="30"/>
        <w:spacing w:line="432" w:lineRule="auto"/>
        <w:jc w:val="right"/>
        <w:rPr>
          <w:rFonts w:ascii="仿宋_GB2312" w:eastAsia="仿宋_GB2312"/>
          <w:sz w:val="28"/>
          <w:szCs w:val="28"/>
        </w:rPr>
      </w:pPr>
      <w:r>
        <w:rPr>
          <w:rFonts w:hint="eastAsia" w:ascii="仿宋_GB2312" w:eastAsia="仿宋_GB2312"/>
          <w:sz w:val="28"/>
          <w:szCs w:val="28"/>
        </w:rPr>
        <w:t>二○一一年六月十八日</w:t>
      </w:r>
    </w:p>
    <w:p w14:paraId="00D5B349">
      <w:pPr>
        <w:pStyle w:val="30"/>
        <w:spacing w:line="432" w:lineRule="auto"/>
        <w:rPr>
          <w:rFonts w:ascii="仿宋_GB2312" w:eastAsia="仿宋_GB2312"/>
          <w:sz w:val="28"/>
          <w:szCs w:val="28"/>
        </w:rPr>
      </w:pPr>
      <w:r>
        <w:rPr>
          <w:rFonts w:hint="eastAsia" w:eastAsia="仿宋_GB2312"/>
          <w:sz w:val="28"/>
          <w:szCs w:val="28"/>
        </w:rPr>
        <w:t> </w:t>
      </w:r>
    </w:p>
    <w:p w14:paraId="1F674DC3">
      <w:pPr>
        <w:pStyle w:val="30"/>
        <w:spacing w:line="432" w:lineRule="auto"/>
        <w:jc w:val="center"/>
        <w:rPr>
          <w:rFonts w:ascii="方正小标宋简体" w:eastAsia="方正小标宋简体"/>
          <w:b/>
          <w:sz w:val="36"/>
          <w:szCs w:val="36"/>
        </w:rPr>
      </w:pPr>
      <w:r>
        <w:rPr>
          <w:rStyle w:val="36"/>
          <w:rFonts w:hint="eastAsia" w:ascii="方正小标宋简体" w:eastAsia="方正小标宋简体"/>
          <w:b w:val="0"/>
          <w:sz w:val="36"/>
          <w:szCs w:val="36"/>
        </w:rPr>
        <w:t>中小企业划型标准规定</w:t>
      </w:r>
    </w:p>
    <w:p w14:paraId="00359FE7">
      <w:pPr>
        <w:pStyle w:val="30"/>
        <w:spacing w:line="432" w:lineRule="auto"/>
        <w:rPr>
          <w:rFonts w:ascii="仿宋_GB2312" w:eastAsia="仿宋_GB2312"/>
          <w:sz w:val="28"/>
          <w:szCs w:val="28"/>
        </w:rPr>
      </w:pPr>
      <w:r>
        <w:rPr>
          <w:rFonts w:hint="eastAsia" w:ascii="仿宋_GB2312" w:eastAsia="仿宋_GB2312"/>
          <w:sz w:val="28"/>
          <w:szCs w:val="28"/>
        </w:rPr>
        <w:t>　　 一、根据《中华人民共和国中小企业促进法》和《国务院关于进一步促进中小企业发展的若干意见》(国发〔2009〕36号)，制定本规定。　　</w:t>
      </w:r>
    </w:p>
    <w:p w14:paraId="16F35559">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二、中小企业划分为中型、小型、微型三种类型，具体标准根据企业从业人员、营业收入、资产总额等指标，结合行业特点制定。　　</w:t>
      </w:r>
    </w:p>
    <w:p w14:paraId="4BAFA7D5">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14:paraId="32E628D7">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四、各行业划型标准为：　　</w:t>
      </w:r>
    </w:p>
    <w:p w14:paraId="78F2C59F">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（一）农、林、牧、渔业。营业收入20000万元以下的为中小微型企业。其中，营业收入500万元及以上的为中型企业，营业收入50万元及以上的为小型企业，营业收入50万元以下的为微型企业。　　</w:t>
      </w:r>
    </w:p>
    <w:p w14:paraId="348F09B6">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65BDE817">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285F8622">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38FB41C7">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67F112E3">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156F123D">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60BD8A72">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4717FDB7">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114A10F">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465FC79">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29A8F3DA">
      <w:pPr>
        <w:pStyle w:val="30"/>
        <w:spacing w:line="432" w:lineRule="auto"/>
        <w:ind w:firstLine="980" w:firstLineChars="350"/>
        <w:rPr>
          <w:rFonts w:ascii="仿宋_GB2312" w:eastAsia="仿宋_GB2312"/>
          <w:sz w:val="28"/>
          <w:szCs w:val="28"/>
        </w:rPr>
      </w:pPr>
      <w:r>
        <w:rPr>
          <w:rFonts w:hint="eastAsia" w:ascii="仿宋_GB2312" w:eastAsia="仿宋_GB2312"/>
          <w:sz w:val="28"/>
          <w:szCs w:val="28"/>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5527E460">
      <w:pPr>
        <w:pStyle w:val="30"/>
        <w:spacing w:line="432" w:lineRule="auto"/>
        <w:ind w:firstLine="560" w:firstLineChars="200"/>
        <w:rPr>
          <w:rFonts w:ascii="仿宋_GB2312" w:eastAsia="仿宋_GB2312"/>
          <w:sz w:val="28"/>
          <w:szCs w:val="28"/>
        </w:rPr>
      </w:pPr>
      <w:r>
        <w:rPr>
          <w:rFonts w:hint="eastAsia" w:ascii="仿宋_GB2312" w:eastAsia="仿宋_GB2312"/>
          <w:sz w:val="28"/>
          <w:szCs w:val="28"/>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47C3F76C">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3EEB148E">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2A4FFEBF">
      <w:pPr>
        <w:pStyle w:val="30"/>
        <w:spacing w:line="432" w:lineRule="auto"/>
        <w:ind w:firstLine="700" w:firstLineChars="250"/>
        <w:rPr>
          <w:rFonts w:ascii="仿宋_GB2312" w:eastAsia="仿宋_GB2312"/>
          <w:sz w:val="28"/>
          <w:szCs w:val="28"/>
        </w:rPr>
      </w:pPr>
      <w:r>
        <w:rPr>
          <w:rFonts w:hint="eastAsia" w:ascii="仿宋_GB2312" w:eastAsia="仿宋_GB2312"/>
          <w:sz w:val="28"/>
          <w:szCs w:val="28"/>
        </w:rPr>
        <w:t>（十六）其他未列明行业。从业人员300人以下的为中小微型企业。其中，从业人员100人及以上的为中型企业；从业人员10人及以上的为小型企业；从业人员10人以下的为微型企业。　　</w:t>
      </w:r>
    </w:p>
    <w:p w14:paraId="53C5EFDB">
      <w:pPr>
        <w:pStyle w:val="30"/>
        <w:spacing w:line="432" w:lineRule="auto"/>
        <w:ind w:firstLine="420" w:firstLineChars="150"/>
        <w:rPr>
          <w:rFonts w:ascii="仿宋_GB2312" w:eastAsia="仿宋_GB2312"/>
          <w:sz w:val="28"/>
          <w:szCs w:val="28"/>
        </w:rPr>
      </w:pPr>
      <w:r>
        <w:rPr>
          <w:rFonts w:hint="eastAsia" w:ascii="仿宋_GB2312" w:eastAsia="仿宋_GB2312"/>
          <w:sz w:val="28"/>
          <w:szCs w:val="28"/>
        </w:rPr>
        <w:t>五、企业类型的划分以统计部门的统计数据为依据。　　</w:t>
      </w:r>
    </w:p>
    <w:p w14:paraId="42D3DE1D">
      <w:pPr>
        <w:pStyle w:val="30"/>
        <w:spacing w:line="432" w:lineRule="auto"/>
        <w:ind w:firstLine="420" w:firstLineChars="150"/>
        <w:rPr>
          <w:rFonts w:ascii="仿宋_GB2312" w:eastAsia="仿宋_GB2312"/>
          <w:sz w:val="28"/>
          <w:szCs w:val="28"/>
        </w:rPr>
      </w:pPr>
      <w:r>
        <w:rPr>
          <w:rFonts w:hint="eastAsia" w:ascii="仿宋_GB2312" w:eastAsia="仿宋_GB2312"/>
          <w:sz w:val="28"/>
          <w:szCs w:val="28"/>
        </w:rPr>
        <w:t>六、本规定适用于在中华人民共和国境内依法设立的各类所有制和各种组织形式的企业。个体工商户和本规定以外的行业，参照本规定进行划型。　　</w:t>
      </w:r>
    </w:p>
    <w:p w14:paraId="0E67E456">
      <w:pPr>
        <w:pStyle w:val="30"/>
        <w:spacing w:line="432" w:lineRule="auto"/>
        <w:ind w:firstLine="420" w:firstLineChars="150"/>
        <w:rPr>
          <w:rFonts w:ascii="仿宋_GB2312" w:eastAsia="仿宋_GB2312"/>
          <w:sz w:val="28"/>
          <w:szCs w:val="28"/>
        </w:rPr>
      </w:pPr>
      <w:r>
        <w:rPr>
          <w:rFonts w:hint="eastAsia" w:ascii="仿宋_GB2312" w:eastAsia="仿宋_GB2312"/>
          <w:sz w:val="28"/>
          <w:szCs w:val="28"/>
        </w:rPr>
        <w:t>七、本规定的中型企业标准上限即为大型企业标准的下限，国家统计部门据此制定大中小微型企业的统计分类。国务院有关部门据此进行相关数据分析，不得制定与本规定不一致的企业划型标准。　　</w:t>
      </w:r>
    </w:p>
    <w:p w14:paraId="2EE0D1C1">
      <w:pPr>
        <w:pStyle w:val="30"/>
        <w:spacing w:line="432" w:lineRule="auto"/>
        <w:ind w:firstLine="420" w:firstLineChars="150"/>
        <w:rPr>
          <w:rFonts w:ascii="仿宋_GB2312" w:eastAsia="仿宋_GB2312"/>
          <w:sz w:val="28"/>
          <w:szCs w:val="28"/>
        </w:rPr>
      </w:pPr>
      <w:r>
        <w:rPr>
          <w:rFonts w:hint="eastAsia" w:ascii="仿宋_GB2312" w:eastAsia="仿宋_GB2312"/>
          <w:sz w:val="28"/>
          <w:szCs w:val="28"/>
        </w:rPr>
        <w:t>八、本规定由工业和信息化部、国家统计局会同有关部门根据《国民经济行业分类》修订情况和企业发展变化情况适时修订。　　</w:t>
      </w:r>
    </w:p>
    <w:p w14:paraId="19355901">
      <w:pPr>
        <w:pStyle w:val="30"/>
        <w:spacing w:line="432" w:lineRule="auto"/>
        <w:ind w:firstLine="420" w:firstLineChars="150"/>
        <w:rPr>
          <w:rFonts w:ascii="仿宋_GB2312" w:eastAsia="仿宋_GB2312"/>
          <w:sz w:val="28"/>
          <w:szCs w:val="28"/>
        </w:rPr>
      </w:pPr>
      <w:r>
        <w:rPr>
          <w:rFonts w:hint="eastAsia" w:ascii="仿宋_GB2312" w:eastAsia="仿宋_GB2312"/>
          <w:sz w:val="28"/>
          <w:szCs w:val="28"/>
        </w:rPr>
        <w:t>九、本规定由工业和信息化部、国家统计局会同有关部门负责解释。　　</w:t>
      </w:r>
    </w:p>
    <w:p w14:paraId="1E0F4BF4">
      <w:pPr>
        <w:pStyle w:val="30"/>
        <w:spacing w:line="432" w:lineRule="auto"/>
        <w:ind w:firstLine="420" w:firstLineChars="150"/>
        <w:rPr>
          <w:rFonts w:eastAsia="黑体"/>
          <w:sz w:val="32"/>
          <w:szCs w:val="32"/>
        </w:rPr>
      </w:pPr>
      <w:r>
        <w:rPr>
          <w:rFonts w:hint="eastAsia" w:ascii="仿宋_GB2312" w:eastAsia="仿宋_GB2312"/>
          <w:sz w:val="28"/>
          <w:szCs w:val="28"/>
        </w:rPr>
        <w:t>十、本规定自发布之日起执行，原国家经贸委、原国家计委、财政部和国家统计局2003年颁布的《中小企业标准暂行规定》同时废止。</w:t>
      </w:r>
      <w:r>
        <w:rPr>
          <w:rFonts w:hint="eastAsia" w:eastAsia="黑体"/>
          <w:sz w:val="32"/>
          <w:szCs w:val="32"/>
        </w:rPr>
        <w:t xml:space="preserve"> </w:t>
      </w:r>
    </w:p>
    <w:p w14:paraId="6BA291F7">
      <w:pPr>
        <w:widowControl/>
        <w:jc w:val="left"/>
        <w:rPr>
          <w:rFonts w:eastAsia="黑体"/>
          <w:sz w:val="32"/>
          <w:szCs w:val="32"/>
        </w:rPr>
      </w:pPr>
      <w:r>
        <w:rPr>
          <w:rFonts w:eastAsia="黑体"/>
          <w:sz w:val="32"/>
          <w:szCs w:val="32"/>
        </w:rPr>
        <w:br w:type="page"/>
      </w:r>
    </w:p>
    <w:p w14:paraId="25BC37FE">
      <w:pPr>
        <w:spacing w:line="560" w:lineRule="exact"/>
        <w:ind w:firstLine="643" w:firstLineChars="201"/>
        <w:jc w:val="center"/>
        <w:rPr>
          <w:rFonts w:eastAsia="黑体"/>
          <w:sz w:val="32"/>
          <w:szCs w:val="32"/>
        </w:rPr>
      </w:pPr>
      <w:r>
        <w:rPr>
          <w:rFonts w:hint="eastAsia" w:eastAsia="黑体"/>
          <w:sz w:val="32"/>
          <w:szCs w:val="32"/>
        </w:rPr>
        <w:t>《实质性条款一览表》</w:t>
      </w:r>
    </w:p>
    <w:p w14:paraId="0E1C06B2">
      <w:pPr>
        <w:snapToGrid w:val="0"/>
        <w:ind w:firstLine="560"/>
        <w:jc w:val="left"/>
        <w:rPr>
          <w:rFonts w:ascii="仿宋_GB2312" w:eastAsia="仿宋_GB2312"/>
          <w:sz w:val="28"/>
          <w:szCs w:val="28"/>
        </w:rPr>
      </w:pPr>
      <w:r>
        <w:rPr>
          <w:rFonts w:hint="eastAsia" w:ascii="仿宋_GB2312" w:eastAsia="仿宋_GB2312"/>
          <w:sz w:val="28"/>
          <w:szCs w:val="28"/>
        </w:rPr>
        <w:t>说明：本表系采购文件及修改性文件中涉及的所有实质性条款的汇总。不允许有任何负偏离，否则响应无效。</w:t>
      </w:r>
    </w:p>
    <w:tbl>
      <w:tblPr>
        <w:tblStyle w:val="3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09"/>
      </w:tblGrid>
      <w:tr w14:paraId="3D1BE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vAlign w:val="center"/>
          </w:tcPr>
          <w:p w14:paraId="0DB19A1D">
            <w:pPr>
              <w:spacing w:line="560" w:lineRule="exact"/>
              <w:rPr>
                <w:rFonts w:ascii="仿宋_GB2312" w:hAnsi="宋体" w:eastAsia="仿宋_GB2312"/>
                <w:b/>
                <w:bCs/>
                <w:sz w:val="28"/>
                <w:szCs w:val="28"/>
              </w:rPr>
            </w:pPr>
            <w:bookmarkStart w:id="0" w:name="_Hlk166479951"/>
            <w:r>
              <w:rPr>
                <w:rFonts w:hint="eastAsia" w:ascii="仿宋_GB2312" w:hAnsi="宋体" w:eastAsia="仿宋_GB2312"/>
                <w:b/>
                <w:bCs/>
                <w:sz w:val="28"/>
                <w:szCs w:val="28"/>
              </w:rPr>
              <w:t>资格性核查</w:t>
            </w:r>
          </w:p>
        </w:tc>
      </w:tr>
      <w:tr w14:paraId="1B826D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tcPr>
          <w:p w14:paraId="04F8EBD3">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1、有效的营业执照副本扫描件；（A）包</w:t>
            </w:r>
          </w:p>
          <w:p w14:paraId="6C598B42">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2、</w:t>
            </w:r>
            <w:r>
              <w:rPr>
                <w:rFonts w:hint="eastAsia" w:ascii="仿宋_GB2312" w:hAnsi="宋体" w:eastAsia="仿宋_GB2312"/>
                <w:sz w:val="28"/>
                <w:szCs w:val="28"/>
              </w:rPr>
              <w:t>法定代表人授权委托书；被授权人身份证扫描件；</w:t>
            </w:r>
          </w:p>
          <w:p w14:paraId="2736E530">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若响应单位代表为企业法定代表人/单位负责人的，则只需提供企业法定代表人/单位负责人身份证扫描件</w:t>
            </w:r>
            <w:r>
              <w:rPr>
                <w:rFonts w:ascii="仿宋_GB2312" w:hAnsi="宋体" w:eastAsia="仿宋_GB2312"/>
                <w:sz w:val="28"/>
                <w:szCs w:val="28"/>
              </w:rPr>
              <w:t>；（A）包</w:t>
            </w:r>
          </w:p>
          <w:p w14:paraId="0CF52E03">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3、</w:t>
            </w:r>
            <w:r>
              <w:rPr>
                <w:rFonts w:hint="eastAsia" w:ascii="仿宋_GB2312" w:hAnsi="仿宋" w:eastAsia="仿宋_GB2312" w:cs="宋体"/>
                <w:spacing w:val="8"/>
                <w:sz w:val="28"/>
                <w:szCs w:val="28"/>
              </w:rPr>
              <w:t>工程设计电力行业甲级资质或工程设计综合资质扫描件；</w:t>
            </w:r>
            <w:r>
              <w:rPr>
                <w:rFonts w:ascii="仿宋_GB2312" w:hAnsi="宋体" w:eastAsia="仿宋_GB2312"/>
                <w:sz w:val="28"/>
                <w:szCs w:val="28"/>
              </w:rPr>
              <w:t>（A）包</w:t>
            </w:r>
          </w:p>
          <w:p w14:paraId="156922A1">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4、依法缴纳税收和社会保障资金的声明（格式自拟）；近期的完税凭证及交纳社保资金凭证的扫描件（依法免税或不需要缴纳社会保障资金的供应商，应提供相关证明材料）；（A）包</w:t>
            </w:r>
          </w:p>
          <w:p w14:paraId="18C7B4A8">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5、参加本项目报价前三年内无重大违法记录声明（格式自定）；（A）包</w:t>
            </w:r>
          </w:p>
          <w:p w14:paraId="6F4AA89A">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6、供应商信用报告的扫描件[分别提供：1、“信用中国”下载打印。2、所在地省级信用官方网站(如:“信用山东”)下载打印。3、“中国政府采购网”未被列入政府采购严重违法失信行为记录名单的网站截图]（A）包</w:t>
            </w:r>
          </w:p>
          <w:p w14:paraId="1BB57177">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7、财务状况报告等相关材料</w:t>
            </w:r>
          </w:p>
          <w:p w14:paraId="615406DC">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A.报价供应商自行编制的近一年度公司财务报表或由中介机构出具的近一年度财务审计报告书扫描件；（2022年度或2023年度）</w:t>
            </w:r>
          </w:p>
          <w:p w14:paraId="491E2E64">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259EB918">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注：A、B两项提供任意一项均可。（A）包</w:t>
            </w:r>
          </w:p>
          <w:p w14:paraId="4571CE7F">
            <w:pPr>
              <w:spacing w:line="560" w:lineRule="exact"/>
              <w:ind w:firstLine="341" w:firstLineChars="122"/>
              <w:rPr>
                <w:rFonts w:ascii="仿宋_GB2312" w:hAnsi="宋体" w:eastAsia="仿宋_GB2312"/>
                <w:sz w:val="28"/>
                <w:szCs w:val="28"/>
              </w:rPr>
            </w:pPr>
            <w:r>
              <w:rPr>
                <w:rFonts w:hint="eastAsia" w:ascii="仿宋_GB2312" w:hAnsi="宋体" w:eastAsia="仿宋_GB2312"/>
                <w:sz w:val="28"/>
                <w:szCs w:val="28"/>
              </w:rPr>
              <w:t>8、具有履行合同所必需的设备和专业技术能力承诺函（格式自拟）；（A）包</w:t>
            </w:r>
          </w:p>
        </w:tc>
      </w:tr>
      <w:bookmarkEnd w:id="0"/>
      <w:tr w14:paraId="60623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58EFA8F8">
            <w:pPr>
              <w:spacing w:line="560" w:lineRule="exact"/>
              <w:rPr>
                <w:rFonts w:ascii="仿宋_GB2312" w:hAnsi="宋体" w:eastAsia="仿宋_GB2312"/>
                <w:b/>
                <w:bCs/>
                <w:sz w:val="28"/>
                <w:szCs w:val="28"/>
              </w:rPr>
            </w:pPr>
            <w:r>
              <w:rPr>
                <w:rFonts w:hint="eastAsia" w:ascii="仿宋_GB2312" w:hAnsi="宋体" w:eastAsia="仿宋_GB2312"/>
                <w:b/>
                <w:bCs/>
                <w:sz w:val="28"/>
                <w:szCs w:val="28"/>
              </w:rPr>
              <w:t>符合性检查</w:t>
            </w:r>
          </w:p>
        </w:tc>
      </w:tr>
      <w:tr w14:paraId="6E762D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77E26D33">
            <w:pPr>
              <w:spacing w:line="560" w:lineRule="exact"/>
              <w:rPr>
                <w:rFonts w:ascii="仿宋_GB2312" w:hAnsi="宋体" w:eastAsia="仿宋_GB2312"/>
                <w:sz w:val="28"/>
                <w:szCs w:val="28"/>
              </w:rPr>
            </w:pPr>
            <w:r>
              <w:rPr>
                <w:rFonts w:hint="eastAsia" w:ascii="仿宋_GB2312" w:hAnsi="宋体" w:eastAsia="仿宋_GB2312"/>
                <w:sz w:val="28"/>
                <w:szCs w:val="28"/>
              </w:rPr>
              <w:t>1、响应文件未按规定签章的，作为无效投标；（A）包</w:t>
            </w:r>
          </w:p>
          <w:p w14:paraId="497DE169">
            <w:pPr>
              <w:spacing w:line="560" w:lineRule="exact"/>
              <w:rPr>
                <w:rFonts w:ascii="仿宋_GB2312" w:hAnsi="宋体" w:eastAsia="仿宋_GB2312"/>
                <w:sz w:val="28"/>
                <w:szCs w:val="28"/>
              </w:rPr>
            </w:pPr>
            <w:r>
              <w:rPr>
                <w:rFonts w:hint="eastAsia" w:ascii="仿宋_GB2312" w:hAnsi="宋体" w:eastAsia="仿宋_GB2312"/>
                <w:sz w:val="28"/>
                <w:szCs w:val="28"/>
              </w:rPr>
              <w:t>2、被授权人未在规定时间内答疑或澄清的，作为无效投标；（A）包</w:t>
            </w:r>
          </w:p>
          <w:p w14:paraId="6E77F0A2">
            <w:pPr>
              <w:spacing w:line="560" w:lineRule="exact"/>
              <w:rPr>
                <w:rFonts w:ascii="仿宋_GB2312" w:hAnsi="宋体" w:eastAsia="仿宋_GB2312"/>
                <w:sz w:val="28"/>
                <w:szCs w:val="28"/>
              </w:rPr>
            </w:pPr>
            <w:r>
              <w:rPr>
                <w:rFonts w:hint="eastAsia" w:ascii="仿宋_GB2312" w:hAnsi="宋体" w:eastAsia="仿宋_GB2312"/>
                <w:sz w:val="28"/>
                <w:szCs w:val="28"/>
              </w:rPr>
              <w:t>3、响应文件含有采购人不能接受的附加条件的，作为无效投标；（A）包</w:t>
            </w:r>
          </w:p>
          <w:p w14:paraId="5341FD7E">
            <w:pPr>
              <w:spacing w:line="560" w:lineRule="exact"/>
              <w:rPr>
                <w:rFonts w:ascii="仿宋_GB2312" w:hAnsi="宋体" w:eastAsia="仿宋_GB2312"/>
                <w:sz w:val="28"/>
                <w:szCs w:val="28"/>
              </w:rPr>
            </w:pPr>
            <w:r>
              <w:rPr>
                <w:rFonts w:hint="eastAsia" w:ascii="仿宋_GB2312" w:hAnsi="宋体" w:eastAsia="仿宋_GB2312"/>
                <w:sz w:val="28"/>
                <w:szCs w:val="28"/>
              </w:rPr>
              <w:t>4、投标报价、交付期（工期）、服务期（质保期）、付款方式、投标有效期等内容不满足采购文件要求的作为无效投标；（A）包</w:t>
            </w:r>
          </w:p>
          <w:p w14:paraId="43BAD16C">
            <w:pPr>
              <w:spacing w:line="560" w:lineRule="exact"/>
              <w:rPr>
                <w:rFonts w:ascii="仿宋_GB2312" w:hAnsi="宋体" w:eastAsia="仿宋_GB2312"/>
                <w:sz w:val="28"/>
                <w:szCs w:val="28"/>
              </w:rPr>
            </w:pPr>
            <w:r>
              <w:rPr>
                <w:rFonts w:hint="eastAsia" w:ascii="仿宋_GB2312" w:hAnsi="宋体" w:eastAsia="仿宋_GB2312"/>
                <w:sz w:val="28"/>
                <w:szCs w:val="28"/>
              </w:rPr>
              <w:t>5、参加同一项目的不同供应商的电子响应文件文件制作机器码（MAC地址、主硬盘序列号、CPU信息、计算机名称）一致导致串标率100%，将作为无效投标；（A）包</w:t>
            </w:r>
          </w:p>
          <w:p w14:paraId="7C73838F">
            <w:pPr>
              <w:spacing w:line="560" w:lineRule="exact"/>
              <w:rPr>
                <w:rFonts w:ascii="仿宋_GB2312" w:hAnsi="宋体" w:eastAsia="仿宋_GB2312"/>
                <w:sz w:val="28"/>
                <w:szCs w:val="28"/>
              </w:rPr>
            </w:pPr>
            <w:r>
              <w:rPr>
                <w:rFonts w:hint="eastAsia" w:ascii="仿宋_GB2312" w:hAnsi="宋体" w:eastAsia="仿宋_GB2312"/>
                <w:sz w:val="28"/>
                <w:szCs w:val="28"/>
              </w:rPr>
              <w:t>6、评审小组认为不符合采购文件其他实质性要求或法律法规规定的其他情形；作为无效投标。（A）包</w:t>
            </w:r>
          </w:p>
        </w:tc>
      </w:tr>
    </w:tbl>
    <w:p w14:paraId="2F292797">
      <w:pPr>
        <w:rPr>
          <w:rFonts w:ascii="宋体" w:hAnsi="宋体"/>
          <w:szCs w:val="28"/>
        </w:rPr>
      </w:pPr>
    </w:p>
    <w:p w14:paraId="302DE473">
      <w:pPr>
        <w:spacing w:line="560" w:lineRule="exact"/>
        <w:rPr>
          <w:rFonts w:ascii="宋体" w:hAnsi="宋体"/>
          <w:sz w:val="44"/>
          <w:szCs w:val="44"/>
        </w:rPr>
      </w:pPr>
    </w:p>
    <w:p w14:paraId="1D2A98CD">
      <w:pPr>
        <w:spacing w:line="560" w:lineRule="exact"/>
        <w:rPr>
          <w:rFonts w:ascii="宋体" w:hAnsi="宋体"/>
          <w:sz w:val="44"/>
          <w:szCs w:val="44"/>
        </w:rPr>
        <w:sectPr>
          <w:headerReference r:id="rId10" w:type="default"/>
          <w:footerReference r:id="rId11" w:type="default"/>
          <w:pgSz w:w="11906" w:h="16838"/>
          <w:pgMar w:top="1440" w:right="1077" w:bottom="1440" w:left="1077" w:header="851" w:footer="992" w:gutter="0"/>
          <w:cols w:space="720" w:num="1"/>
          <w:docGrid w:type="lines" w:linePitch="312" w:charSpace="0"/>
        </w:sectPr>
      </w:pPr>
    </w:p>
    <w:p w14:paraId="7AC0C9CD">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一、说明</w:t>
      </w:r>
    </w:p>
    <w:p w14:paraId="52A3C40F">
      <w:pPr>
        <w:ind w:firstLine="562" w:firstLineChars="201"/>
        <w:rPr>
          <w:rFonts w:ascii="仿宋_GB2312" w:hAnsi="宋体" w:eastAsia="仿宋_GB2312"/>
          <w:sz w:val="28"/>
          <w:szCs w:val="28"/>
        </w:rPr>
      </w:pPr>
      <w:r>
        <w:rPr>
          <w:rFonts w:hint="eastAsia" w:ascii="仿宋_GB2312" w:hAnsi="宋体" w:eastAsia="仿宋_GB2312"/>
          <w:sz w:val="28"/>
          <w:szCs w:val="28"/>
        </w:rPr>
        <w:t>本文件依据《中华人民共和国政府采购法》《中华人民共和国政府采购法实施条例》《政府采购竞争性磋商采购方式管理暂行办法》等有关政府采购法律法规编制。参加本项目的供应商应接受本磋商文件关于电子招标投标的各项规定。</w:t>
      </w:r>
    </w:p>
    <w:p w14:paraId="369D83A3">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1.适用范围</w:t>
      </w:r>
    </w:p>
    <w:p w14:paraId="4C5808B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1.1本磋商文件仅适用于本次磋商公告中所涉及的项目和内容。</w:t>
      </w:r>
    </w:p>
    <w:p w14:paraId="0B2709B9">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1.2本磋商文件未做须知明示，但有相关法律、法规规定的，从其规定。</w:t>
      </w:r>
    </w:p>
    <w:p w14:paraId="281255B4">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2.采购人、采购代理机构及供应商</w:t>
      </w:r>
    </w:p>
    <w:p w14:paraId="4A73E81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2.1采购人：是指</w:t>
      </w:r>
      <w:r>
        <w:rPr>
          <w:rFonts w:ascii="仿宋_GB2312" w:hAnsi="仿宋" w:eastAsia="仿宋_GB2312" w:cs="宋体"/>
          <w:sz w:val="28"/>
          <w:szCs w:val="28"/>
        </w:rPr>
        <w:t>依法</w:t>
      </w:r>
      <w:r>
        <w:rPr>
          <w:rFonts w:hint="eastAsia" w:ascii="仿宋_GB2312" w:hAnsi="仿宋" w:eastAsia="仿宋_GB2312" w:cs="宋体"/>
          <w:sz w:val="28"/>
          <w:szCs w:val="28"/>
        </w:rPr>
        <w:t>开展</w:t>
      </w:r>
      <w:r>
        <w:rPr>
          <w:rFonts w:ascii="仿宋_GB2312" w:hAnsi="仿宋" w:eastAsia="仿宋_GB2312" w:cs="宋体"/>
          <w:sz w:val="28"/>
          <w:szCs w:val="28"/>
        </w:rPr>
        <w:t>政府采购</w:t>
      </w:r>
      <w:r>
        <w:rPr>
          <w:rFonts w:hint="eastAsia" w:ascii="仿宋_GB2312" w:hAnsi="仿宋" w:eastAsia="仿宋_GB2312" w:cs="宋体"/>
          <w:sz w:val="28"/>
          <w:szCs w:val="28"/>
        </w:rPr>
        <w:t>活动</w:t>
      </w:r>
      <w:r>
        <w:rPr>
          <w:rFonts w:ascii="仿宋_GB2312" w:hAnsi="仿宋" w:eastAsia="仿宋_GB2312" w:cs="宋体"/>
          <w:sz w:val="28"/>
          <w:szCs w:val="28"/>
        </w:rPr>
        <w:t>的国家机</w:t>
      </w:r>
      <w:r>
        <w:rPr>
          <w:rFonts w:hint="eastAsia" w:ascii="仿宋_GB2312" w:hAnsi="仿宋" w:eastAsia="仿宋_GB2312" w:cs="宋体"/>
          <w:sz w:val="28"/>
          <w:szCs w:val="28"/>
        </w:rPr>
        <w:t>关</w:t>
      </w:r>
      <w:r>
        <w:rPr>
          <w:rFonts w:ascii="仿宋_GB2312" w:hAnsi="仿宋" w:eastAsia="仿宋_GB2312" w:cs="宋体"/>
          <w:sz w:val="28"/>
          <w:szCs w:val="28"/>
        </w:rPr>
        <w:t>、事业单位、团体组织</w:t>
      </w:r>
      <w:r>
        <w:rPr>
          <w:rFonts w:hint="eastAsia" w:ascii="仿宋_GB2312" w:hAnsi="仿宋" w:eastAsia="仿宋_GB2312" w:cs="宋体"/>
          <w:sz w:val="28"/>
          <w:szCs w:val="28"/>
        </w:rPr>
        <w:t>。</w:t>
      </w:r>
    </w:p>
    <w:p w14:paraId="56154F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本项目的采购人见</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w:t>
      </w:r>
    </w:p>
    <w:p w14:paraId="1420F27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2.2采购代理机构：是指采购代理机构或从事采购代理业务的社会中介机构。本项目的采购代理机构见</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w:t>
      </w:r>
    </w:p>
    <w:p w14:paraId="37DBD5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2.3供应商</w:t>
      </w:r>
      <w:r>
        <w:rPr>
          <w:rFonts w:ascii="仿宋_GB2312" w:hAnsi="仿宋" w:eastAsia="仿宋_GB2312" w:cs="宋体"/>
          <w:sz w:val="28"/>
          <w:szCs w:val="28"/>
        </w:rPr>
        <w:t>：是指向采购人提供货物</w:t>
      </w:r>
      <w:r>
        <w:rPr>
          <w:rFonts w:hint="eastAsia" w:ascii="仿宋_GB2312" w:hAnsi="仿宋" w:eastAsia="仿宋_GB2312" w:cs="宋体"/>
          <w:sz w:val="28"/>
          <w:szCs w:val="28"/>
        </w:rPr>
        <w:t>及相关</w:t>
      </w:r>
      <w:r>
        <w:rPr>
          <w:rFonts w:ascii="仿宋_GB2312" w:hAnsi="仿宋" w:eastAsia="仿宋_GB2312" w:cs="宋体"/>
          <w:sz w:val="28"/>
          <w:szCs w:val="28"/>
        </w:rPr>
        <w:t>服务的法人、其他组织或者自然人。</w:t>
      </w:r>
    </w:p>
    <w:p w14:paraId="7534AD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本项目的供应商须满足以下条件：</w:t>
      </w:r>
    </w:p>
    <w:p w14:paraId="3CBD54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2.3.1具备《中华人民共和国政府采购法》第二十二条关于供应商条件的规定，遵守本项目采购人本级和上级财政部门政府采购的有关规定。</w:t>
      </w:r>
    </w:p>
    <w:p w14:paraId="22F6D3D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2.3.2以本项目磋商公告规定的方式获得了本项目的磋商文件。</w:t>
      </w:r>
    </w:p>
    <w:p w14:paraId="5F4A39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2.3.3符合</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中规定的其他要求。</w:t>
      </w:r>
    </w:p>
    <w:p w14:paraId="1693EAC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若供应商须知前附表中写明专门面向中小企业采购的，按货物类项目属性开展采购的，供应商所投货物应由中小企业制造，即货物由中小企业生产且使用该中小企业商号或者注册商标；按工程类项目属性开展采购的，工程应由中小企业承建，即工程施工单位应为中小企业；按服务类项目属性开展采购的，服务应由中小企业承接，即提供服务的人员为中小企业按照《中华人民共和国劳动合同法》订立劳动合同的从业人员。否则，</w:t>
      </w:r>
      <w:r>
        <w:rPr>
          <w:rFonts w:hint="eastAsia" w:ascii="仿宋_GB2312" w:hAnsi="仿宋" w:eastAsia="仿宋_GB2312" w:cs="宋体"/>
          <w:b/>
          <w:sz w:val="28"/>
          <w:szCs w:val="28"/>
        </w:rPr>
        <w:t>响应无效</w:t>
      </w:r>
      <w:r>
        <w:rPr>
          <w:rFonts w:hint="eastAsia" w:ascii="仿宋_GB2312" w:hAnsi="仿宋" w:eastAsia="仿宋_GB2312" w:cs="宋体"/>
          <w:sz w:val="28"/>
          <w:szCs w:val="28"/>
        </w:rPr>
        <w:t>。</w:t>
      </w:r>
    </w:p>
    <w:p w14:paraId="10C9D0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2.4货物，是指供应商按磋商文件要求，向采购人提供全新的、未使用过的各种形态和种类的物品，包括原材料、燃料、设备、产品等。</w:t>
      </w:r>
    </w:p>
    <w:p w14:paraId="4065EC0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2.5工程，是指供应商按磋商文件要求，向采购人提供建设工程，包括建筑物和构筑物的新建、改建、扩建、装修、拆除、修缮等。</w:t>
      </w:r>
    </w:p>
    <w:p w14:paraId="2059A9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2.6服务，是指供应商按磋商文件要求，向采购人提供除货物和工程以外的其他政府采购对象，包括政府自身需要的服务和政府向社会公众提供的公共服务。</w:t>
      </w:r>
    </w:p>
    <w:p w14:paraId="3525C7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2.7单位</w:t>
      </w:r>
      <w:r>
        <w:rPr>
          <w:rFonts w:ascii="仿宋_GB2312" w:hAnsi="仿宋" w:eastAsia="仿宋_GB2312" w:cs="宋体"/>
          <w:sz w:val="28"/>
          <w:szCs w:val="28"/>
        </w:rPr>
        <w:t>负责人为同一</w:t>
      </w:r>
      <w:r>
        <w:rPr>
          <w:rFonts w:hint="eastAsia" w:ascii="仿宋_GB2312" w:hAnsi="仿宋" w:eastAsia="仿宋_GB2312" w:cs="宋体"/>
          <w:sz w:val="28"/>
          <w:szCs w:val="28"/>
        </w:rPr>
        <w:t>人</w:t>
      </w:r>
      <w:r>
        <w:rPr>
          <w:rFonts w:ascii="仿宋_GB2312" w:hAnsi="仿宋" w:eastAsia="仿宋_GB2312" w:cs="宋体"/>
          <w:sz w:val="28"/>
          <w:szCs w:val="28"/>
        </w:rPr>
        <w:t>或者存在</w:t>
      </w:r>
      <w:r>
        <w:rPr>
          <w:rFonts w:hint="eastAsia" w:ascii="仿宋_GB2312" w:hAnsi="仿宋" w:eastAsia="仿宋_GB2312" w:cs="宋体"/>
          <w:sz w:val="28"/>
          <w:szCs w:val="28"/>
        </w:rPr>
        <w:t>直接</w:t>
      </w:r>
      <w:r>
        <w:rPr>
          <w:rFonts w:ascii="仿宋_GB2312" w:hAnsi="仿宋" w:eastAsia="仿宋_GB2312" w:cs="宋体"/>
          <w:sz w:val="28"/>
          <w:szCs w:val="28"/>
        </w:rPr>
        <w:t>控股、管理</w:t>
      </w:r>
      <w:r>
        <w:rPr>
          <w:rFonts w:hint="eastAsia" w:ascii="仿宋_GB2312" w:hAnsi="仿宋" w:eastAsia="仿宋_GB2312" w:cs="宋体"/>
          <w:sz w:val="28"/>
          <w:szCs w:val="28"/>
        </w:rPr>
        <w:t>关系</w:t>
      </w:r>
      <w:r>
        <w:rPr>
          <w:rFonts w:ascii="仿宋_GB2312" w:hAnsi="仿宋" w:eastAsia="仿宋_GB2312" w:cs="宋体"/>
          <w:sz w:val="28"/>
          <w:szCs w:val="28"/>
        </w:rPr>
        <w:t>的不同供应商，不得</w:t>
      </w:r>
      <w:r>
        <w:rPr>
          <w:rFonts w:hint="eastAsia" w:ascii="仿宋_GB2312" w:hAnsi="仿宋" w:eastAsia="仿宋_GB2312" w:cs="宋体"/>
          <w:sz w:val="28"/>
          <w:szCs w:val="28"/>
        </w:rPr>
        <w:t>参加同一合同项下的政府采购活动。否则，相关响应均响应无效</w:t>
      </w:r>
      <w:r>
        <w:rPr>
          <w:rFonts w:ascii="仿宋_GB2312" w:hAnsi="仿宋" w:eastAsia="仿宋_GB2312" w:cs="宋体"/>
          <w:sz w:val="28"/>
          <w:szCs w:val="28"/>
        </w:rPr>
        <w:t>。</w:t>
      </w:r>
    </w:p>
    <w:p w14:paraId="15F88A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2.8供应商在响应过程中不得向采购人提供或给予影响其正常决策行为的任何有价值物品或服务。</w:t>
      </w:r>
    </w:p>
    <w:p w14:paraId="04D729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2.9供应商须对本项目指定一个项目负责人，对本项目所有事宜全程负责。未经采购人同意中途不得更换项目负责人。</w:t>
      </w:r>
    </w:p>
    <w:p w14:paraId="421D4F5D">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3.资金来源</w:t>
      </w:r>
    </w:p>
    <w:p w14:paraId="51B6C55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3.1本项目为预采购项目/本项目已获得足以支付本次采购后所签订的合同项下的资金（包括财政性资金和本项目采购中无法与财政性资金分割的非财政性资金）。</w:t>
      </w:r>
    </w:p>
    <w:p w14:paraId="201C0C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3.2项目预算金额、最高限价以及采购标包最高限价见</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w:t>
      </w:r>
    </w:p>
    <w:p w14:paraId="2E2F13C2">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3.3供应商报价超过采购文件规定的预算金额、最高限价以及采购标包最高限价的，其响应</w:t>
      </w:r>
      <w:r>
        <w:rPr>
          <w:rFonts w:hint="eastAsia" w:ascii="仿宋_GB2312" w:hAnsi="仿宋" w:eastAsia="仿宋_GB2312" w:cs="宋体"/>
          <w:b/>
          <w:sz w:val="28"/>
          <w:szCs w:val="28"/>
        </w:rPr>
        <w:t>无效</w:t>
      </w:r>
      <w:r>
        <w:rPr>
          <w:rFonts w:ascii="仿宋_GB2312" w:hAnsi="仿宋" w:eastAsia="仿宋_GB2312" w:cs="宋体"/>
          <w:sz w:val="28"/>
          <w:szCs w:val="28"/>
        </w:rPr>
        <w:t>。</w:t>
      </w:r>
    </w:p>
    <w:p w14:paraId="540D5025">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4.相关要求</w:t>
      </w:r>
    </w:p>
    <w:p w14:paraId="559820E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4.1 供应商应承担所有与准备和参加报价的全部费用。不论电子响应结果如何，采购人和采购代理机构均无义务和责任承担这些费用。</w:t>
      </w:r>
    </w:p>
    <w:p w14:paraId="64C7C99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 本项目若涉及采购货物，则货物及相应服务应满足以下要求：</w:t>
      </w:r>
    </w:p>
    <w:p w14:paraId="700C1FD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4.2.1 必须是全新、未使用过的原装合格正品（包括零部件），如安装或配置了软件的，须为正版软件。</w:t>
      </w:r>
    </w:p>
    <w:p w14:paraId="7BD50E8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4.2.2</w:t>
      </w:r>
      <w:r>
        <w:rPr>
          <w:rFonts w:hint="eastAsia" w:ascii="仿宋_GB2312" w:hAnsi="仿宋" w:eastAsia="仿宋_GB2312" w:cs="宋体"/>
          <w:sz w:val="28"/>
          <w:szCs w:val="28"/>
        </w:rPr>
        <w:t>进口产品,是指通过中国海关报关验放进入中国境内且产自关境外的产品。若</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中写明允许采购进口产品，供应商应保证所投产品可履行合法报通关手续进入中国关境内，并通过中华人民共和国商检部门检验。磋商公告有其他要求的，亦应符合其要求。若</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中未写明允许采购进口产品，如投标人所投产品为进口产品，其</w:t>
      </w:r>
      <w:r>
        <w:rPr>
          <w:rFonts w:hint="eastAsia" w:ascii="仿宋_GB2312" w:hAnsi="仿宋" w:eastAsia="仿宋_GB2312" w:cs="宋体"/>
          <w:b/>
          <w:sz w:val="28"/>
          <w:szCs w:val="28"/>
        </w:rPr>
        <w:t>响应无效</w:t>
      </w:r>
      <w:r>
        <w:rPr>
          <w:rFonts w:hint="eastAsia" w:ascii="仿宋_GB2312" w:hAnsi="宋体" w:eastAsia="仿宋_GB2312"/>
          <w:sz w:val="28"/>
          <w:szCs w:val="28"/>
        </w:rPr>
        <w:t>。</w:t>
      </w:r>
    </w:p>
    <w:p w14:paraId="4246065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4.2.3供应商应保证，其所提供的货物（服务）在提供给采购人前具有完全的所有权，采购人在中华人民共和国境内使用该货物（服务）或货物（服务）的任何一部分时，不会产生因第三方提出的包括但不限于侵犯其专利权、商标权、工业设计权等知识产权和侵犯其所有权、抵押权等物权及其他权利而引发的纠纷。如有纠纷，供应商应承担全部责任。</w:t>
      </w:r>
    </w:p>
    <w:p w14:paraId="4164B4DD">
      <w:pPr>
        <w:snapToGrid w:val="0"/>
        <w:spacing w:line="560" w:lineRule="exact"/>
        <w:ind w:firstLine="565" w:firstLineChars="201"/>
        <w:rPr>
          <w:rFonts w:ascii="仿宋_GB2312" w:hAnsi="宋体" w:eastAsia="仿宋_GB2312"/>
          <w:sz w:val="28"/>
          <w:szCs w:val="28"/>
        </w:rPr>
      </w:pPr>
      <w:r>
        <w:rPr>
          <w:rFonts w:hint="eastAsia" w:ascii="仿宋_GB2312" w:hAnsi="宋体" w:eastAsia="仿宋_GB2312"/>
          <w:b/>
          <w:sz w:val="28"/>
          <w:szCs w:val="28"/>
        </w:rPr>
        <w:t>4.3供应商应通过威海市公共资源交易网（乳山分中心）登录威海市政府采购电子交易系统获取磋商文件，并通过威海市政府采购电子交易系统网上上传电子响应文件，电子响应文件成功上传后，将会生成投标回执，未通过威海市政府采购电子交易系统上传电子响应文件的，为无效响应。</w:t>
      </w:r>
    </w:p>
    <w:p w14:paraId="613B195D">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5.关于同一品牌</w:t>
      </w:r>
    </w:p>
    <w:p w14:paraId="756442B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32869CB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5.2非单一产品采购的项目，多家供应商提供的核心产品品牌相同的，按前款规定处理。</w:t>
      </w:r>
    </w:p>
    <w:p w14:paraId="2555B988">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6. 电子响应特别提示</w:t>
      </w:r>
    </w:p>
    <w:p w14:paraId="088BC8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6.1本项目供应商须登录威海市公共资源交易网（乳山分中心）（http://ggzyjy.weihai.cn/rushan/），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2899D1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6.2本项目必须</w:t>
      </w:r>
      <w:r>
        <w:rPr>
          <w:rFonts w:hint="eastAsia" w:ascii="仿宋_GB2312" w:hAnsi="仿宋" w:eastAsia="仿宋_GB2312" w:cs="宋体"/>
          <w:b/>
          <w:sz w:val="28"/>
          <w:szCs w:val="28"/>
        </w:rPr>
        <w:t>网上提交响应文件</w:t>
      </w:r>
      <w:r>
        <w:rPr>
          <w:rFonts w:hint="eastAsia" w:ascii="Calibri" w:hAnsi="Calibri" w:eastAsia="仿宋_GB2312" w:cs="宋体"/>
          <w:sz w:val="28"/>
          <w:szCs w:val="28"/>
        </w:rPr>
        <w:t>。</w:t>
      </w:r>
      <w:r>
        <w:rPr>
          <w:rFonts w:hint="eastAsia" w:ascii="仿宋_GB2312" w:hAnsi="仿宋" w:eastAsia="仿宋_GB2312" w:cs="宋体"/>
          <w:sz w:val="28"/>
          <w:szCs w:val="28"/>
        </w:rPr>
        <w:t>参与本项目报价的供应商应利用办理好的CA锁登录威海市政府采购电子交易系统获取磋商文件及相关文件，并进行网上响应。另外，供应商还应确保安全证书（CA锁）在有效期内。</w:t>
      </w:r>
    </w:p>
    <w:p w14:paraId="54BFF98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6.3网上响应时，登录交易平台的电脑须满足以下环境要求：（1）操作系统：Windows 7 </w:t>
      </w:r>
      <w:r>
        <w:rPr>
          <w:rFonts w:ascii="仿宋_GB2312" w:hAnsi="仿宋" w:eastAsia="仿宋_GB2312" w:cs="宋体"/>
          <w:sz w:val="28"/>
          <w:szCs w:val="28"/>
        </w:rPr>
        <w:t>/</w:t>
      </w:r>
      <w:r>
        <w:rPr>
          <w:rFonts w:hint="eastAsia" w:ascii="仿宋_GB2312" w:hAnsi="仿宋" w:eastAsia="仿宋_GB2312" w:cs="宋体"/>
          <w:sz w:val="28"/>
          <w:szCs w:val="28"/>
        </w:rPr>
        <w:t xml:space="preserve"> Windows </w:t>
      </w:r>
      <w:r>
        <w:rPr>
          <w:rFonts w:ascii="仿宋_GB2312" w:hAnsi="仿宋" w:eastAsia="仿宋_GB2312" w:cs="宋体"/>
          <w:sz w:val="28"/>
          <w:szCs w:val="28"/>
        </w:rPr>
        <w:t>10</w:t>
      </w:r>
      <w:r>
        <w:rPr>
          <w:rFonts w:hint="eastAsia" w:ascii="仿宋_GB2312" w:hAnsi="仿宋" w:eastAsia="仿宋_GB2312" w:cs="宋体"/>
          <w:sz w:val="28"/>
          <w:szCs w:val="28"/>
        </w:rPr>
        <w:t>（2）浏览器：Internet Explorer 11、10 （3）办公软件：Microsoft Office 2007、2010 （4）PDF软件推荐：Adobe Reader。非以上环境可能出现错误影响其电子响应，登录交易平台时如提示更新插件则必须更新，否则影响其电子响应。响应文件制作及提交等有关操作见本文件及威海市公共资源交易网-办事指南栏目-政府采购专区-《威海市政府采购电子交易系统供应商使用指南》，响应文件制作及系统使用咨询电话：</w:t>
      </w:r>
      <w:r>
        <w:rPr>
          <w:rFonts w:ascii="仿宋_GB2312" w:hAnsi="仿宋" w:eastAsia="仿宋_GB2312" w:cs="宋体"/>
          <w:sz w:val="28"/>
          <w:szCs w:val="28"/>
        </w:rPr>
        <w:t>4009</w:t>
      </w:r>
      <w:r>
        <w:rPr>
          <w:rFonts w:hint="eastAsia" w:ascii="仿宋_GB2312" w:hAnsi="仿宋" w:eastAsia="仿宋_GB2312" w:cs="宋体"/>
          <w:sz w:val="28"/>
          <w:szCs w:val="28"/>
        </w:rPr>
        <w:t>-</w:t>
      </w:r>
      <w:r>
        <w:rPr>
          <w:rFonts w:ascii="仿宋_GB2312" w:hAnsi="仿宋" w:eastAsia="仿宋_GB2312" w:cs="宋体"/>
          <w:sz w:val="28"/>
          <w:szCs w:val="28"/>
        </w:rPr>
        <w:t>913</w:t>
      </w:r>
      <w:r>
        <w:rPr>
          <w:rFonts w:hint="eastAsia" w:ascii="仿宋_GB2312" w:hAnsi="仿宋" w:eastAsia="仿宋_GB2312" w:cs="宋体"/>
          <w:sz w:val="28"/>
          <w:szCs w:val="28"/>
        </w:rPr>
        <w:t>-</w:t>
      </w:r>
      <w:r>
        <w:rPr>
          <w:rFonts w:ascii="仿宋_GB2312" w:hAnsi="仿宋" w:eastAsia="仿宋_GB2312" w:cs="宋体"/>
          <w:sz w:val="28"/>
          <w:szCs w:val="28"/>
        </w:rPr>
        <w:t>966</w:t>
      </w:r>
      <w:r>
        <w:rPr>
          <w:rFonts w:hint="eastAsia" w:ascii="仿宋_GB2312" w:hAnsi="仿宋" w:eastAsia="仿宋_GB2312" w:cs="宋体"/>
          <w:sz w:val="28"/>
          <w:szCs w:val="28"/>
        </w:rPr>
        <w:t>,18769124292。</w:t>
      </w:r>
    </w:p>
    <w:p w14:paraId="509F807D">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6.4供应商应充分考虑到网上响应会发生的故障和风险。对发生的任何故障和风险造成供应商响应内容不一致或利益受损或响应失败的，采购人及采购代理机构不承担任何责任。</w:t>
      </w:r>
    </w:p>
    <w:p w14:paraId="685CF36D">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二、竞争性磋商文件</w:t>
      </w:r>
    </w:p>
    <w:p w14:paraId="5AA859E0">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7.竞争性磋商文件的构成</w:t>
      </w:r>
    </w:p>
    <w:p w14:paraId="5BB5CB7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由各采购包本文件（</w:t>
      </w:r>
      <w:r>
        <w:rPr>
          <w:rFonts w:ascii="仿宋_GB2312" w:hAnsi="宋体" w:eastAsia="仿宋_GB2312"/>
          <w:sz w:val="28"/>
          <w:szCs w:val="28"/>
        </w:rPr>
        <w:t>WORD</w:t>
      </w:r>
      <w:r>
        <w:rPr>
          <w:rFonts w:hint="eastAsia" w:ascii="仿宋_GB2312" w:hAnsi="宋体" w:eastAsia="仿宋_GB2312"/>
          <w:sz w:val="28"/>
          <w:szCs w:val="28"/>
        </w:rPr>
        <w:t>格式）和各采购包的数据文件（</w:t>
      </w:r>
      <w:r>
        <w:rPr>
          <w:rFonts w:ascii="仿宋_GB2312" w:hAnsi="宋体" w:eastAsia="仿宋_GB2312"/>
          <w:sz w:val="28"/>
          <w:szCs w:val="28"/>
        </w:rPr>
        <w:t>EXCEL</w:t>
      </w:r>
      <w:r>
        <w:rPr>
          <w:rFonts w:hint="eastAsia" w:ascii="仿宋_GB2312" w:hAnsi="宋体" w:eastAsia="仿宋_GB2312"/>
          <w:sz w:val="28"/>
          <w:szCs w:val="28"/>
        </w:rPr>
        <w:t>格式）构成，采用压缩包电子版文件格式提供。</w:t>
      </w:r>
    </w:p>
    <w:p w14:paraId="3DC076E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7.1 本文件（</w:t>
      </w:r>
      <w:r>
        <w:rPr>
          <w:rFonts w:ascii="仿宋_GB2312" w:hAnsi="宋体" w:eastAsia="仿宋_GB2312"/>
          <w:sz w:val="28"/>
          <w:szCs w:val="28"/>
        </w:rPr>
        <w:t>WORD</w:t>
      </w:r>
      <w:r>
        <w:rPr>
          <w:rFonts w:hint="eastAsia" w:ascii="仿宋_GB2312" w:hAnsi="宋体" w:eastAsia="仿宋_GB2312"/>
          <w:sz w:val="28"/>
          <w:szCs w:val="28"/>
        </w:rPr>
        <w:t>格式）由下列文件组成：</w:t>
      </w:r>
    </w:p>
    <w:p w14:paraId="1BFC9E2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（1）采购公告</w:t>
      </w:r>
    </w:p>
    <w:p w14:paraId="00D6003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（2）供应商须知</w:t>
      </w:r>
    </w:p>
    <w:p w14:paraId="6B7CF64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（3）采购内容与要求</w:t>
      </w:r>
    </w:p>
    <w:p w14:paraId="4AB7D2A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（4）评审原则和方法</w:t>
      </w:r>
    </w:p>
    <w:p w14:paraId="35F7A10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（5）响应文件格式与要求</w:t>
      </w:r>
    </w:p>
    <w:p w14:paraId="166541E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（6）政府采购合同（范本）</w:t>
      </w:r>
    </w:p>
    <w:p w14:paraId="39E0F13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（7）在采购过程中，由采购人或采购代理机构发出的修正和补充文件等(如有）</w:t>
      </w:r>
    </w:p>
    <w:p w14:paraId="1642D55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7.2 数据文件（</w:t>
      </w:r>
      <w:r>
        <w:rPr>
          <w:rFonts w:ascii="仿宋_GB2312" w:hAnsi="宋体" w:eastAsia="仿宋_GB2312"/>
          <w:sz w:val="28"/>
          <w:szCs w:val="28"/>
        </w:rPr>
        <w:t>EXCEL</w:t>
      </w:r>
      <w:r>
        <w:rPr>
          <w:rFonts w:hint="eastAsia" w:ascii="仿宋_GB2312" w:hAnsi="宋体" w:eastAsia="仿宋_GB2312"/>
          <w:sz w:val="28"/>
          <w:szCs w:val="28"/>
        </w:rPr>
        <w:t>格式）由下列文件组成：</w:t>
      </w:r>
    </w:p>
    <w:p w14:paraId="4ACEEEF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（1）封面</w:t>
      </w:r>
    </w:p>
    <w:p w14:paraId="12696E3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（2）投标报价表</w:t>
      </w:r>
    </w:p>
    <w:p w14:paraId="1E5FA3F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（3）需求响应表（如有）</w:t>
      </w:r>
    </w:p>
    <w:p w14:paraId="5469E4D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（4）评审对照表</w:t>
      </w:r>
    </w:p>
    <w:p w14:paraId="7EDF58E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（5）评分对照表</w:t>
      </w:r>
    </w:p>
    <w:p w14:paraId="30008547">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w:t>
      </w:r>
      <w:r>
        <w:rPr>
          <w:rFonts w:hint="eastAsia" w:ascii="仿宋_GB2312" w:hAnsi="仿宋" w:eastAsia="仿宋_GB2312" w:cs="宋体"/>
          <w:sz w:val="28"/>
          <w:szCs w:val="28"/>
        </w:rPr>
        <w:t>.3供应商应认真阅读采购文件，如果供应商没有按照采购文件要求提交全部资料，或者供应商没有对采购文件在各方面都做出实质性响应，</w:t>
      </w:r>
      <w:r>
        <w:rPr>
          <w:rFonts w:hint="eastAsia" w:ascii="仿宋_GB2312" w:hAnsi="仿宋" w:eastAsia="仿宋_GB2312" w:cs="宋体"/>
          <w:b/>
          <w:sz w:val="28"/>
          <w:szCs w:val="28"/>
        </w:rPr>
        <w:t>其风险应由供应商自行承担。根据</w:t>
      </w:r>
      <w:r>
        <w:rPr>
          <w:rFonts w:hint="eastAsia" w:ascii="仿宋_GB2312" w:hAnsi="宋体" w:eastAsia="仿宋_GB2312"/>
          <w:b/>
          <w:sz w:val="28"/>
          <w:szCs w:val="28"/>
        </w:rPr>
        <w:t>法律法规的</w:t>
      </w:r>
      <w:r>
        <w:rPr>
          <w:rFonts w:hint="eastAsia" w:ascii="仿宋_GB2312" w:hAnsi="仿宋" w:eastAsia="仿宋_GB2312" w:cs="宋体"/>
          <w:b/>
          <w:sz w:val="28"/>
          <w:szCs w:val="28"/>
        </w:rPr>
        <w:t>规定</w:t>
      </w:r>
      <w:r>
        <w:rPr>
          <w:rFonts w:hint="eastAsia" w:ascii="仿宋_GB2312" w:hAnsi="仿宋" w:eastAsia="仿宋_GB2312" w:cs="宋体"/>
          <w:sz w:val="28"/>
          <w:szCs w:val="28"/>
        </w:rPr>
        <w:t>，</w:t>
      </w:r>
      <w:r>
        <w:rPr>
          <w:rFonts w:hint="eastAsia" w:ascii="仿宋_GB2312" w:hAnsi="宋体" w:eastAsia="仿宋_GB2312"/>
          <w:sz w:val="28"/>
          <w:szCs w:val="28"/>
        </w:rPr>
        <w:t>可能导致其响应无效。</w:t>
      </w:r>
    </w:p>
    <w:p w14:paraId="4C19200F">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w:t>
      </w:r>
      <w:r>
        <w:rPr>
          <w:rFonts w:hint="eastAsia" w:ascii="仿宋_GB2312" w:hAnsi="仿宋" w:eastAsia="仿宋_GB2312" w:cs="宋体"/>
          <w:sz w:val="28"/>
          <w:szCs w:val="28"/>
        </w:rPr>
        <w:t>4磋商文件</w:t>
      </w:r>
      <w:r>
        <w:rPr>
          <w:rFonts w:ascii="仿宋_GB2312" w:hAnsi="仿宋" w:eastAsia="仿宋_GB2312" w:cs="宋体"/>
          <w:sz w:val="28"/>
          <w:szCs w:val="28"/>
        </w:rPr>
        <w:t>中有不一致的，有澄清的部分</w:t>
      </w:r>
      <w:r>
        <w:rPr>
          <w:rFonts w:hint="eastAsia" w:ascii="仿宋_GB2312" w:hAnsi="仿宋" w:eastAsia="仿宋_GB2312" w:cs="宋体"/>
          <w:sz w:val="28"/>
          <w:szCs w:val="28"/>
        </w:rPr>
        <w:t>以</w:t>
      </w:r>
      <w:r>
        <w:rPr>
          <w:rFonts w:ascii="仿宋_GB2312" w:hAnsi="仿宋" w:eastAsia="仿宋_GB2312" w:cs="宋体"/>
          <w:sz w:val="28"/>
          <w:szCs w:val="28"/>
        </w:rPr>
        <w:t>最终的澄清更正内容为准</w:t>
      </w:r>
      <w:r>
        <w:rPr>
          <w:rFonts w:hint="eastAsia" w:ascii="仿宋_GB2312" w:hAnsi="仿宋" w:eastAsia="仿宋_GB2312" w:cs="宋体"/>
          <w:sz w:val="28"/>
          <w:szCs w:val="28"/>
        </w:rPr>
        <w:t>。</w:t>
      </w:r>
    </w:p>
    <w:p w14:paraId="5612D4DD">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7.5磋商文件以简体中文编印，且以简体中文为准。</w:t>
      </w:r>
    </w:p>
    <w:p w14:paraId="63133C42">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7.6除非有特殊要求，</w:t>
      </w:r>
      <w:r>
        <w:rPr>
          <w:rFonts w:hint="eastAsia" w:ascii="仿宋_GB2312" w:hAnsi="仿宋" w:eastAsia="仿宋_GB2312" w:cs="宋体"/>
          <w:sz w:val="28"/>
          <w:szCs w:val="28"/>
        </w:rPr>
        <w:t>磋商</w:t>
      </w:r>
      <w:r>
        <w:rPr>
          <w:rFonts w:ascii="仿宋_GB2312" w:hAnsi="仿宋" w:eastAsia="仿宋_GB2312" w:cs="宋体"/>
          <w:sz w:val="28"/>
          <w:szCs w:val="28"/>
        </w:rPr>
        <w:t>文件不单独提供采购货物使用地的自然环境、气候条件、公用设施等情况，供应商被视为熟悉上述与履行合同有关的一切情况。</w:t>
      </w:r>
    </w:p>
    <w:p w14:paraId="54A8651C">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7.7除</w:t>
      </w:r>
      <w:r>
        <w:rPr>
          <w:rFonts w:hint="eastAsia" w:ascii="仿宋_GB2312" w:hAnsi="仿宋" w:eastAsia="仿宋_GB2312" w:cs="宋体"/>
          <w:sz w:val="28"/>
          <w:szCs w:val="28"/>
        </w:rPr>
        <w:t>磋商</w:t>
      </w:r>
      <w:r>
        <w:rPr>
          <w:rFonts w:ascii="仿宋_GB2312" w:hAnsi="仿宋" w:eastAsia="仿宋_GB2312" w:cs="宋体"/>
          <w:sz w:val="28"/>
          <w:szCs w:val="28"/>
        </w:rPr>
        <w:t>文件中另有规定外，</w:t>
      </w:r>
      <w:r>
        <w:rPr>
          <w:rFonts w:hint="eastAsia" w:ascii="仿宋_GB2312" w:hAnsi="仿宋" w:eastAsia="仿宋_GB2312" w:cs="宋体"/>
          <w:sz w:val="28"/>
          <w:szCs w:val="28"/>
        </w:rPr>
        <w:t>磋商</w:t>
      </w:r>
      <w:r>
        <w:rPr>
          <w:rFonts w:ascii="仿宋_GB2312" w:hAnsi="仿宋" w:eastAsia="仿宋_GB2312" w:cs="宋体"/>
          <w:sz w:val="28"/>
          <w:szCs w:val="28"/>
        </w:rPr>
        <w:t>文件所使用的时间单位“天”、“日”均指日历天，且所有时刻均为北京时间。</w:t>
      </w:r>
    </w:p>
    <w:p w14:paraId="0E853DF7">
      <w:pPr>
        <w:snapToGrid w:val="0"/>
        <w:spacing w:line="560" w:lineRule="exact"/>
        <w:ind w:firstLine="562" w:firstLineChars="201"/>
        <w:rPr>
          <w:rFonts w:ascii="仿宋_GB2312" w:hAnsi="宋体" w:eastAsia="仿宋_GB2312"/>
          <w:sz w:val="28"/>
          <w:szCs w:val="28"/>
        </w:rPr>
      </w:pPr>
      <w:r>
        <w:rPr>
          <w:rFonts w:ascii="仿宋_GB2312" w:hAnsi="仿宋" w:eastAsia="仿宋_GB2312" w:cs="宋体"/>
          <w:sz w:val="28"/>
          <w:szCs w:val="28"/>
        </w:rPr>
        <w:t>7.8参与本次采购活动的各方应对</w:t>
      </w:r>
      <w:r>
        <w:rPr>
          <w:rFonts w:hint="eastAsia" w:ascii="仿宋_GB2312" w:hAnsi="仿宋" w:eastAsia="仿宋_GB2312" w:cs="宋体"/>
          <w:sz w:val="28"/>
          <w:szCs w:val="28"/>
        </w:rPr>
        <w:t>磋商</w:t>
      </w:r>
      <w:r>
        <w:rPr>
          <w:rFonts w:ascii="仿宋_GB2312" w:hAnsi="仿宋" w:eastAsia="仿宋_GB2312" w:cs="宋体"/>
          <w:sz w:val="28"/>
          <w:szCs w:val="28"/>
        </w:rPr>
        <w:t>文件和响应文件中的商业和技术等秘密保密，违者应对由此造成的后果承担法律责任。</w:t>
      </w:r>
    </w:p>
    <w:p w14:paraId="7E01A2AD">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8.竞争性磋商文件的澄清</w:t>
      </w:r>
    </w:p>
    <w:p w14:paraId="5E9E953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8.1供应商在收到磋商文件后，对磋商文件若有任何疑问或要求澄清磋商文件的，应按</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向采购人、采购代理机构提出。必要时，采购代理机构将协助采购人组织所有获取采购文件的供应商举行答疑会，采购代理机构根据需要主动对磋商文件进行必要的澄清或根据供应商的要求对磋商文件做出澄清，都将以原网站公开发布形式（包括电子交易系统推送）答复或发送给所有供应商。澄清文件作为磋商文件的组成部分，对供应商起约束作用。</w:t>
      </w:r>
    </w:p>
    <w:p w14:paraId="491643A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8.2供应商在规定的时间内未对磋商文件澄清或提出疑问的，采购人、采购代理机构将视其为接受磋商文件的所有条款。</w:t>
      </w:r>
    </w:p>
    <w:p w14:paraId="3239F46E">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9.竞争性磋商文件的修改</w:t>
      </w:r>
    </w:p>
    <w:p w14:paraId="1E5D99CF">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9.</w:t>
      </w:r>
      <w:r>
        <w:rPr>
          <w:rFonts w:ascii="仿宋_GB2312" w:hAnsi="宋体" w:eastAsia="仿宋_GB2312"/>
          <w:sz w:val="28"/>
          <w:szCs w:val="28"/>
        </w:rPr>
        <w:t>1</w:t>
      </w:r>
      <w:r>
        <w:rPr>
          <w:rFonts w:hint="eastAsia" w:ascii="仿宋_GB2312" w:hAnsi="宋体" w:eastAsia="仿宋_GB2312"/>
          <w:sz w:val="28"/>
          <w:szCs w:val="28"/>
        </w:rPr>
        <w:t xml:space="preserve"> </w:t>
      </w:r>
      <w:r>
        <w:rPr>
          <w:rFonts w:hint="eastAsia" w:ascii="仿宋_GB2312" w:hAnsi="仿宋" w:eastAsia="仿宋_GB2312" w:cs="宋体"/>
          <w:sz w:val="28"/>
          <w:szCs w:val="28"/>
        </w:rPr>
        <w:t>采购人或采购代理机构可以对已发出的招标文件进行必要的澄清或者修改。</w:t>
      </w:r>
    </w:p>
    <w:p w14:paraId="114C8D9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9.2 修改后的内容是磋商文件的组成部分。采购人、采购代理机构将会通过“威海市公共资源交易网”、“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因潜在供应商原因或通讯线路故障导致逾期送达或无法送达，采购人、采购代理机构不因此承担任何责任，有关采购活动可以继续进行。</w:t>
      </w:r>
    </w:p>
    <w:p w14:paraId="74EEC20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9.3澄清或者修改的内容可能影响响应文件编制的，采购人或采购代理机构将在响应截止时间5日前，通过原网站发布公告的形式（电子交易系统内发送更正提醒通知）通知所有获取磋商文件的潜在供应商（磋商文件变更的，供应商必须从电子交易系统中重新下载磋商文件，并在新下载文件的基础上编制响应文件）；不足5日的，采购人或者采购代理机构将顺延提交响应文件的截止时间。</w:t>
      </w:r>
    </w:p>
    <w:p w14:paraId="0B824582">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三、响应文件的编制</w:t>
      </w:r>
    </w:p>
    <w:p w14:paraId="2A2BA24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磋商文件的变动情况和磋商小组的要求重新提交响应文件，并由其法定代表人（依法登记的负责人）签章或授权代表签字或者加盖公章。由授权代表签字的，应当附授权委托书。供应商为自然人的，应当由本人签字并附身份证明。</w:t>
      </w:r>
    </w:p>
    <w:p w14:paraId="3C1E8D85">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10.响应文件编制要求</w:t>
      </w:r>
    </w:p>
    <w:p w14:paraId="73CC416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10.1供应商编写的文件和往来信件应以简体中文书写。如果响应文件或与响应有关的其它文件、信件及来往函电以简体中文以外语言书写的，供应商应将其译成简体中文，如未翻译该文件，则该文件无效。</w:t>
      </w:r>
    </w:p>
    <w:p w14:paraId="5BB6593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10.2响应文件中使用的计量单位应使用中华人民共和国法定计量单位。</w:t>
      </w:r>
    </w:p>
    <w:p w14:paraId="619905F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10.3供应商必须保证响应文件所提供的全部资料真实可靠，并接受采购人或采购代理机构对其中任何资料进一步核实的要求。如果响应文件填报的内容不详，或没有提供竞争性磋商中所要求的全部资料及数据，或提供虚假文件，由此造成的不利后果由供应商自行承担。</w:t>
      </w:r>
    </w:p>
    <w:p w14:paraId="7E5C8C7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10.4供应商按照磋商文件要求所提供的各种证明文件必须真实且合法有效,经扫描后粘贴到响应文件的相关页上，确保清晰度可辨认。评审时由于无法辨认所产生的不利后果，由供应商自行承担。</w:t>
      </w:r>
    </w:p>
    <w:p w14:paraId="1C44EE63">
      <w:pPr>
        <w:snapToGrid w:val="0"/>
        <w:spacing w:line="560" w:lineRule="exact"/>
        <w:ind w:firstLine="562" w:firstLineChars="201"/>
        <w:rPr>
          <w:rFonts w:ascii="仿宋_GB2312" w:hAnsi="宋体" w:eastAsia="仿宋_GB2312"/>
          <w:b/>
          <w:sz w:val="28"/>
          <w:szCs w:val="28"/>
        </w:rPr>
      </w:pPr>
      <w:r>
        <w:rPr>
          <w:rFonts w:hint="eastAsia" w:ascii="仿宋_GB2312" w:hAnsi="宋体" w:eastAsia="仿宋_GB2312"/>
          <w:sz w:val="28"/>
          <w:szCs w:val="28"/>
        </w:rPr>
        <w:t>10</w:t>
      </w:r>
      <w:r>
        <w:rPr>
          <w:rFonts w:hint="eastAsia" w:ascii="仿宋_GB2312" w:hAnsi="宋体" w:eastAsia="仿宋_GB2312"/>
          <w:b/>
          <w:sz w:val="28"/>
          <w:szCs w:val="28"/>
        </w:rPr>
        <w:t>.5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7AF3EF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10.6为了保证系统整体效率，系统对所投递的电子文件有大小的限制，因此，供应商应在确保清晰度的情况下尽可能降低本文件的大小，避免响应截止时间前未能完整上传文件。</w:t>
      </w:r>
    </w:p>
    <w:p w14:paraId="72D41E7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10.7响应文件具有法律效力。供应商与采购人、采购代理机构及其任何工作人员的口头协议不影响响应文件的任何条款和内容。</w:t>
      </w:r>
    </w:p>
    <w:p w14:paraId="029D2557">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10</w:t>
      </w:r>
      <w:r>
        <w:rPr>
          <w:rFonts w:hint="eastAsia" w:ascii="仿宋_GB2312" w:hAnsi="仿宋" w:eastAsia="仿宋_GB2312" w:cs="宋体"/>
          <w:sz w:val="28"/>
          <w:szCs w:val="28"/>
        </w:rPr>
        <w:t>.8供应商应自行承担其准备和参加采购活动发生的所有费用。不论结果如何，采购人、采购代理机构在任何情况下无义务也无责任承担这些费用。</w:t>
      </w:r>
    </w:p>
    <w:p w14:paraId="6EA2EE4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10.9无论供应商是否成交，供应商所提交的响应文件均不予退还，不提供副本拷贝。</w:t>
      </w:r>
    </w:p>
    <w:p w14:paraId="0D06BDD5">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11.数据文件编制要求</w:t>
      </w:r>
    </w:p>
    <w:p w14:paraId="2576221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11.1供应商须从所报项目的磋商文件压缩包内对应项目或采购包目录下获取本文件（变更后的数据文件需要重新下载），必须在原文件上严格按照其中要求填写，其内部已约定好固定格式和相关内容，且带有特定的唯一性数字指纹，</w:t>
      </w:r>
      <w:r>
        <w:rPr>
          <w:rFonts w:ascii="仿宋_GB2312" w:hAnsi="仿宋" w:eastAsia="仿宋_GB2312" w:cs="宋体"/>
          <w:sz w:val="28"/>
          <w:szCs w:val="28"/>
        </w:rPr>
        <w:t>必须在原表上填写，</w:t>
      </w:r>
      <w:r>
        <w:rPr>
          <w:rFonts w:hint="eastAsia" w:ascii="仿宋_GB2312" w:hAnsi="仿宋" w:eastAsia="仿宋_GB2312" w:cs="宋体"/>
          <w:sz w:val="28"/>
          <w:szCs w:val="28"/>
        </w:rPr>
        <w:t>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w:t>
      </w:r>
      <w:r>
        <w:rPr>
          <w:rFonts w:hint="eastAsia" w:ascii="仿宋_GB2312" w:hAnsi="宋体" w:eastAsia="仿宋_GB2312"/>
          <w:sz w:val="28"/>
          <w:szCs w:val="28"/>
        </w:rPr>
        <w:t>，都会破坏本文件中的数字指纹，导致系统无法接收该文件使其响应失败。</w:t>
      </w:r>
    </w:p>
    <w:p w14:paraId="097EE32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宋体" w:eastAsia="仿宋_GB2312"/>
          <w:b/>
          <w:sz w:val="28"/>
          <w:szCs w:val="28"/>
        </w:rPr>
        <w:t>响应失败</w:t>
      </w:r>
      <w:r>
        <w:rPr>
          <w:rFonts w:hint="eastAsia" w:ascii="仿宋_GB2312" w:hAnsi="宋体" w:eastAsia="仿宋_GB2312"/>
          <w:sz w:val="28"/>
          <w:szCs w:val="28"/>
        </w:rPr>
        <w:t>。</w:t>
      </w:r>
    </w:p>
    <w:p w14:paraId="1D45465F">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11</w:t>
      </w:r>
      <w:r>
        <w:rPr>
          <w:rFonts w:hint="eastAsia" w:ascii="仿宋_GB2312" w:hAnsi="仿宋" w:eastAsia="仿宋_GB2312" w:cs="宋体"/>
          <w:sz w:val="28"/>
          <w:szCs w:val="28"/>
        </w:rPr>
        <w:t>.3供应商在对数据文件电子签章前，应按照上述2项的要求进行认真检查、确认。因供应商自身原因所导致其报价失败的，须自行承担相关责任。</w:t>
      </w:r>
    </w:p>
    <w:p w14:paraId="6C6CA3C7">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12.文件构成</w:t>
      </w:r>
    </w:p>
    <w:p w14:paraId="4F3E1FB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供应商应按不同项目或采购包分别编制响应文件，每个项目或采购包的响应文件分两册，且必须包括：响应文件（pdf格式）（第一册）、数据文件（PDF格式）（第二册）。前述内容缺一不可，否则为</w:t>
      </w:r>
      <w:r>
        <w:rPr>
          <w:rFonts w:hint="eastAsia" w:ascii="仿宋_GB2312" w:hAnsi="宋体" w:eastAsia="仿宋_GB2312"/>
          <w:b/>
          <w:sz w:val="28"/>
          <w:szCs w:val="28"/>
        </w:rPr>
        <w:t>无效响应</w:t>
      </w:r>
      <w:r>
        <w:rPr>
          <w:rFonts w:hint="eastAsia" w:ascii="仿宋_GB2312" w:hAnsi="宋体" w:eastAsia="仿宋_GB2312"/>
          <w:sz w:val="28"/>
          <w:szCs w:val="28"/>
        </w:rPr>
        <w:t>。</w:t>
      </w:r>
    </w:p>
    <w:p w14:paraId="73BD391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12.1供应商编制的响应文件（pdf格式）（第一册）包括下列内容：</w:t>
      </w:r>
    </w:p>
    <w:p w14:paraId="4C810066">
      <w:pPr>
        <w:snapToGrid w:val="0"/>
        <w:spacing w:line="560" w:lineRule="exact"/>
        <w:ind w:left="632" w:leftChars="301"/>
        <w:rPr>
          <w:rFonts w:ascii="仿宋_GB2312" w:hAnsi="宋体" w:eastAsia="仿宋_GB2312"/>
          <w:sz w:val="28"/>
          <w:szCs w:val="28"/>
        </w:rPr>
      </w:pPr>
      <w:r>
        <w:rPr>
          <w:rFonts w:hint="eastAsia" w:ascii="仿宋_GB2312" w:hAnsi="宋体" w:eastAsia="仿宋_GB2312"/>
          <w:sz w:val="28"/>
          <w:szCs w:val="28"/>
        </w:rPr>
        <w:t>（1）响应文件封面（格式见本文件第五章）</w:t>
      </w:r>
    </w:p>
    <w:p w14:paraId="272C9D84">
      <w:pPr>
        <w:snapToGrid w:val="0"/>
        <w:spacing w:line="560" w:lineRule="exact"/>
        <w:ind w:left="632" w:leftChars="301"/>
        <w:rPr>
          <w:rFonts w:ascii="仿宋_GB2312" w:hAnsi="宋体" w:eastAsia="仿宋_GB2312"/>
          <w:sz w:val="28"/>
          <w:szCs w:val="28"/>
        </w:rPr>
      </w:pPr>
      <w:r>
        <w:rPr>
          <w:rFonts w:hint="eastAsia" w:ascii="仿宋_GB2312" w:hAnsi="宋体" w:eastAsia="仿宋_GB2312"/>
          <w:sz w:val="28"/>
          <w:szCs w:val="28"/>
        </w:rPr>
        <w:t>（2）响应文件目录（格式见本文件第五章）</w:t>
      </w:r>
    </w:p>
    <w:p w14:paraId="14E4607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（3）报价承诺函（格式见</w:t>
      </w:r>
      <w:r>
        <w:rPr>
          <w:rFonts w:hint="eastAsia" w:ascii="仿宋_GB2312" w:hAnsi="仿宋" w:eastAsia="仿宋_GB2312" w:cs="宋体"/>
          <w:sz w:val="28"/>
          <w:szCs w:val="28"/>
        </w:rPr>
        <w:t>本文件第五章</w:t>
      </w:r>
      <w:r>
        <w:rPr>
          <w:rFonts w:hint="eastAsia" w:ascii="仿宋_GB2312" w:hAnsi="宋体" w:eastAsia="仿宋_GB2312"/>
          <w:sz w:val="28"/>
          <w:szCs w:val="28"/>
        </w:rPr>
        <w:t>）</w:t>
      </w:r>
    </w:p>
    <w:p w14:paraId="4F8F39D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（4）供应商资格证明文件</w:t>
      </w:r>
    </w:p>
    <w:p w14:paraId="47ED4FC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①法人或其他组织的营业执照等证明文件扫描件；</w:t>
      </w:r>
    </w:p>
    <w:p w14:paraId="579CC7A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②法定代表人授权委托书；被授权人身份证扫描件；</w:t>
      </w:r>
    </w:p>
    <w:p w14:paraId="74BB55C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若响应单位代表为企业法定代表人/单位负责人的，则只需提供企业法定代表人/单位负责人身份证扫描件；</w:t>
      </w:r>
    </w:p>
    <w:p w14:paraId="0B8101F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③</w:t>
      </w:r>
      <w:r>
        <w:rPr>
          <w:rFonts w:hint="eastAsia" w:ascii="仿宋_GB2312" w:hAnsi="仿宋" w:eastAsia="仿宋_GB2312" w:cs="宋体"/>
          <w:spacing w:val="8"/>
          <w:sz w:val="28"/>
          <w:szCs w:val="28"/>
        </w:rPr>
        <w:t>工程设计电力行业甲级资质或工程设计综合资质扫描件；</w:t>
      </w:r>
    </w:p>
    <w:p w14:paraId="29DC6B0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④依法缴纳税收和社会保障资金的声明（格式自拟）；近期的完税凭证及交纳社保资金凭证的扫描件（依法免税或不需要缴纳社会保障资金的供应商，应提供相关证明材料）；</w:t>
      </w:r>
    </w:p>
    <w:p w14:paraId="132BD00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⑤参加本项目报价前三年内无重大违法记录声明（格式自定）；</w:t>
      </w:r>
    </w:p>
    <w:p w14:paraId="5B26330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⑥供应商信用报告的扫描件[分别提供：1、“信用中国”下载打印。2、所在地省级信用官方网站(如:“信用山东”)下载打印。3、“中国政府采购网”未被列入政府采购严重违法失信行为记录名单的网站截图]；</w:t>
      </w:r>
    </w:p>
    <w:p w14:paraId="537524C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⑦财务状况报告等相关材料</w:t>
      </w:r>
    </w:p>
    <w:p w14:paraId="68F97A2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A.报价供应商自行编制的近一年度公司财务报表或由中介机构出具的近一年度财务审计报告书扫描件；（2022年度或2023年度）</w:t>
      </w:r>
    </w:p>
    <w:p w14:paraId="6ADAE85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6812AF6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注：A、B两项提供任意一项均可。</w:t>
      </w:r>
    </w:p>
    <w:p w14:paraId="0CA1572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⑧具有履行合同所必需的设备和专业技术能力承诺函（格式自拟）；</w:t>
      </w:r>
    </w:p>
    <w:p w14:paraId="5AB1E51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⑨采购公告中要求的有关资质资格文件；</w:t>
      </w:r>
    </w:p>
    <w:p w14:paraId="7C96C25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⑩报价供应商认为需要提供的资质资格证明文件。</w:t>
      </w:r>
    </w:p>
    <w:p w14:paraId="1C6DEB35">
      <w:pPr>
        <w:snapToGrid w:val="0"/>
        <w:spacing w:line="560" w:lineRule="exact"/>
        <w:ind w:firstLine="565" w:firstLineChars="201"/>
        <w:rPr>
          <w:rFonts w:ascii="仿宋_GB2312" w:hAnsi="宋体" w:eastAsia="仿宋_GB2312"/>
          <w:b/>
          <w:sz w:val="28"/>
          <w:szCs w:val="28"/>
        </w:rPr>
      </w:pPr>
      <w:r>
        <w:rPr>
          <w:rFonts w:hint="eastAsia" w:ascii="仿宋_GB2312" w:hAnsi="宋体" w:eastAsia="仿宋_GB2312"/>
          <w:b/>
          <w:sz w:val="28"/>
          <w:szCs w:val="28"/>
        </w:rPr>
        <w:t>以上所有资格证明文件均需加盖供应商公章。</w:t>
      </w:r>
    </w:p>
    <w:p w14:paraId="1BD7273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（5）供应商基本情况（格式见</w:t>
      </w:r>
      <w:r>
        <w:rPr>
          <w:rFonts w:hint="eastAsia" w:ascii="仿宋_GB2312" w:hAnsi="仿宋" w:eastAsia="仿宋_GB2312" w:cs="宋体"/>
          <w:sz w:val="28"/>
          <w:szCs w:val="28"/>
        </w:rPr>
        <w:t>本磋商文件第五章</w:t>
      </w:r>
      <w:r>
        <w:rPr>
          <w:rFonts w:hint="eastAsia" w:ascii="仿宋_GB2312" w:hAnsi="宋体" w:eastAsia="仿宋_GB2312"/>
          <w:sz w:val="28"/>
          <w:szCs w:val="28"/>
        </w:rPr>
        <w:t>）</w:t>
      </w:r>
    </w:p>
    <w:p w14:paraId="1B4984C9">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①</w:t>
      </w:r>
      <w:r>
        <w:rPr>
          <w:rFonts w:hint="eastAsia" w:ascii="仿宋_GB2312" w:hAnsi="宋体" w:eastAsia="仿宋_GB2312"/>
          <w:sz w:val="28"/>
          <w:szCs w:val="28"/>
        </w:rPr>
        <w:t>项目负责人及拟派主要人员情况;</w:t>
      </w:r>
    </w:p>
    <w:p w14:paraId="7720E568">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②技术参数响应程度；</w:t>
      </w:r>
    </w:p>
    <w:p w14:paraId="4D89F2CA">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供应商应提交证明文件，证明标的的合格性、技术文件符合采购文件的规定、报价内容符合采购文件规定。该证明文件是响应文件的一部分，可以是文字资料、图纸和数据，不包括对采购文件相关部分的文字、图标的复制等</w:t>
      </w:r>
    </w:p>
    <w:p w14:paraId="0A362EF4">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①项目说明；</w:t>
      </w:r>
    </w:p>
    <w:p w14:paraId="3BA1A6A5">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②进度计划安排；</w:t>
      </w:r>
    </w:p>
    <w:p w14:paraId="67C10D27">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③保证进度、环境保护、文明勘察等技术措施；</w:t>
      </w:r>
    </w:p>
    <w:p w14:paraId="56D7B47D">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④后期跟踪服务中需提供的工作内容；</w:t>
      </w:r>
    </w:p>
    <w:p w14:paraId="756C8F40">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⑤服务承诺及合理化建议</w:t>
      </w:r>
      <w:r>
        <w:rPr>
          <w:rFonts w:ascii="仿宋_GB2312" w:hAnsi="宋体" w:eastAsia="仿宋_GB2312"/>
          <w:sz w:val="28"/>
          <w:szCs w:val="28"/>
        </w:rPr>
        <w:t>。</w:t>
      </w:r>
    </w:p>
    <w:p w14:paraId="46F75EF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7</w:t>
      </w:r>
      <w:r>
        <w:rPr>
          <w:rFonts w:hint="eastAsia" w:ascii="仿宋_GB2312" w:hAnsi="宋体" w:eastAsia="仿宋_GB2312"/>
          <w:sz w:val="28"/>
          <w:szCs w:val="28"/>
        </w:rPr>
        <w:t>）符合政府采购优惠政策的证明材料：</w:t>
      </w:r>
    </w:p>
    <w:p w14:paraId="0E83255C">
      <w:pPr>
        <w:snapToGrid w:val="0"/>
        <w:spacing w:line="560" w:lineRule="exact"/>
        <w:ind w:firstLine="565" w:firstLineChars="201"/>
        <w:rPr>
          <w:rFonts w:ascii="仿宋_GB2312" w:hAnsi="宋体" w:eastAsia="仿宋_GB2312"/>
          <w:b/>
          <w:sz w:val="28"/>
          <w:szCs w:val="28"/>
        </w:rPr>
      </w:pPr>
      <w:r>
        <w:rPr>
          <w:rFonts w:hint="eastAsia" w:ascii="仿宋_GB2312" w:hAnsi="宋体" w:eastAsia="仿宋_GB2312"/>
          <w:b/>
          <w:sz w:val="28"/>
          <w:szCs w:val="28"/>
        </w:rPr>
        <w:t>（需在数据文件中“报价明细表”中进行申报。如未申报，则系统不予认可，因而无法享受相应的政策优惠）</w:t>
      </w:r>
    </w:p>
    <w:p w14:paraId="5069294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①所报产品属于政府采购节能、环保优先采购的产品,按照《关于调整优化节能产品、环境标志产品政府采购执行机制的通知》（财库〔2019〕9号）的规定执行。即：供应商所报产品属于下述品目清单范围内的，响应文件中需提供国家确定的认证机构出具的、处于有效期之内的节能产品、环境标志产品认证证书扫描件(加盖供应商公章)：</w:t>
      </w:r>
    </w:p>
    <w:p w14:paraId="0A5AB45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A《节能产品政府采购品目清单》</w:t>
      </w:r>
    </w:p>
    <w:p w14:paraId="646A569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B《环境标志产品政府采购品目清单》或者符合政府采购“优先采购”政策的其他证明文件</w:t>
      </w:r>
    </w:p>
    <w:p w14:paraId="0E4B419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说明：a.以上的货物需为本项目的采购标的；</w:t>
      </w:r>
    </w:p>
    <w:p w14:paraId="0EC9E358">
      <w:pPr>
        <w:snapToGrid w:val="0"/>
        <w:spacing w:line="560" w:lineRule="exact"/>
        <w:ind w:firstLine="565" w:firstLineChars="201"/>
        <w:rPr>
          <w:rFonts w:ascii="仿宋_GB2312" w:hAnsi="宋体" w:eastAsia="仿宋_GB2312"/>
          <w:b/>
          <w:sz w:val="28"/>
          <w:szCs w:val="28"/>
        </w:rPr>
      </w:pPr>
      <w:r>
        <w:rPr>
          <w:rFonts w:hint="eastAsia" w:ascii="仿宋_GB2312" w:hAnsi="宋体" w:eastAsia="仿宋_GB2312"/>
          <w:b/>
          <w:sz w:val="28"/>
          <w:szCs w:val="28"/>
        </w:rPr>
        <w:t>b. 《节能产品政府采购品目清单》中标注★的台式计算机、便携式计算机、平板式微型计算机、激光打印机、针式打印机、液晶显示器、制冷压缩机、空调机组、专用制冷、空调设备、镇流器、空调机、电热水器、普通照明用双端荧光灯、电视设备、视频设备、便器、水嘴为政府强制采购节能品目。强制采购节能产品不给予节能政策的加分/价格扣除，供应商所报产品为以上品目的,必须提供国家确定的认证机构出具的、处于有效期之内的节能产品认证证书扫描件；不提供的，视为无效响应。</w:t>
      </w:r>
    </w:p>
    <w:p w14:paraId="0B1C82E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②货物制造商（工程</w:t>
      </w:r>
      <w:r>
        <w:rPr>
          <w:rFonts w:hint="eastAsia" w:ascii="仿宋_GB2312" w:hAnsi="仿宋" w:eastAsia="仿宋_GB2312" w:cs="宋体"/>
          <w:sz w:val="28"/>
          <w:szCs w:val="28"/>
        </w:rPr>
        <w:t>承建商</w:t>
      </w:r>
      <w:r>
        <w:rPr>
          <w:rFonts w:hint="eastAsia" w:ascii="仿宋_GB2312" w:hAnsi="宋体" w:eastAsia="仿宋_GB2312"/>
          <w:sz w:val="28"/>
          <w:szCs w:val="28"/>
        </w:rPr>
        <w:t>、服务</w:t>
      </w:r>
      <w:r>
        <w:rPr>
          <w:rFonts w:hint="eastAsia" w:ascii="仿宋_GB2312" w:hAnsi="仿宋" w:eastAsia="仿宋_GB2312" w:cs="宋体"/>
          <w:sz w:val="28"/>
          <w:szCs w:val="28"/>
        </w:rPr>
        <w:t>承接</w:t>
      </w:r>
      <w:r>
        <w:rPr>
          <w:rFonts w:hint="eastAsia" w:ascii="仿宋_GB2312" w:hAnsi="宋体" w:eastAsia="仿宋_GB2312"/>
          <w:sz w:val="28"/>
          <w:szCs w:val="28"/>
        </w:rPr>
        <w:t>商）为中小企业的，须提供《中小企业声明函》。（格式见本文件第五章）</w:t>
      </w:r>
    </w:p>
    <w:p w14:paraId="0B2AA73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③</w:t>
      </w:r>
      <w:r>
        <w:rPr>
          <w:rFonts w:hint="eastAsia" w:ascii="仿宋_GB2312" w:hAnsi="仿宋" w:eastAsia="仿宋_GB2312" w:cs="宋体"/>
          <w:sz w:val="28"/>
          <w:szCs w:val="28"/>
        </w:rPr>
        <w:t>监狱企业参加政府采购活动时，</w:t>
      </w:r>
      <w:r>
        <w:rPr>
          <w:rFonts w:hint="eastAsia" w:ascii="仿宋_GB2312" w:hAnsi="宋体" w:eastAsia="仿宋_GB2312"/>
          <w:sz w:val="28"/>
          <w:szCs w:val="28"/>
        </w:rPr>
        <w:t>须提供省级以上监狱管理局、戒毒管理局（含新疆生产建设兵团）出具的属于监狱企业的证明文件。</w:t>
      </w:r>
    </w:p>
    <w:p w14:paraId="6D3EAA5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④</w:t>
      </w:r>
      <w:r>
        <w:rPr>
          <w:rFonts w:hint="eastAsia" w:ascii="仿宋_GB2312" w:hAnsi="仿宋" w:eastAsia="仿宋_GB2312" w:cs="宋体"/>
          <w:sz w:val="28"/>
          <w:szCs w:val="28"/>
        </w:rPr>
        <w:t>符合条件的残疾人福利性单位在参加政府采购活动时</w:t>
      </w:r>
      <w:r>
        <w:rPr>
          <w:rFonts w:hint="eastAsia" w:ascii="仿宋_GB2312" w:hAnsi="宋体" w:eastAsia="仿宋_GB2312"/>
          <w:sz w:val="28"/>
          <w:szCs w:val="28"/>
        </w:rPr>
        <w:t>，须提供符合规定的《残疾人福利性单位声明函》。（格式见</w:t>
      </w:r>
      <w:r>
        <w:rPr>
          <w:rFonts w:hint="eastAsia" w:ascii="仿宋_GB2312" w:hAnsi="仿宋" w:eastAsia="仿宋_GB2312" w:cs="宋体"/>
          <w:sz w:val="28"/>
          <w:szCs w:val="28"/>
        </w:rPr>
        <w:t>本文件第五章</w:t>
      </w:r>
      <w:r>
        <w:rPr>
          <w:rFonts w:hint="eastAsia" w:ascii="仿宋_GB2312" w:hAnsi="宋体" w:eastAsia="仿宋_GB2312"/>
          <w:sz w:val="28"/>
          <w:szCs w:val="28"/>
        </w:rPr>
        <w:t>）</w:t>
      </w:r>
    </w:p>
    <w:p w14:paraId="5955B81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8</w:t>
      </w:r>
      <w:r>
        <w:rPr>
          <w:rFonts w:hint="eastAsia" w:ascii="仿宋_GB2312" w:hAnsi="宋体" w:eastAsia="仿宋_GB2312"/>
          <w:sz w:val="28"/>
          <w:szCs w:val="28"/>
        </w:rPr>
        <w:t>）国内同类项目业绩表（格式见</w:t>
      </w:r>
      <w:r>
        <w:rPr>
          <w:rFonts w:hint="eastAsia" w:ascii="仿宋_GB2312" w:hAnsi="仿宋" w:eastAsia="仿宋_GB2312" w:cs="宋体"/>
          <w:sz w:val="28"/>
          <w:szCs w:val="28"/>
        </w:rPr>
        <w:t>本文件第五章</w:t>
      </w:r>
      <w:r>
        <w:rPr>
          <w:rFonts w:hint="eastAsia" w:ascii="仿宋_GB2312" w:hAnsi="宋体" w:eastAsia="仿宋_GB2312"/>
          <w:sz w:val="28"/>
          <w:szCs w:val="28"/>
        </w:rPr>
        <w:t>）</w:t>
      </w:r>
    </w:p>
    <w:p w14:paraId="295E74C6">
      <w:pPr>
        <w:snapToGrid w:val="0"/>
        <w:spacing w:line="560" w:lineRule="exact"/>
        <w:ind w:firstLine="565" w:firstLineChars="201"/>
        <w:rPr>
          <w:rFonts w:ascii="仿宋_GB2312" w:hAnsi="宋体" w:eastAsia="仿宋_GB2312"/>
          <w:b/>
          <w:sz w:val="28"/>
          <w:szCs w:val="28"/>
        </w:rPr>
      </w:pPr>
      <w:r>
        <w:rPr>
          <w:rFonts w:hint="eastAsia" w:ascii="仿宋_GB2312" w:hAnsi="宋体" w:eastAsia="仿宋_GB2312"/>
          <w:b/>
          <w:sz w:val="28"/>
          <w:szCs w:val="28"/>
        </w:rPr>
        <w:t>供应商提交的第（</w:t>
      </w:r>
      <w:r>
        <w:rPr>
          <w:rFonts w:ascii="仿宋_GB2312" w:hAnsi="宋体" w:eastAsia="仿宋_GB2312"/>
          <w:b/>
          <w:sz w:val="28"/>
          <w:szCs w:val="28"/>
        </w:rPr>
        <w:t>7</w:t>
      </w:r>
      <w:r>
        <w:rPr>
          <w:rFonts w:hint="eastAsia" w:ascii="仿宋_GB2312" w:hAnsi="宋体" w:eastAsia="仿宋_GB2312"/>
          <w:b/>
          <w:sz w:val="28"/>
          <w:szCs w:val="28"/>
        </w:rPr>
        <w:t>）（</w:t>
      </w:r>
      <w:r>
        <w:rPr>
          <w:rFonts w:ascii="仿宋_GB2312" w:hAnsi="宋体" w:eastAsia="仿宋_GB2312"/>
          <w:b/>
          <w:sz w:val="28"/>
          <w:szCs w:val="28"/>
        </w:rPr>
        <w:t>8</w:t>
      </w:r>
      <w:r>
        <w:rPr>
          <w:rFonts w:hint="eastAsia" w:ascii="仿宋_GB2312" w:hAnsi="宋体" w:eastAsia="仿宋_GB2312"/>
          <w:b/>
          <w:sz w:val="28"/>
          <w:szCs w:val="28"/>
        </w:rPr>
        <w:t>）项材料在成交公告一并予以公示。</w:t>
      </w:r>
    </w:p>
    <w:p w14:paraId="45AE939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9</w:t>
      </w:r>
      <w:r>
        <w:rPr>
          <w:rFonts w:hint="eastAsia" w:ascii="仿宋_GB2312" w:hAnsi="宋体" w:eastAsia="仿宋_GB2312"/>
          <w:sz w:val="28"/>
          <w:szCs w:val="28"/>
        </w:rPr>
        <w:t>）要求采购人提供的配合；</w:t>
      </w:r>
    </w:p>
    <w:p w14:paraId="49990AD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12.2</w:t>
      </w:r>
      <w:r>
        <w:rPr>
          <w:rFonts w:hint="eastAsia" w:ascii="仿宋_GB2312" w:hAnsi="仿宋" w:eastAsia="仿宋_GB2312" w:cs="宋体"/>
          <w:sz w:val="28"/>
          <w:szCs w:val="28"/>
        </w:rPr>
        <w:t>数据文件（PDF格式）（第二册）</w:t>
      </w:r>
    </w:p>
    <w:p w14:paraId="0D2F0D84">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供应商须从本项目采购文件压缩包内获取对应</w:t>
      </w:r>
      <w:r>
        <w:rPr>
          <w:rFonts w:hint="eastAsia" w:ascii="仿宋_GB2312" w:hAnsi="宋体" w:eastAsia="仿宋_GB2312"/>
          <w:sz w:val="28"/>
          <w:szCs w:val="28"/>
        </w:rPr>
        <w:t>项目或采购包</w:t>
      </w:r>
      <w:r>
        <w:rPr>
          <w:rFonts w:hint="eastAsia" w:ascii="仿宋_GB2312" w:hAnsi="仿宋" w:eastAsia="仿宋_GB2312" w:cs="宋体"/>
          <w:sz w:val="28"/>
          <w:szCs w:val="28"/>
        </w:rPr>
        <w:t>的数据文件（EXCEL格式），并严格按照要求填写。填写完成后在威海市政府采购电子交易系统中上传该数据文件（EXCEL格式），系统将自动转换为PDF格式，再加盖供应商电子印章，未按要求填写或盖章的，</w:t>
      </w:r>
      <w:r>
        <w:rPr>
          <w:rFonts w:hint="eastAsia" w:ascii="仿宋_GB2312" w:hAnsi="宋体" w:eastAsia="仿宋_GB2312"/>
          <w:b/>
          <w:sz w:val="28"/>
          <w:szCs w:val="28"/>
        </w:rPr>
        <w:t>其响应无效</w:t>
      </w:r>
      <w:r>
        <w:rPr>
          <w:rFonts w:hint="eastAsia" w:ascii="仿宋_GB2312" w:hAnsi="仿宋" w:eastAsia="仿宋_GB2312" w:cs="宋体"/>
          <w:sz w:val="28"/>
          <w:szCs w:val="28"/>
        </w:rPr>
        <w:t>。</w:t>
      </w:r>
      <w:r>
        <w:rPr>
          <w:rFonts w:hint="eastAsia" w:ascii="仿宋_GB2312" w:hAnsi="宋体" w:eastAsia="仿宋_GB2312"/>
          <w:sz w:val="28"/>
          <w:szCs w:val="28"/>
        </w:rPr>
        <w:t>数据文件（PDF格式）包含下列内容：</w:t>
      </w:r>
    </w:p>
    <w:p w14:paraId="2587454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（1）封面</w:t>
      </w:r>
    </w:p>
    <w:p w14:paraId="51868FE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（2）投标报价表（含明细）</w:t>
      </w:r>
    </w:p>
    <w:p w14:paraId="4A12E13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（3）需求响应表（如有）</w:t>
      </w:r>
    </w:p>
    <w:p w14:paraId="1630592F">
      <w:pPr>
        <w:ind w:firstLine="560" w:firstLineChars="200"/>
        <w:rPr>
          <w:rFonts w:ascii="仿宋_GB2312" w:eastAsia="仿宋_GB2312"/>
          <w:sz w:val="28"/>
          <w:szCs w:val="28"/>
        </w:rPr>
      </w:pPr>
      <w:r>
        <w:rPr>
          <w:rFonts w:hint="eastAsia" w:ascii="仿宋_GB2312" w:eastAsia="仿宋_GB2312"/>
          <w:sz w:val="28"/>
          <w:szCs w:val="28"/>
        </w:rPr>
        <w:t>注：成交公告将对供应商提交的二次报价表、需求响应表一并予以公示。</w:t>
      </w:r>
    </w:p>
    <w:p w14:paraId="038CF487">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13.报价</w:t>
      </w:r>
    </w:p>
    <w:p w14:paraId="05E1D63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13.1供应商所提供的货物及相关服务均以人民币报价，精确到小数点后两位。</w:t>
      </w:r>
    </w:p>
    <w:p w14:paraId="38D6678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13.2 供应商应按照“第三章 采购内容与要求”或磋商小组最终确定的内容、责任范围以及合同条款进行报价。并按数据文件中“投标报价表（含明细）”规定的格式报出分项价格和总价。总价中不得包含竞争性磋商文件要求以外的内容，否则，在评审时不予核减。</w:t>
      </w:r>
    </w:p>
    <w:p w14:paraId="432580D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13.3 《投标报价表（含明细）》填写时应响应下列要求：</w:t>
      </w:r>
    </w:p>
    <w:p w14:paraId="3F56CF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（1）供应商须严格按照投标报价表（含明细）说明进行填写，报价明细表投标报价表（含明细）中“*”是必填项，任何必填项为空时都可能导致本次响应无效。</w:t>
      </w:r>
    </w:p>
    <w:p w14:paraId="412B434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（2）供应商应对本次磋商的全部内容进行报价，缺项报价的，其响应无效。如因供应商自身的原因报价失误而造成的损失，由供应商自行承担。</w:t>
      </w:r>
    </w:p>
    <w:p w14:paraId="565BD01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报价包括完成该项目的一切费用总和，包括服务费、设备使用费、材料费、交通费、管理费、招标代理费、其他附带服务及国家规定的各项税费等全部费用。以人民币为结算单位。所有根据合同或其它原因应由供应商支付的税款和其它应交纳的费用都要包括在供应商提交的报价中。</w:t>
      </w:r>
    </w:p>
    <w:p w14:paraId="2257D79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w:t>
      </w:r>
      <w:r>
        <w:rPr>
          <w:rFonts w:hint="eastAsia" w:ascii="仿宋_GB2312" w:hAnsi="仿宋" w:eastAsia="仿宋_GB2312" w:cs="宋体"/>
          <w:sz w:val="28"/>
          <w:szCs w:val="28"/>
        </w:rPr>
        <w:t>《投标报价表</w:t>
      </w:r>
      <w:r>
        <w:rPr>
          <w:rFonts w:hint="eastAsia" w:ascii="仿宋_GB2312" w:hAnsi="宋体" w:eastAsia="仿宋_GB2312"/>
          <w:sz w:val="28"/>
          <w:szCs w:val="28"/>
        </w:rPr>
        <w:t>（含明细）</w:t>
      </w:r>
      <w:r>
        <w:rPr>
          <w:rFonts w:hint="eastAsia" w:ascii="仿宋_GB2312" w:hAnsi="仿宋" w:eastAsia="仿宋_GB2312" w:cs="宋体"/>
          <w:sz w:val="28"/>
          <w:szCs w:val="28"/>
        </w:rPr>
        <w:t>》</w:t>
      </w:r>
      <w:r>
        <w:rPr>
          <w:rFonts w:hint="eastAsia" w:ascii="仿宋_GB2312" w:hAnsi="宋体" w:eastAsia="仿宋_GB2312"/>
          <w:sz w:val="28"/>
          <w:szCs w:val="28"/>
        </w:rPr>
        <w:t>中合价将由单价*数量自动计算，无需手工录入。</w:t>
      </w:r>
    </w:p>
    <w:p w14:paraId="103B7DF9">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（5）本次采购项目质保期见</w:t>
      </w:r>
      <w:r>
        <w:rPr>
          <w:rFonts w:hint="eastAsia" w:ascii="仿宋_GB2312" w:hAnsi="仿宋" w:eastAsia="仿宋_GB2312" w:cs="宋体"/>
          <w:b/>
          <w:sz w:val="28"/>
          <w:szCs w:val="28"/>
          <w:u w:val="single"/>
        </w:rPr>
        <w:t>供应商须知前附表</w:t>
      </w:r>
      <w:r>
        <w:rPr>
          <w:rFonts w:hint="eastAsia" w:ascii="仿宋_GB2312" w:hAnsi="仿宋" w:eastAsia="仿宋_GB2312" w:cs="宋体"/>
          <w:b/>
          <w:sz w:val="28"/>
          <w:szCs w:val="28"/>
        </w:rPr>
        <w:t>或第3章。</w:t>
      </w:r>
    </w:p>
    <w:p w14:paraId="0D9254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享受政府采购优惠政策的，需按采购文件要求在响应文件（第一册）中添加政府采购优惠政策证明文件，并在投标报价表（含明细）中对每个产品申报，填写对应页码。如政策要求是强制节能产品，在响应文件（第一册）需提供强制节能产品认证证书，数据文件填写对应页码；如未要求，在投标文件（第一册）需提供节能、环保证书，数据文件填写对应页码，经审查后，可享受相关政策优惠。</w:t>
      </w:r>
    </w:p>
    <w:p w14:paraId="7E373F4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（7）未经检验的新产品、试制品不能参加本次报价。</w:t>
      </w:r>
    </w:p>
    <w:p w14:paraId="0C905E5E">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（8）</w:t>
      </w:r>
      <w:r>
        <w:rPr>
          <w:rFonts w:hint="eastAsia" w:ascii="仿宋_GB2312" w:hAnsi="宋体" w:eastAsia="仿宋_GB2312"/>
          <w:sz w:val="28"/>
          <w:szCs w:val="28"/>
        </w:rPr>
        <w:t>供应商的报价在合同执行过程中是固定不变的，不得以任何理由改变。所有价格折扣、优惠条件必须在报价明细表中注明，否则评审时不予认可。</w:t>
      </w:r>
    </w:p>
    <w:p w14:paraId="034D9209">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 xml:space="preserve">13.4 </w:t>
      </w:r>
      <w:r>
        <w:rPr>
          <w:rFonts w:hint="eastAsia" w:ascii="仿宋_GB2312" w:hAnsi="仿宋" w:eastAsia="仿宋_GB2312" w:cs="宋体"/>
          <w:sz w:val="28"/>
          <w:szCs w:val="28"/>
        </w:rPr>
        <w:t>《</w:t>
      </w:r>
      <w:r>
        <w:rPr>
          <w:rFonts w:ascii="仿宋_GB2312" w:hAnsi="仿宋" w:eastAsia="仿宋_GB2312" w:cs="宋体"/>
          <w:sz w:val="28"/>
          <w:szCs w:val="28"/>
        </w:rPr>
        <w:t>需求响应表</w:t>
      </w:r>
      <w:r>
        <w:rPr>
          <w:rFonts w:hint="eastAsia" w:ascii="仿宋_GB2312" w:hAnsi="仿宋" w:eastAsia="仿宋_GB2312" w:cs="宋体"/>
          <w:sz w:val="28"/>
          <w:szCs w:val="28"/>
        </w:rPr>
        <w:t>（如有）》</w:t>
      </w:r>
      <w:r>
        <w:rPr>
          <w:rFonts w:ascii="仿宋_GB2312" w:hAnsi="宋体" w:eastAsia="仿宋_GB2312"/>
          <w:sz w:val="28"/>
          <w:szCs w:val="28"/>
        </w:rPr>
        <w:t>填写时应响应下列要求：</w:t>
      </w:r>
    </w:p>
    <w:p w14:paraId="2E93319F">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（1）有底色标识的单元格须填写，有“*”的列是必输项，任何必输项为空都可能导致您的本次响应无效；</w:t>
      </w:r>
    </w:p>
    <w:p w14:paraId="4A775CF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46E77EE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0A606833">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w:t>
      </w:r>
      <w:r>
        <w:rPr>
          <w:rFonts w:hint="eastAsia" w:ascii="仿宋_GB2312" w:hAnsi="仿宋" w:eastAsia="仿宋_GB2312" w:cs="宋体"/>
          <w:b/>
          <w:sz w:val="28"/>
          <w:szCs w:val="28"/>
        </w:rPr>
        <w:t>为合理节约政府采购评审成本，提倡诚实信用的报价行为，特别要求供应商应本着诚信精神，在本次数据文件的“需求响应表”中，均以审慎的态度明确、清楚地披露各项响应情况。供应商须对照磋商文件技术规格、参数与要求，逐条说明所投货物及相关服务是否做出了实质性响应</w:t>
      </w:r>
      <w:r>
        <w:rPr>
          <w:rFonts w:ascii="仿宋_GB2312" w:hAnsi="仿宋" w:eastAsia="仿宋_GB2312" w:cs="宋体"/>
          <w:sz w:val="28"/>
          <w:szCs w:val="28"/>
        </w:rPr>
        <w:t>；若与响应文件中提供的产品检测报告（如有）、生产厂家出具的产品彩页等证明材料的实质性响应情况不一致，按</w:t>
      </w:r>
      <w:r>
        <w:rPr>
          <w:rFonts w:ascii="仿宋_GB2312" w:hAnsi="仿宋" w:eastAsia="仿宋_GB2312" w:cs="宋体"/>
          <w:b/>
          <w:sz w:val="28"/>
          <w:szCs w:val="28"/>
        </w:rPr>
        <w:t>无效响应处理</w:t>
      </w:r>
      <w:r>
        <w:rPr>
          <w:rFonts w:ascii="仿宋_GB2312" w:hAnsi="仿宋" w:eastAsia="仿宋_GB2312" w:cs="宋体"/>
          <w:sz w:val="28"/>
          <w:szCs w:val="28"/>
        </w:rPr>
        <w:t>。</w:t>
      </w:r>
    </w:p>
    <w:p w14:paraId="27157728">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响应程度分为“无偏离”、“正偏离”、“负偏离”。“正偏离”是指报价产品或方案的技术及功能相比磋商文件的要求，技术更先进、档次更高、更适合采购人使用。标注“正偏离”的，供应商必须注明认为“正偏离”的理由。“负偏离”是指报价产品或方案的技术及功能相比磋商文件的要求存在瑕疵或不足。</w:t>
      </w:r>
    </w:p>
    <w:p w14:paraId="7807D2E7">
      <w:pPr>
        <w:spacing w:line="560" w:lineRule="exact"/>
        <w:ind w:firstLine="562" w:firstLineChars="200"/>
        <w:rPr>
          <w:rFonts w:ascii="仿宋_GB2312" w:hAnsi="仿宋" w:eastAsia="仿宋_GB2312" w:cs="宋体"/>
          <w:b/>
          <w:sz w:val="28"/>
          <w:szCs w:val="28"/>
        </w:rPr>
      </w:pPr>
      <w:r>
        <w:rPr>
          <w:rFonts w:hint="eastAsia" w:ascii="仿宋_GB2312" w:hAnsi="仿宋" w:eastAsia="仿宋_GB2312" w:cs="宋体"/>
          <w:b/>
          <w:sz w:val="28"/>
          <w:szCs w:val="28"/>
        </w:rPr>
        <w:t>（6）供应商的响应方案具有不确定性、可选择性、或其提供备选响应方案的，其响应无效。</w:t>
      </w:r>
    </w:p>
    <w:p w14:paraId="3FC3DD0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13.5供应商的报价在合同执行过程中是固定不变的，不得以任何理由改变。所有价格折扣、优惠条件必须在投标（报价）一览表中注明，否则评审时不予认可。</w:t>
      </w:r>
    </w:p>
    <w:p w14:paraId="748ACD77">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14.备选方案</w:t>
      </w:r>
    </w:p>
    <w:p w14:paraId="1A084F3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本采购项目不允许供应商有备选磋商方案。</w:t>
      </w:r>
    </w:p>
    <w:p w14:paraId="0AA5DDEE">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15.联合体响应</w:t>
      </w:r>
    </w:p>
    <w:p w14:paraId="01EE852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w:t>
      </w:r>
      <w:r>
        <w:rPr>
          <w:rFonts w:hint="eastAsia" w:ascii="仿宋_GB2312" w:hAnsi="宋体" w:eastAsia="仿宋_GB2312"/>
          <w:sz w:val="28"/>
          <w:szCs w:val="28"/>
        </w:rPr>
        <w:t>供应商</w:t>
      </w:r>
      <w:r>
        <w:rPr>
          <w:rFonts w:hint="eastAsia" w:ascii="仿宋_GB2312" w:hAnsi="仿宋" w:eastAsia="仿宋_GB2312" w:cs="宋体"/>
          <w:sz w:val="28"/>
          <w:szCs w:val="28"/>
        </w:rPr>
        <w:t>的身份共同参加政府采购。</w:t>
      </w:r>
    </w:p>
    <w:p w14:paraId="17D052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15.1以联合体形式进行政府采购的，参加联合体的</w:t>
      </w:r>
      <w:r>
        <w:rPr>
          <w:rFonts w:hint="eastAsia" w:ascii="仿宋_GB2312" w:hAnsi="宋体" w:eastAsia="仿宋_GB2312"/>
          <w:sz w:val="28"/>
          <w:szCs w:val="28"/>
        </w:rPr>
        <w:t>供应商</w:t>
      </w:r>
      <w:r>
        <w:rPr>
          <w:rFonts w:hint="eastAsia" w:ascii="仿宋_GB2312" w:hAnsi="仿宋" w:eastAsia="仿宋_GB2312" w:cs="宋体"/>
          <w:sz w:val="28"/>
          <w:szCs w:val="28"/>
        </w:rPr>
        <w:t>均应当具备《中华人民共和国政府采购法》第二十二条规定的条件，并应当向采购人提交联合协议，载明联合体各方承担的工作和义务。联合体各方应当共同与采购人签订采购合同，就采购合同约定的事项对采购人承担连带责任。</w:t>
      </w:r>
    </w:p>
    <w:p w14:paraId="26DCDB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15.2联合体中有同类资质的</w:t>
      </w:r>
      <w:r>
        <w:rPr>
          <w:rFonts w:hint="eastAsia" w:ascii="仿宋_GB2312" w:hAnsi="宋体" w:eastAsia="仿宋_GB2312"/>
          <w:sz w:val="28"/>
          <w:szCs w:val="28"/>
        </w:rPr>
        <w:t>供应商</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供应商</w:t>
      </w:r>
      <w:r>
        <w:rPr>
          <w:rFonts w:hint="eastAsia" w:ascii="仿宋_GB2312" w:hAnsi="仿宋" w:eastAsia="仿宋_GB2312" w:cs="宋体"/>
          <w:sz w:val="28"/>
          <w:szCs w:val="28"/>
        </w:rPr>
        <w:t>确定资质等级。</w:t>
      </w:r>
    </w:p>
    <w:p w14:paraId="441A177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15.3联合体各方应当共同推荐一名联合体成员，代表本联合体参与响应，联合体各方提交一份授权委托书，用以证明其推荐的联合体成员有资格代表联合体各方签署响应文件。该授权委托书作为响应文件的组成部分，一并提交给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w:t>
      </w:r>
    </w:p>
    <w:p w14:paraId="3FEB6E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15.4以联合体形式参加政府采购活动的，联合体各方不得再单独参加或者与其他</w:t>
      </w:r>
      <w:r>
        <w:rPr>
          <w:rFonts w:hint="eastAsia" w:ascii="仿宋_GB2312" w:hAnsi="宋体" w:eastAsia="仿宋_GB2312"/>
          <w:sz w:val="28"/>
          <w:szCs w:val="28"/>
        </w:rPr>
        <w:t>供应商</w:t>
      </w:r>
      <w:r>
        <w:rPr>
          <w:rFonts w:hint="eastAsia" w:ascii="仿宋_GB2312" w:hAnsi="仿宋" w:eastAsia="仿宋_GB2312" w:cs="宋体"/>
          <w:sz w:val="28"/>
          <w:szCs w:val="28"/>
        </w:rPr>
        <w:t>另外组成联合体参加同一合同项下的政府采购活动。</w:t>
      </w:r>
    </w:p>
    <w:p w14:paraId="110007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15.5联合体各方应签订联合协议，明确约定联合体各方承担的工作和相应的责任。联合协议是联合体响应文件的重要组成部分，应随同响应文件一并提交。如联合体供应商未提交联合协议，其响应无效。</w:t>
      </w:r>
    </w:p>
    <w:p w14:paraId="30B04B2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15.6</w:t>
      </w:r>
      <w:r>
        <w:rPr>
          <w:rFonts w:ascii="仿宋_GB2312" w:hAnsi="仿宋" w:eastAsia="仿宋_GB2312" w:cs="宋体"/>
          <w:sz w:val="28"/>
          <w:szCs w:val="28"/>
        </w:rPr>
        <w:t>大中型企业</w:t>
      </w:r>
      <w:r>
        <w:rPr>
          <w:rFonts w:hint="eastAsia" w:ascii="仿宋_GB2312" w:hAnsi="仿宋" w:eastAsia="仿宋_GB2312" w:cs="宋体"/>
          <w:sz w:val="28"/>
          <w:szCs w:val="28"/>
        </w:rPr>
        <w:t>、</w:t>
      </w:r>
      <w:r>
        <w:rPr>
          <w:rFonts w:ascii="仿宋_GB2312" w:hAnsi="仿宋" w:eastAsia="仿宋_GB2312" w:cs="宋体"/>
          <w:sz w:val="28"/>
          <w:szCs w:val="28"/>
        </w:rPr>
        <w:t>其他自然人、法人或者</w:t>
      </w:r>
      <w:r>
        <w:rPr>
          <w:rFonts w:hint="eastAsia" w:ascii="仿宋_GB2312" w:hAnsi="仿宋" w:eastAsia="仿宋_GB2312" w:cs="宋体"/>
          <w:sz w:val="28"/>
          <w:szCs w:val="28"/>
        </w:rPr>
        <w:t>其他组织</w:t>
      </w:r>
      <w:r>
        <w:rPr>
          <w:rFonts w:ascii="仿宋_GB2312" w:hAnsi="仿宋" w:eastAsia="仿宋_GB2312" w:cs="宋体"/>
          <w:sz w:val="28"/>
          <w:szCs w:val="28"/>
        </w:rPr>
        <w:t>与小型、微型企业组成联合体共同参加</w:t>
      </w:r>
      <w:r>
        <w:rPr>
          <w:rFonts w:hint="eastAsia" w:ascii="仿宋_GB2312" w:hAnsi="仿宋" w:eastAsia="仿宋_GB2312" w:cs="宋体"/>
          <w:sz w:val="28"/>
          <w:szCs w:val="28"/>
        </w:rPr>
        <w:t>响应，共同报价</w:t>
      </w:r>
      <w:r>
        <w:rPr>
          <w:rFonts w:ascii="仿宋_GB2312" w:hAnsi="仿宋" w:eastAsia="仿宋_GB2312" w:cs="宋体"/>
          <w:sz w:val="28"/>
          <w:szCs w:val="28"/>
        </w:rPr>
        <w:t>协议中</w:t>
      </w:r>
      <w:r>
        <w:rPr>
          <w:rFonts w:hint="eastAsia" w:ascii="仿宋_GB2312" w:hAnsi="仿宋" w:eastAsia="仿宋_GB2312" w:cs="宋体"/>
          <w:sz w:val="28"/>
          <w:szCs w:val="28"/>
        </w:rPr>
        <w:t>应写明</w:t>
      </w:r>
      <w:r>
        <w:rPr>
          <w:rFonts w:ascii="仿宋_GB2312" w:hAnsi="仿宋" w:eastAsia="仿宋_GB2312" w:cs="宋体"/>
          <w:sz w:val="28"/>
          <w:szCs w:val="28"/>
        </w:rPr>
        <w:t>小型、微型企业的协议合同金额占到</w:t>
      </w:r>
      <w:r>
        <w:rPr>
          <w:rFonts w:hint="eastAsia" w:ascii="仿宋_GB2312" w:hAnsi="仿宋" w:eastAsia="仿宋_GB2312" w:cs="宋体"/>
          <w:sz w:val="28"/>
          <w:szCs w:val="28"/>
        </w:rPr>
        <w:t>联合</w:t>
      </w:r>
      <w:r>
        <w:rPr>
          <w:rFonts w:ascii="仿宋_GB2312" w:hAnsi="仿宋" w:eastAsia="仿宋_GB2312" w:cs="宋体"/>
          <w:sz w:val="28"/>
          <w:szCs w:val="28"/>
        </w:rPr>
        <w:t>协议</w:t>
      </w:r>
      <w:r>
        <w:rPr>
          <w:rFonts w:hint="eastAsia" w:ascii="仿宋_GB2312" w:hAnsi="仿宋" w:eastAsia="仿宋_GB2312" w:cs="宋体"/>
          <w:sz w:val="28"/>
          <w:szCs w:val="28"/>
        </w:rPr>
        <w:t>报价</w:t>
      </w:r>
      <w:r>
        <w:rPr>
          <w:rFonts w:ascii="仿宋_GB2312" w:hAnsi="仿宋" w:eastAsia="仿宋_GB2312" w:cs="宋体"/>
          <w:sz w:val="28"/>
          <w:szCs w:val="28"/>
        </w:rPr>
        <w:t>总金额</w:t>
      </w:r>
      <w:r>
        <w:rPr>
          <w:rFonts w:hint="eastAsia" w:ascii="仿宋_GB2312" w:hAnsi="仿宋" w:eastAsia="仿宋_GB2312" w:cs="宋体"/>
          <w:sz w:val="28"/>
          <w:szCs w:val="28"/>
        </w:rPr>
        <w:t>的比例。</w:t>
      </w:r>
    </w:p>
    <w:p w14:paraId="73A411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15.7以联合体形式参加政府采购活动，联合体各方均为中小企业的，联合体视同中小企业。联合体各方均为小微企业的，联合体视同小微企业。</w:t>
      </w:r>
    </w:p>
    <w:p w14:paraId="39FEC552">
      <w:pPr>
        <w:snapToGrid w:val="0"/>
        <w:spacing w:line="560" w:lineRule="exact"/>
        <w:ind w:firstLine="565" w:firstLineChars="201"/>
        <w:rPr>
          <w:rFonts w:ascii="仿宋_GB2312" w:hAnsi="宋体" w:eastAsia="仿宋_GB2312"/>
          <w:b/>
          <w:sz w:val="28"/>
          <w:szCs w:val="28"/>
        </w:rPr>
      </w:pPr>
      <w:r>
        <w:rPr>
          <w:rFonts w:hint="eastAsia" w:ascii="仿宋_GB2312" w:hAnsi="仿宋" w:eastAsia="仿宋_GB2312" w:cs="宋体"/>
          <w:b/>
          <w:sz w:val="28"/>
          <w:szCs w:val="28"/>
        </w:rPr>
        <w:t>本项目是否接受联合体响应详见</w:t>
      </w:r>
      <w:r>
        <w:rPr>
          <w:rFonts w:hint="eastAsia" w:ascii="仿宋_GB2312" w:hAnsi="仿宋" w:eastAsia="仿宋_GB2312" w:cs="宋体"/>
          <w:b/>
          <w:sz w:val="28"/>
          <w:szCs w:val="28"/>
          <w:u w:val="single"/>
        </w:rPr>
        <w:t>供应商须知前附表</w:t>
      </w:r>
      <w:r>
        <w:rPr>
          <w:rFonts w:hint="eastAsia" w:ascii="仿宋_GB2312" w:hAnsi="仿宋" w:eastAsia="仿宋_GB2312" w:cs="宋体"/>
          <w:b/>
          <w:sz w:val="28"/>
          <w:szCs w:val="28"/>
        </w:rPr>
        <w:t>。</w:t>
      </w:r>
    </w:p>
    <w:p w14:paraId="42A70370">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16.关于分包</w:t>
      </w:r>
    </w:p>
    <w:p w14:paraId="304FFDB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16.1供应商拟将成交项目的非主体、非关键性工作分包的，应当在响应文件中载明分包承担主体，分包承担主体应当具备相应资质条件且不得再次分包。</w:t>
      </w:r>
    </w:p>
    <w:p w14:paraId="5E0FEF6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16.2供应商应当就分包项目向采购人负责，分包承担主体就分包项目承担责任。</w:t>
      </w:r>
    </w:p>
    <w:p w14:paraId="2CB3771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16.3依据财政部、工信部等部委发布的《关于印发&lt;政府采购促进中小企业发展管理办法&gt;的通知》（财库〔2020〕46号）规定享受扶持政策获得政府采购合同的，小微企业不得将合同分包给大中型企业，中型企业不得将合同分包给大型企业。</w:t>
      </w:r>
    </w:p>
    <w:p w14:paraId="61B94203">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17.现场踏勘</w:t>
      </w:r>
    </w:p>
    <w:p w14:paraId="66F522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w:t>
      </w:r>
      <w:r>
        <w:rPr>
          <w:rFonts w:hint="eastAsia" w:ascii="仿宋_GB2312" w:hAnsi="仿宋" w:eastAsia="仿宋_GB2312" w:cs="宋体"/>
          <w:sz w:val="28"/>
          <w:szCs w:val="28"/>
          <w:u w:val="single"/>
        </w:rPr>
        <w:t>供应商须知前附表中</w:t>
      </w:r>
      <w:r>
        <w:rPr>
          <w:rFonts w:hint="eastAsia" w:ascii="仿宋_GB2312" w:hAnsi="仿宋" w:eastAsia="仿宋_GB2312" w:cs="宋体"/>
          <w:sz w:val="28"/>
          <w:szCs w:val="28"/>
        </w:rPr>
        <w:t>规定组织踏勘现场的，采购人按规定的时间、地点组织供应商踏勘项目现场，踏勘现场所发生的费用由供应商承担。</w:t>
      </w:r>
    </w:p>
    <w:p w14:paraId="6D14B7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17.2采购人向供应商提供的有关现场的资料和数据，是采购人现有的能使供应商利用的资料，采购人对供应商由此而做出的推论、理解和结论概不负责。</w:t>
      </w:r>
    </w:p>
    <w:p w14:paraId="22FE9C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供应商及其工作人员经过采购人的允许，可以踏勘目的进入采购人的项目现场，对供货（或施工）现场及其范围环境进行考察，以获取有关编制响应文件和签署实施合同所需的各项资料，若本项目采购文件要求供应商于统一时间地点踏勘现场的，供应商应当按时前往。</w:t>
      </w:r>
    </w:p>
    <w:p w14:paraId="5DCFD2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17.4除采购人的原因外，供应商及其工作人员不得因此使采购人及其工作人员承担有关的责任和蒙受损失。供应商应自行承担因踏勘现场而造成的人员死亡、人身伤害、财产损失、损害以及任何其它损失。</w:t>
      </w:r>
    </w:p>
    <w:p w14:paraId="4843FE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17.5未参与现场踏勘不作为否定供应商资格的理由。</w:t>
      </w:r>
    </w:p>
    <w:p w14:paraId="047593C8">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18. 响应有效期</w:t>
      </w:r>
    </w:p>
    <w:p w14:paraId="567C0AC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18.1响应应在</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中规定时间内保持有效。响应有效期不满足要求的，其响应</w:t>
      </w:r>
      <w:r>
        <w:rPr>
          <w:rFonts w:hint="eastAsia" w:ascii="仿宋_GB2312" w:hAnsi="宋体" w:eastAsia="仿宋_GB2312"/>
          <w:b/>
          <w:sz w:val="28"/>
          <w:szCs w:val="28"/>
        </w:rPr>
        <w:t>无效</w:t>
      </w:r>
      <w:r>
        <w:rPr>
          <w:rFonts w:hint="eastAsia" w:ascii="仿宋_GB2312" w:hAnsi="宋体" w:eastAsia="仿宋_GB2312"/>
          <w:sz w:val="28"/>
          <w:szCs w:val="28"/>
        </w:rPr>
        <w:t>。</w:t>
      </w:r>
    </w:p>
    <w:p w14:paraId="6EDBD62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18.2特殊情况下，在响应有效期满之前，采购人、采购代理机构可以要求供应商延长响应有效期，供应商可以书面形式拒绝或接受上述要求。同意延长响应有效期的供应商不得修改响应文件的实质性内容。</w:t>
      </w:r>
    </w:p>
    <w:p w14:paraId="42590598">
      <w:pPr>
        <w:snapToGrid w:val="0"/>
        <w:spacing w:line="560" w:lineRule="exact"/>
        <w:ind w:firstLine="565" w:firstLineChars="201"/>
        <w:rPr>
          <w:rFonts w:ascii="楷体_GB2312" w:hAnsi="宋体" w:eastAsia="楷体_GB2312"/>
          <w:b/>
          <w:sz w:val="28"/>
          <w:szCs w:val="28"/>
        </w:rPr>
      </w:pPr>
      <w:r>
        <w:rPr>
          <w:rFonts w:ascii="楷体_GB2312" w:hAnsi="宋体" w:eastAsia="楷体_GB2312"/>
          <w:b/>
          <w:sz w:val="28"/>
          <w:szCs w:val="28"/>
        </w:rPr>
        <w:t>1</w:t>
      </w:r>
      <w:r>
        <w:rPr>
          <w:rFonts w:hint="eastAsia" w:ascii="楷体_GB2312" w:hAnsi="宋体" w:eastAsia="楷体_GB2312"/>
          <w:b/>
          <w:sz w:val="28"/>
          <w:szCs w:val="28"/>
        </w:rPr>
        <w:t>9.磋商保证金</w:t>
      </w:r>
    </w:p>
    <w:p w14:paraId="3CFD5DC1">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1</w:t>
      </w:r>
      <w:r>
        <w:rPr>
          <w:rFonts w:hint="eastAsia" w:ascii="仿宋_GB2312" w:hAnsi="仿宋" w:eastAsia="仿宋_GB2312" w:cs="宋体"/>
          <w:sz w:val="28"/>
          <w:szCs w:val="28"/>
        </w:rPr>
        <w:t>9.1根据《山东省财政厅关于取消政府采购投标保证金等有关事项的通知》（鲁财采〔2019〕40号）的规定，本项目不向诚信记录良好的供应商收取磋商保证金。</w:t>
      </w:r>
    </w:p>
    <w:p w14:paraId="35204D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19.2供应商</w:t>
      </w:r>
      <w:r>
        <w:rPr>
          <w:rFonts w:ascii="仿宋_GB2312" w:hAnsi="仿宋" w:eastAsia="仿宋_GB2312" w:cs="宋体"/>
          <w:sz w:val="28"/>
          <w:szCs w:val="28"/>
        </w:rPr>
        <w:t>在</w:t>
      </w:r>
      <w:r>
        <w:rPr>
          <w:rFonts w:hint="eastAsia" w:ascii="仿宋_GB2312" w:hAnsi="仿宋" w:eastAsia="仿宋_GB2312" w:cs="宋体"/>
          <w:sz w:val="28"/>
          <w:szCs w:val="28"/>
        </w:rPr>
        <w:t>报价</w:t>
      </w:r>
      <w:r>
        <w:rPr>
          <w:rFonts w:ascii="仿宋_GB2312" w:hAnsi="仿宋" w:eastAsia="仿宋_GB2312" w:cs="宋体"/>
          <w:sz w:val="28"/>
          <w:szCs w:val="28"/>
        </w:rPr>
        <w:t>过程及</w:t>
      </w:r>
      <w:r>
        <w:rPr>
          <w:rFonts w:hint="eastAsia" w:ascii="仿宋_GB2312" w:hAnsi="仿宋" w:eastAsia="仿宋_GB2312" w:cs="宋体"/>
          <w:sz w:val="28"/>
          <w:szCs w:val="28"/>
        </w:rPr>
        <w:t>成交</w:t>
      </w:r>
      <w:r>
        <w:rPr>
          <w:rFonts w:ascii="仿宋_GB2312" w:hAnsi="仿宋" w:eastAsia="仿宋_GB2312" w:cs="宋体"/>
          <w:sz w:val="28"/>
          <w:szCs w:val="28"/>
        </w:rPr>
        <w:t>后如有违反法律法规的情形，采购人或采购代理机构将如实上报政府采购监管部门。</w:t>
      </w:r>
    </w:p>
    <w:p w14:paraId="70BC78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19.3磋商保证金可以以担保支票、押金证明、保证金、保险单、信用证等方式提供，也可以通过电子保函平台以电子保函形式提供。</w:t>
      </w:r>
    </w:p>
    <w:p w14:paraId="575E87C1">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20.响应文件的数量和签署</w:t>
      </w:r>
    </w:p>
    <w:p w14:paraId="7FE9D68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 响应文件（pdf格式）1份（第一册）：</w:t>
      </w:r>
    </w:p>
    <w:p w14:paraId="5C63CC6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20.1.1供应商应使用带电子签章功能的CA锁对响应文件须盖章或签名的部位加盖电子印章[单位电子公章、法定代表人（依法登记的负责人）电子人名章]，电子印章与实物印章具有同等法律效力。</w:t>
      </w:r>
    </w:p>
    <w:p w14:paraId="7C7027E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20.1.2 供应商应首先编制word格式响应文件，最后通过威海市政府采购电子交易系统的文件签章菜单的响应文件签章功能转换为pdf格式（或者其他pdf转换工具），之后通过签章功能在pdf文件上加盖电子印章并保存到本地计算机，加盖了电子印章的pdf文件即为最终的响应文件。</w:t>
      </w:r>
    </w:p>
    <w:p w14:paraId="20971DA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20.1.3文件中要求法定代表人（依法登记的负责人）签字或签章的须加盖法定代表人（依法登记的负责人）电子人名章。</w:t>
      </w:r>
    </w:p>
    <w:p w14:paraId="18F40D1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20.1.4须授权代表签字的，授权代表又无电子章的，在word编制时可将授权代表手写签字扫描后的图片粘贴到响应文件中对应位置，并加盖单位电子公章。</w:t>
      </w:r>
    </w:p>
    <w:p w14:paraId="2C8CCA0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20.1.5可使用平台的批量盖章功能快速签章。但须逐页浏览检查并注意印章重叠及完整性。</w:t>
      </w:r>
    </w:p>
    <w:p w14:paraId="39174B4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20.1.6采用扫描粘贴供应商公章或扫描法定代表人（依法登记的负责人）电子章而不加盖单位电子公章的为</w:t>
      </w:r>
      <w:r>
        <w:rPr>
          <w:rFonts w:hint="eastAsia" w:ascii="仿宋_GB2312" w:hAnsi="宋体" w:eastAsia="仿宋_GB2312"/>
          <w:b/>
          <w:sz w:val="28"/>
          <w:szCs w:val="28"/>
        </w:rPr>
        <w:t>无效响应</w:t>
      </w:r>
      <w:r>
        <w:rPr>
          <w:rFonts w:hint="eastAsia" w:ascii="仿宋_GB2312" w:hAnsi="宋体" w:eastAsia="仿宋_GB2312"/>
          <w:sz w:val="28"/>
          <w:szCs w:val="28"/>
        </w:rPr>
        <w:t>。</w:t>
      </w:r>
    </w:p>
    <w:p w14:paraId="10562C5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20.2数据文件（PDF格式）（第二册）1份：</w:t>
      </w:r>
    </w:p>
    <w:p w14:paraId="5228368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20.2.1供应商将填写完毕的数据文件（EXCEL格式），通过威海市政府采购电子交易系统中“文件签章”菜单的“数据签章”功能上传数据文件（EXCEL格式），系统自动转换为PDF格式，加盖电子印章后保存到本地计算机。加盖了电子印章的文件即为最终的数据文件（PDF格式）。</w:t>
      </w:r>
    </w:p>
    <w:p w14:paraId="5A4199B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20.2.2文件中要求法定代表人（依法登记的负责人）签字或签章的须加盖法定代表人（依法登记的负责人）电子人名章。</w:t>
      </w:r>
    </w:p>
    <w:p w14:paraId="1F48354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20.2.3采用扫描粘贴供应商公章或法定代表人（依法登记的负责人）人名章的为</w:t>
      </w:r>
      <w:r>
        <w:rPr>
          <w:rFonts w:hint="eastAsia" w:ascii="仿宋_GB2312" w:hAnsi="宋体" w:eastAsia="仿宋_GB2312"/>
          <w:b/>
          <w:sz w:val="28"/>
          <w:szCs w:val="28"/>
        </w:rPr>
        <w:t>无效响应</w:t>
      </w:r>
      <w:r>
        <w:rPr>
          <w:rFonts w:hint="eastAsia" w:ascii="仿宋_GB2312" w:hAnsi="宋体" w:eastAsia="仿宋_GB2312"/>
          <w:sz w:val="28"/>
          <w:szCs w:val="28"/>
        </w:rPr>
        <w:t>。</w:t>
      </w:r>
    </w:p>
    <w:p w14:paraId="5B101C27">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四、响应文件的提交</w:t>
      </w:r>
    </w:p>
    <w:p w14:paraId="3C18B03F">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21.响应文件的密封和标记</w:t>
      </w:r>
    </w:p>
    <w:p w14:paraId="50D727E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加盖了电子印章的</w:t>
      </w:r>
      <w:r>
        <w:rPr>
          <w:rFonts w:hint="eastAsia" w:ascii="仿宋_GB2312" w:hAnsi="仿宋" w:eastAsia="仿宋_GB2312" w:cs="宋体"/>
          <w:sz w:val="28"/>
          <w:szCs w:val="28"/>
        </w:rPr>
        <w:t>电子响应文件（PDF格式）和数据文件（PDF格式）</w:t>
      </w:r>
      <w:r>
        <w:rPr>
          <w:rFonts w:hint="eastAsia" w:ascii="仿宋_GB2312" w:hAnsi="宋体" w:eastAsia="仿宋_GB2312"/>
          <w:sz w:val="28"/>
          <w:szCs w:val="28"/>
        </w:rPr>
        <w:t>须在</w:t>
      </w:r>
      <w:r>
        <w:rPr>
          <w:rFonts w:hint="eastAsia" w:ascii="仿宋_GB2312" w:hAnsi="仿宋" w:eastAsia="仿宋_GB2312" w:cs="宋体"/>
          <w:sz w:val="28"/>
          <w:szCs w:val="28"/>
        </w:rPr>
        <w:t>威海市政府采购电子交易系统</w:t>
      </w:r>
      <w:r>
        <w:rPr>
          <w:rFonts w:hint="eastAsia" w:ascii="仿宋_GB2312" w:hAnsi="宋体" w:eastAsia="仿宋_GB2312"/>
          <w:sz w:val="28"/>
          <w:szCs w:val="28"/>
        </w:rPr>
        <w:t>“我的投标”界面进行提交，提交前系统会自动在本地进行加密和电子签章，加密和数字签名后的文件除了会上传到系统中之外还会同步保存到本地计算机。</w:t>
      </w:r>
    </w:p>
    <w:p w14:paraId="37F65960">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22.资格证明文件原件的密封和标记</w:t>
      </w:r>
    </w:p>
    <w:p w14:paraId="1E8906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要求提供资格证明文件原件的，供应商应使用密封袋将资格证明文件原件密封（身份证原件除外），加盖公章并标明供应商名称、项目名称、项目编号、所投采购包以及“资格证明文件原件”字样，粘贴密封条，每一密封条注明“于*年*月*日 *:*之前不准启封”[开启（解密）时间]的字样。</w:t>
      </w:r>
    </w:p>
    <w:p w14:paraId="0B5CAF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22.2供应商按上述规定进行密封和标记后，按照磋商文件的要求送达指定地点。</w:t>
      </w:r>
    </w:p>
    <w:p w14:paraId="676D4A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22.3如果未按上述规定进行密封和标记，</w:t>
      </w:r>
      <w:r>
        <w:rPr>
          <w:rFonts w:hint="eastAsia" w:ascii="仿宋_GB2312" w:hAnsi="宋体" w:eastAsia="仿宋_GB2312"/>
          <w:sz w:val="28"/>
          <w:szCs w:val="28"/>
        </w:rPr>
        <w:t>采购人、采购代理机构</w:t>
      </w:r>
      <w:r>
        <w:rPr>
          <w:rFonts w:hint="eastAsia" w:ascii="仿宋_GB2312" w:hAnsi="仿宋" w:eastAsia="仿宋_GB2312" w:cs="宋体"/>
          <w:sz w:val="28"/>
          <w:szCs w:val="28"/>
        </w:rPr>
        <w:t>对误投或提前启封概不负责。</w:t>
      </w:r>
    </w:p>
    <w:p w14:paraId="67CE0E39">
      <w:pPr>
        <w:snapToGrid w:val="0"/>
        <w:spacing w:line="560" w:lineRule="exact"/>
        <w:ind w:firstLine="565" w:firstLineChars="201"/>
        <w:rPr>
          <w:rFonts w:ascii="楷体_GB2312" w:hAnsi="宋体" w:eastAsia="楷体_GB2312"/>
          <w:b/>
          <w:sz w:val="28"/>
          <w:szCs w:val="28"/>
        </w:rPr>
      </w:pPr>
      <w:r>
        <w:rPr>
          <w:rFonts w:ascii="楷体_GB2312" w:hAnsi="宋体" w:eastAsia="楷体_GB2312"/>
          <w:b/>
          <w:sz w:val="28"/>
          <w:szCs w:val="28"/>
        </w:rPr>
        <w:t>23.</w:t>
      </w:r>
      <w:r>
        <w:rPr>
          <w:rFonts w:hint="eastAsia" w:ascii="楷体_GB2312" w:hAnsi="宋体" w:eastAsia="楷体_GB2312"/>
          <w:b/>
          <w:sz w:val="28"/>
          <w:szCs w:val="28"/>
        </w:rPr>
        <w:t>响应文件提交</w:t>
      </w:r>
    </w:p>
    <w:p w14:paraId="19791C14">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23.1供应商应在</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规定的时间前在威海市政府采购电子交易系统网上提交电子响应文件和数据文件。供应商应充分评估集中报价带来的网络影响，</w:t>
      </w:r>
      <w:r>
        <w:rPr>
          <w:rFonts w:hint="eastAsia" w:ascii="仿宋_GB2312" w:hAnsi="宋体" w:eastAsia="仿宋_GB2312"/>
          <w:sz w:val="28"/>
          <w:szCs w:val="28"/>
        </w:rPr>
        <w:t>尽量避开响应高峰时间，</w:t>
      </w:r>
      <w:r>
        <w:rPr>
          <w:rFonts w:hint="eastAsia" w:ascii="仿宋_GB2312" w:hAnsi="仿宋" w:eastAsia="仿宋_GB2312" w:cs="宋体"/>
          <w:sz w:val="28"/>
          <w:szCs w:val="28"/>
        </w:rPr>
        <w:t>错峰进行电子响应，</w:t>
      </w:r>
      <w:r>
        <w:rPr>
          <w:rFonts w:hint="eastAsia" w:ascii="仿宋_GB2312" w:hAnsi="宋体" w:eastAsia="仿宋_GB2312"/>
          <w:sz w:val="28"/>
          <w:szCs w:val="28"/>
        </w:rPr>
        <w:t>系统以收到供应商发出的提交指令的时间作为其响应时间，如该时间超过响应截止时间，其</w:t>
      </w:r>
      <w:r>
        <w:rPr>
          <w:rFonts w:hint="eastAsia" w:ascii="仿宋_GB2312" w:hAnsi="仿宋" w:eastAsia="仿宋_GB2312" w:cs="宋体"/>
          <w:b/>
          <w:sz w:val="28"/>
          <w:szCs w:val="28"/>
        </w:rPr>
        <w:t>响应</w:t>
      </w:r>
      <w:r>
        <w:rPr>
          <w:rFonts w:hint="eastAsia" w:ascii="仿宋_GB2312" w:hAnsi="宋体" w:eastAsia="仿宋_GB2312"/>
          <w:b/>
          <w:sz w:val="28"/>
          <w:szCs w:val="28"/>
        </w:rPr>
        <w:t>无效</w:t>
      </w:r>
      <w:r>
        <w:rPr>
          <w:rFonts w:hint="eastAsia" w:ascii="仿宋_GB2312" w:hAnsi="宋体" w:eastAsia="仿宋_GB2312"/>
          <w:sz w:val="28"/>
          <w:szCs w:val="28"/>
        </w:rPr>
        <w:t>。</w:t>
      </w:r>
    </w:p>
    <w:p w14:paraId="7880CE25">
      <w:pPr>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23.2供应商须牢记响应加密密码，该密码将用于解密其电子响应文件，如忘记密码或输入错误密码超过5次，其提交的电子响应文件将无法解密，导致无法提取数据和供他人阅读文件，致使其响应</w:t>
      </w:r>
      <w:r>
        <w:rPr>
          <w:rFonts w:hint="eastAsia" w:ascii="仿宋_GB2312" w:hAnsi="宋体" w:eastAsia="仿宋_GB2312"/>
          <w:b/>
          <w:sz w:val="28"/>
          <w:szCs w:val="28"/>
        </w:rPr>
        <w:t>失败</w:t>
      </w:r>
      <w:r>
        <w:rPr>
          <w:rFonts w:hint="eastAsia" w:ascii="仿宋_GB2312" w:hAnsi="宋体" w:eastAsia="仿宋_GB2312"/>
          <w:sz w:val="28"/>
          <w:szCs w:val="28"/>
        </w:rPr>
        <w:t>。</w:t>
      </w:r>
    </w:p>
    <w:p w14:paraId="0400E7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23.3除</w:t>
      </w:r>
      <w:r>
        <w:rPr>
          <w:rFonts w:hint="eastAsia" w:ascii="仿宋_GB2312" w:hAnsi="仿宋" w:eastAsia="仿宋_GB2312" w:cs="宋体"/>
          <w:sz w:val="28"/>
          <w:szCs w:val="28"/>
          <w:u w:val="single"/>
        </w:rPr>
        <w:t>供应商须知前附表</w:t>
      </w:r>
      <w:r>
        <w:rPr>
          <w:rFonts w:hint="eastAsia" w:ascii="仿宋_GB2312" w:hAnsi="仿宋" w:eastAsia="仿宋_GB2312" w:cs="宋体"/>
          <w:sz w:val="28"/>
          <w:szCs w:val="28"/>
        </w:rPr>
        <w:t>另有规定，采购人、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拒绝接收纸质响应文件。</w:t>
      </w:r>
    </w:p>
    <w:p w14:paraId="0AF24C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23.4供应商应将网上提交的已盖章未加密的数据文件和响应文件谨慎保存备份，以便启动应急开标程序时备案使用。</w:t>
      </w:r>
    </w:p>
    <w:p w14:paraId="48F1CE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23.5采购人、采购代理机构根据法律法规的相关规定，可以延迟提交响应文件截止时间。在此情况下，采购人、采购代理机构和供应商受截止时间制约的所有权利和义务均应延长至新的截止时间</w:t>
      </w:r>
    </w:p>
    <w:p w14:paraId="018C1054">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24.迟交的响应文件</w:t>
      </w:r>
    </w:p>
    <w:p w14:paraId="216A256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威海市政府采购电子交易系统无法接收响应截止期后提交的响应文件。</w:t>
      </w:r>
    </w:p>
    <w:p w14:paraId="3ECC90D1">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25. 演示/样品递交</w:t>
      </w:r>
    </w:p>
    <w:p w14:paraId="29AFF3F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25.1采购人可以要求供应商对其提供的信息化、自动化等相关类别服务进行演示。</w:t>
      </w:r>
      <w:r>
        <w:rPr>
          <w:rFonts w:hint="eastAsia" w:ascii="仿宋_GB2312" w:hAnsi="仿宋" w:eastAsia="仿宋_GB2312" w:cs="宋体"/>
          <w:sz w:val="28"/>
          <w:szCs w:val="28"/>
        </w:rPr>
        <w:t>供应商可以使用系统“网上评标”中的“谈判”功能与评审专家进行远程演示。</w:t>
      </w:r>
    </w:p>
    <w:p w14:paraId="071E070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25.2若服务项目涉及货物时，采购人可以要求供应商提供样品，样品作为响应文件的一部分。未成交供应商提供的样品将于评审结束后退还。成交供应商的样品由采购人保留，作为验收的依据。</w:t>
      </w:r>
    </w:p>
    <w:p w14:paraId="445710C7">
      <w:pPr>
        <w:snapToGrid w:val="0"/>
        <w:spacing w:line="560" w:lineRule="exact"/>
        <w:ind w:firstLine="565" w:firstLineChars="201"/>
        <w:rPr>
          <w:rFonts w:ascii="仿宋_GB2312" w:hAnsi="宋体" w:eastAsia="仿宋_GB2312"/>
          <w:b/>
          <w:sz w:val="28"/>
          <w:szCs w:val="28"/>
        </w:rPr>
      </w:pPr>
      <w:r>
        <w:rPr>
          <w:rFonts w:hint="eastAsia" w:ascii="仿宋_GB2312" w:hAnsi="宋体" w:eastAsia="仿宋_GB2312"/>
          <w:b/>
          <w:sz w:val="28"/>
          <w:szCs w:val="28"/>
        </w:rPr>
        <w:t>是否要求供应商提供演示/提交样品，详见磋商文件</w:t>
      </w:r>
      <w:r>
        <w:rPr>
          <w:rFonts w:hint="eastAsia" w:ascii="仿宋_GB2312" w:hAnsi="宋体" w:eastAsia="仿宋_GB2312"/>
          <w:b/>
          <w:sz w:val="28"/>
          <w:szCs w:val="28"/>
          <w:u w:val="single"/>
        </w:rPr>
        <w:t>供应商须知前附表</w:t>
      </w:r>
      <w:r>
        <w:rPr>
          <w:rFonts w:hint="eastAsia" w:ascii="仿宋_GB2312" w:hAnsi="宋体" w:eastAsia="仿宋_GB2312"/>
          <w:b/>
          <w:sz w:val="28"/>
          <w:szCs w:val="28"/>
        </w:rPr>
        <w:t>规定。</w:t>
      </w:r>
    </w:p>
    <w:p w14:paraId="0B911433">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26.响应文件的补充、修改和撤回</w:t>
      </w:r>
    </w:p>
    <w:p w14:paraId="3F3C9A23">
      <w:pPr>
        <w:snapToGrid w:val="0"/>
        <w:spacing w:line="560" w:lineRule="exact"/>
        <w:ind w:firstLine="562" w:firstLineChars="201"/>
        <w:rPr>
          <w:rFonts w:ascii="楷体_GB2312" w:hAnsi="宋体" w:eastAsia="楷体_GB2312"/>
          <w:b/>
          <w:sz w:val="28"/>
          <w:szCs w:val="28"/>
        </w:rPr>
      </w:pPr>
      <w:r>
        <w:rPr>
          <w:rFonts w:hint="eastAsia" w:ascii="仿宋_GB2312" w:hAnsi="宋体" w:eastAsia="仿宋_GB2312"/>
          <w:sz w:val="28"/>
          <w:szCs w:val="28"/>
        </w:rPr>
        <w:t>26.1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23BEA8D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26.2供应商必须在规定的提交响应文件截止时间之前将补充、修改的响应文件上传到威海市政府采购电子交易系统,在提交响应文件截止时间之后，供应商不得对其响应文件做任何补充、修改和撤回。</w:t>
      </w:r>
    </w:p>
    <w:p w14:paraId="792FEDB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26.3 已提交响应文件的供应商，在提交最后报价之前，可以根据磋商情况退出磋商。</w:t>
      </w:r>
    </w:p>
    <w:p w14:paraId="02AFFBA4">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五、响应文件解密与磋商</w:t>
      </w:r>
    </w:p>
    <w:p w14:paraId="493CF206">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27.响应文件解密</w:t>
      </w:r>
    </w:p>
    <w:p w14:paraId="2C015D4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27.1响应文件提交截止时间后，提交响应文件的供应商不足3家的不得解密。</w:t>
      </w:r>
    </w:p>
    <w:p w14:paraId="18912F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27.2采购人、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在供应商须知前附表规定的时间和地点组织解密。拟到现场参与解密、磋商等环节的供应商须携带CA锁和笔记本电脑，以便进行解密、磋商等操作。拟不到现场参与解密、磋商等环节的供应商需提前准备已配置好环境的电脑,在规定的时间进行远程解密、磋商等各项操作。</w:t>
      </w:r>
    </w:p>
    <w:p w14:paraId="61367C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27.3供应商代表应于响应文件提交截止时间前，完成签到以证明其出席，除因应急情况外，未在磋商文件规定的解密时间内解密的视为放弃响应。</w:t>
      </w:r>
    </w:p>
    <w:p w14:paraId="27C3759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27.4</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规定了文件解密时间，供应商输入密码错误（5次输入机会）、未能按时完成解密、《数据文件》填写和盖章不规范等导致系统无法解析的，</w:t>
      </w:r>
      <w:r>
        <w:rPr>
          <w:rFonts w:hint="eastAsia" w:ascii="仿宋_GB2312" w:hAnsi="宋体" w:eastAsia="仿宋_GB2312"/>
          <w:b/>
          <w:sz w:val="28"/>
          <w:szCs w:val="28"/>
        </w:rPr>
        <w:t>其响应无效</w:t>
      </w:r>
      <w:r>
        <w:rPr>
          <w:rFonts w:hint="eastAsia" w:ascii="仿宋_GB2312" w:hAnsi="宋体" w:eastAsia="仿宋_GB2312"/>
          <w:sz w:val="28"/>
          <w:szCs w:val="28"/>
        </w:rPr>
        <w:t>。</w:t>
      </w:r>
    </w:p>
    <w:p w14:paraId="7DDD5D6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27.5供应商认为采购人、采购代理机构相关工作人员存在回避情形的，应当场提出询问或者回避申请。采购人、采购代理机构对供应商提出的询问或者回避申请应当及时处理。</w:t>
      </w:r>
    </w:p>
    <w:p w14:paraId="529BC57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27.6录音、录像：威海市公共资源交易中心负责从响应文件开启到评审报告签署完成全过程的录音、录像工作，确保声音清楚、图像清晰、内容无遗漏。</w:t>
      </w:r>
    </w:p>
    <w:p w14:paraId="50E2344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27.7报价过程中，如遇特殊情况，服从威海市公共资源交易中心场地调配，并遵守相关规章制度。</w:t>
      </w:r>
    </w:p>
    <w:p w14:paraId="708AC30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27.8响应文件报价出现前后不一致的，按以下规定修正：</w:t>
      </w:r>
    </w:p>
    <w:p w14:paraId="19D5B29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（1）“投标（报价）一览表”的报价与“报价明细表”的报价不一致的，以“投标（报价）一览表”的报价为准；（2）大写金额和小写金额不一致的，以大写金额为准；</w:t>
      </w:r>
    </w:p>
    <w:p w14:paraId="37C44BD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（3）单价金额小数点或者百分比有明显错位的，以投标（报价）一览表的总价为准，并修改单价。</w:t>
      </w:r>
    </w:p>
    <w:p w14:paraId="556163B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（4）总价金额与按单价汇总金额不一致的，以单价金额计算结果为准。</w:t>
      </w:r>
    </w:p>
    <w:p w14:paraId="620BCEC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（5）同时出现前述（1）-（4）中两种以上不一致的，按照前款规定的顺序修正。修正后的报价经供应商确认后产生约束力，供应商不确认的，其响应无效。</w:t>
      </w:r>
    </w:p>
    <w:p w14:paraId="3A27A012">
      <w:pPr>
        <w:snapToGrid w:val="0"/>
        <w:spacing w:line="560" w:lineRule="exact"/>
        <w:ind w:firstLine="565" w:firstLineChars="201"/>
        <w:rPr>
          <w:rFonts w:ascii="仿宋_GB2312" w:hAnsi="宋体" w:eastAsia="仿宋_GB2312"/>
          <w:sz w:val="28"/>
          <w:szCs w:val="28"/>
        </w:rPr>
      </w:pPr>
      <w:r>
        <w:rPr>
          <w:rFonts w:hint="eastAsia" w:ascii="仿宋_GB2312" w:hAnsi="仿宋" w:eastAsia="仿宋_GB2312" w:cs="宋体"/>
          <w:b/>
          <w:sz w:val="28"/>
          <w:szCs w:val="28"/>
        </w:rPr>
        <w:t>若供应商实名认证证书即将到期或已过期，请确保在开启（解密）时实名认证证书在有效期内，供应商实名认证证书在续期后务必在开启（解密）前重新制作和上传电子响应文件，否则将造成电子响应文件无法进行解密。</w:t>
      </w:r>
    </w:p>
    <w:p w14:paraId="74DDB7D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27.9应急开启（解密）程序</w:t>
      </w:r>
    </w:p>
    <w:p w14:paraId="21A98375">
      <w:pPr>
        <w:snapToGrid w:val="0"/>
        <w:spacing w:line="560" w:lineRule="exact"/>
        <w:ind w:firstLine="565" w:firstLineChars="201"/>
        <w:rPr>
          <w:rFonts w:ascii="仿宋_GB2312" w:hAnsi="宋体" w:eastAsia="仿宋_GB2312"/>
          <w:sz w:val="28"/>
          <w:szCs w:val="28"/>
        </w:rPr>
      </w:pPr>
      <w:r>
        <w:rPr>
          <w:rFonts w:hint="eastAsia" w:ascii="仿宋_GB2312" w:hAnsi="仿宋" w:eastAsia="仿宋_GB2312" w:cs="宋体"/>
          <w:b/>
          <w:sz w:val="28"/>
          <w:szCs w:val="28"/>
        </w:rPr>
        <w:t>开启（解密）过程中如出现下列情况，导致系统无法正常运行，或者无法保证开启（解密）过程的公平、公正和信息安全时，经与行政监督部门沟通后可启动应急开启（解密）程序。</w:t>
      </w:r>
    </w:p>
    <w:p w14:paraId="78A8D7D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（1）系统服务器发生故障，无法访问或无法使用系统；</w:t>
      </w:r>
    </w:p>
    <w:p w14:paraId="6AD47BF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（2）系统的软件或数据库出现错误，不能进行正常操作；</w:t>
      </w:r>
    </w:p>
    <w:p w14:paraId="00A0C2F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（3）系统发现有安全漏洞，有潜在的泄密危险；</w:t>
      </w:r>
    </w:p>
    <w:p w14:paraId="762C05A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（4）病毒发作或受到外来病毒的攻击；</w:t>
      </w:r>
    </w:p>
    <w:p w14:paraId="7525D7F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（5）其他无法保证开启（解密）过程公平、公正和信息安全的情形。</w:t>
      </w:r>
    </w:p>
    <w:p w14:paraId="1CE130C0">
      <w:pPr>
        <w:snapToGrid w:val="0"/>
        <w:spacing w:line="560" w:lineRule="exact"/>
        <w:ind w:firstLine="565" w:firstLineChars="201"/>
        <w:rPr>
          <w:rFonts w:ascii="仿宋_GB2312" w:hAnsi="宋体" w:eastAsia="仿宋_GB2312"/>
          <w:b/>
          <w:bCs/>
          <w:sz w:val="28"/>
          <w:szCs w:val="28"/>
        </w:rPr>
      </w:pPr>
      <w:r>
        <w:rPr>
          <w:rFonts w:hint="eastAsia" w:ascii="仿宋_GB2312" w:hAnsi="宋体" w:eastAsia="仿宋_GB2312"/>
          <w:b/>
          <w:bCs/>
          <w:sz w:val="28"/>
          <w:szCs w:val="28"/>
        </w:rPr>
        <w:t>应急</w:t>
      </w:r>
      <w:r>
        <w:rPr>
          <w:rFonts w:hint="eastAsia" w:ascii="仿宋_GB2312" w:hAnsi="仿宋" w:eastAsia="仿宋_GB2312" w:cs="宋体"/>
          <w:b/>
          <w:bCs/>
          <w:sz w:val="28"/>
          <w:szCs w:val="28"/>
        </w:rPr>
        <w:t>开启（解密）</w:t>
      </w:r>
      <w:r>
        <w:rPr>
          <w:rFonts w:hint="eastAsia" w:ascii="仿宋_GB2312" w:hAnsi="宋体" w:eastAsia="仿宋_GB2312"/>
          <w:b/>
          <w:bCs/>
          <w:sz w:val="28"/>
          <w:szCs w:val="28"/>
        </w:rPr>
        <w:t>程序包括：</w:t>
      </w:r>
    </w:p>
    <w:p w14:paraId="0C2167D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（1）对</w:t>
      </w:r>
      <w:r>
        <w:rPr>
          <w:rFonts w:ascii="仿宋_GB2312" w:hAnsi="宋体" w:eastAsia="仿宋_GB2312"/>
          <w:sz w:val="28"/>
          <w:szCs w:val="28"/>
        </w:rPr>
        <w:t>未在系统中</w:t>
      </w:r>
      <w:r>
        <w:rPr>
          <w:rFonts w:hint="eastAsia" w:ascii="仿宋_GB2312" w:hAnsi="宋体" w:eastAsia="仿宋_GB2312"/>
          <w:sz w:val="28"/>
          <w:szCs w:val="28"/>
        </w:rPr>
        <w:t>开启（解密）</w:t>
      </w:r>
      <w:r>
        <w:rPr>
          <w:rFonts w:ascii="仿宋_GB2312" w:hAnsi="宋体" w:eastAsia="仿宋_GB2312"/>
          <w:sz w:val="28"/>
          <w:szCs w:val="28"/>
        </w:rPr>
        <w:t>的可暂停</w:t>
      </w:r>
      <w:r>
        <w:rPr>
          <w:rFonts w:hint="eastAsia" w:ascii="仿宋_GB2312" w:hAnsi="宋体" w:eastAsia="仿宋_GB2312"/>
          <w:sz w:val="28"/>
          <w:szCs w:val="28"/>
        </w:rPr>
        <w:t>开启（解密）；</w:t>
      </w:r>
    </w:p>
    <w:p w14:paraId="7A35B18B">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（2）对已在系统中</w:t>
      </w:r>
      <w:r>
        <w:rPr>
          <w:rFonts w:hint="eastAsia" w:ascii="仿宋_GB2312" w:hAnsi="宋体" w:eastAsia="仿宋_GB2312"/>
          <w:sz w:val="28"/>
          <w:szCs w:val="28"/>
        </w:rPr>
        <w:t>开启（解密）</w:t>
      </w:r>
      <w:r>
        <w:rPr>
          <w:rFonts w:ascii="仿宋_GB2312" w:hAnsi="宋体" w:eastAsia="仿宋_GB2312"/>
          <w:sz w:val="28"/>
          <w:szCs w:val="28"/>
        </w:rPr>
        <w:t>的应停止，等待系统恢复正常后再组织进行</w:t>
      </w:r>
      <w:r>
        <w:rPr>
          <w:rFonts w:hint="eastAsia" w:ascii="仿宋_GB2312" w:hAnsi="宋体" w:eastAsia="仿宋_GB2312"/>
          <w:sz w:val="28"/>
          <w:szCs w:val="28"/>
        </w:rPr>
        <w:t>开启（解密）</w:t>
      </w:r>
      <w:r>
        <w:rPr>
          <w:rFonts w:ascii="仿宋_GB2312" w:hAnsi="宋体" w:eastAsia="仿宋_GB2312"/>
          <w:sz w:val="28"/>
          <w:szCs w:val="28"/>
        </w:rPr>
        <w:t>。</w:t>
      </w:r>
    </w:p>
    <w:p w14:paraId="110BCB21">
      <w:pPr>
        <w:snapToGrid w:val="0"/>
        <w:spacing w:line="560" w:lineRule="exact"/>
        <w:ind w:firstLine="562" w:firstLineChars="201"/>
        <w:rPr>
          <w:rFonts w:ascii="仿宋_GB2312" w:hAnsi="宋体" w:eastAsia="仿宋_GB2312"/>
          <w:b/>
          <w:sz w:val="28"/>
          <w:szCs w:val="28"/>
        </w:rPr>
      </w:pPr>
      <w:r>
        <w:rPr>
          <w:rFonts w:hint="eastAsia" w:ascii="仿宋_GB2312" w:hAnsi="宋体" w:eastAsia="仿宋_GB2312"/>
          <w:sz w:val="28"/>
          <w:szCs w:val="28"/>
        </w:rPr>
        <w:t>（3）对解密环节出错（因系统故障原因导致）的响应文件，供应商可以通过系统的备案功能进行文件上传备案，对备案文件与网上提交的文件不一致（系统通过数字签名进行验证）或备案文件未按照本文件的要求进行编制、签署导致系统无法备案的，按</w:t>
      </w:r>
      <w:r>
        <w:rPr>
          <w:rFonts w:hint="eastAsia" w:ascii="仿宋_GB2312" w:hAnsi="宋体" w:eastAsia="仿宋_GB2312"/>
          <w:b/>
          <w:sz w:val="28"/>
          <w:szCs w:val="28"/>
        </w:rPr>
        <w:t>无效响应处理。</w:t>
      </w:r>
    </w:p>
    <w:p w14:paraId="335A6ED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（4）备案功能故障且系统长时间无法恢复正常的，在采购人或采购代理机构的监督下，可针对所有在平台中已响应的供应商，启用其电子邮件提交的响应文件进行</w:t>
      </w:r>
      <w:r>
        <w:rPr>
          <w:rFonts w:hint="eastAsia" w:ascii="仿宋_GB2312" w:hAnsi="仿宋" w:eastAsia="仿宋_GB2312" w:cs="宋体"/>
          <w:b/>
          <w:sz w:val="28"/>
          <w:szCs w:val="28"/>
        </w:rPr>
        <w:t>开启（解密）</w:t>
      </w:r>
      <w:r>
        <w:rPr>
          <w:rFonts w:hint="eastAsia" w:ascii="仿宋_GB2312" w:hAnsi="宋体" w:eastAsia="仿宋_GB2312"/>
          <w:sz w:val="28"/>
          <w:szCs w:val="28"/>
        </w:rPr>
        <w:t>。同时，</w:t>
      </w:r>
      <w:r>
        <w:rPr>
          <w:rFonts w:hint="eastAsia" w:ascii="仿宋_GB2312" w:hAnsi="仿宋" w:eastAsia="仿宋_GB2312" w:cs="宋体"/>
          <w:b/>
          <w:sz w:val="28"/>
          <w:szCs w:val="28"/>
        </w:rPr>
        <w:t>开启（解密）</w:t>
      </w:r>
      <w:r>
        <w:rPr>
          <w:rFonts w:hint="eastAsia" w:ascii="仿宋_GB2312" w:hAnsi="宋体" w:eastAsia="仿宋_GB2312"/>
          <w:sz w:val="28"/>
          <w:szCs w:val="28"/>
        </w:rPr>
        <w:t>由线上转为线下。开标、评审均以电子邮件提交的响应文件为准。供应商必须在获取磋商文件时留有本单位详细的邮箱和电话，否则由此产生的不利后果由供应商自行承担。对未按规定提交或提交的文件未按要求进行编制、签署的供应商，按无效响应处理。</w:t>
      </w:r>
    </w:p>
    <w:p w14:paraId="2E62620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27.10应急</w:t>
      </w:r>
      <w:r>
        <w:rPr>
          <w:rFonts w:hint="eastAsia" w:ascii="仿宋_GB2312" w:hAnsi="仿宋" w:eastAsia="仿宋_GB2312" w:cs="宋体"/>
          <w:b/>
          <w:sz w:val="28"/>
          <w:szCs w:val="28"/>
        </w:rPr>
        <w:t>开启（解密）</w:t>
      </w:r>
      <w:r>
        <w:rPr>
          <w:rFonts w:hint="eastAsia" w:ascii="仿宋_GB2312" w:hAnsi="宋体" w:eastAsia="仿宋_GB2312"/>
          <w:sz w:val="28"/>
          <w:szCs w:val="28"/>
        </w:rPr>
        <w:t>电子邮件提交规定</w:t>
      </w:r>
    </w:p>
    <w:p w14:paraId="6C459F2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接收电子邮箱：sdhzzbdl@163.com</w:t>
      </w:r>
    </w:p>
    <w:p w14:paraId="0B46C73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提交时间：以电子邮件或电话通知的时间为准；</w:t>
      </w:r>
    </w:p>
    <w:p w14:paraId="2420F11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邮件数量：一封；</w:t>
      </w:r>
    </w:p>
    <w:p w14:paraId="4D575A1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邮件主题：项目编号、供应商名称；</w:t>
      </w:r>
    </w:p>
    <w:p w14:paraId="46E9782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邮件内容：附件含项目所有的已投采购包，每个采购包含已盖章且未加密的数据文件、响应文件各一份。数据文件、响应文件与网上最终提交的必须为同一文件（可将所投包段的所有文件打包压缩）。如果不一致，系统后台会判定其响应无效。</w:t>
      </w:r>
    </w:p>
    <w:p w14:paraId="0AE3B80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27.11启动电子邮件</w:t>
      </w:r>
      <w:r>
        <w:rPr>
          <w:rFonts w:hint="eastAsia" w:ascii="仿宋_GB2312" w:hAnsi="仿宋" w:eastAsia="仿宋_GB2312" w:cs="宋体"/>
          <w:sz w:val="28"/>
          <w:szCs w:val="28"/>
        </w:rPr>
        <w:t>开启（解密）</w:t>
      </w:r>
      <w:r>
        <w:rPr>
          <w:rFonts w:hint="eastAsia" w:ascii="仿宋_GB2312" w:hAnsi="宋体" w:eastAsia="仿宋_GB2312"/>
          <w:sz w:val="28"/>
          <w:szCs w:val="28"/>
        </w:rPr>
        <w:t>流程</w:t>
      </w:r>
    </w:p>
    <w:p w14:paraId="3EC33B9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工作人员电话通知所有供应商启动应急开启（解密）程序；</w:t>
      </w:r>
    </w:p>
    <w:p w14:paraId="5812758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供应商收到通知后在规定时间内通过电子邮件提交响应文件[在非应急开启（解密）期间，采购人、采购代理机构不接受、不处理任何通过电子邮件提交的响应文件]；</w:t>
      </w:r>
    </w:p>
    <w:p w14:paraId="784521C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提交截止时间到，工作人员开始下载响应文件，并邮件回复各供应商。</w:t>
      </w:r>
    </w:p>
    <w:p w14:paraId="5564A154">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28.磋商小组的组成和评审方法</w:t>
      </w:r>
    </w:p>
    <w:p w14:paraId="2BEABE0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28.1采购人、采购代理机构负责组织评审工作，具体评审事务由依法组建的磋商小组负责。磋商小组成员由采购人代表和评审专家3人以上单数组成，其中，评审专家人数不得少于磋商小组成员总数的2/3。磋商小组中的评审专家应当依法从政府采购专家库中随机抽取。情况特殊的，通过随机方式难以确定合适的评审专家的项目，经主管预算单位同意，可以自行选定评审专家。</w:t>
      </w:r>
    </w:p>
    <w:p w14:paraId="32D854C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28.2按照《中华人民共和国政府采购法实施条例》第九条之规定，采购人员及相关人员与供应商有利害关系的，应当回避。曾参与竞争性磋商项目征询意见或论证的评审专家，不得再作为评审专家参加评审。采购人代表不得以评审专家身份参加本项目的评审，《财政部关于印发&lt;政府采购竞争性磋商采购方式管理暂行办法&gt;的通知》（财库〔2014〕214号）第十四条第二款规定情形除外。采购代理机构人员不得参加本机构代理的采购项目的评审。</w:t>
      </w:r>
    </w:p>
    <w:p w14:paraId="7D16451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28.3磋商小组成员职责：</w:t>
      </w:r>
    </w:p>
    <w:p w14:paraId="4DE3484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（1）评审前，磋商小组成员应当主动确认与供应商是否有利害关系。如有利害关系，应当主动回避；如无利害关系，应当在含有相关内容的《无利害关系声明》上签字；</w:t>
      </w:r>
    </w:p>
    <w:p w14:paraId="75D0296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（2）按照磋商文件中的评审办法，对响应文件进行评审，并对评审结果承担责任；</w:t>
      </w:r>
    </w:p>
    <w:p w14:paraId="6D396BB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（3）对评审过程和结果，以及供应商的商业秘密进行保密；</w:t>
      </w:r>
    </w:p>
    <w:p w14:paraId="198F93A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（4）在磋商小组集体起草的评审报告上签字；</w:t>
      </w:r>
    </w:p>
    <w:p w14:paraId="57DBABC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（5）配合采购人、采购代理机构答复供应商的询问和质疑；</w:t>
      </w:r>
    </w:p>
    <w:p w14:paraId="79EC9D2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（6）配合财政部门处理供应商的投诉；</w:t>
      </w:r>
    </w:p>
    <w:p w14:paraId="46667A9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（7）向财政部门反映评审工作中的问题，提出意见和建议。</w:t>
      </w:r>
    </w:p>
    <w:p w14:paraId="61901F2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28.4磋商小组集体职责：</w:t>
      </w:r>
    </w:p>
    <w:p w14:paraId="5D949DC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按照各成员评审意见推荐成交候选人，起草评审报告。对评审结论持有异议的磋商小组成员可以书面方式阐述其不同意见和理由。磋商小组成员拒绝在评审报告上签字且不陈述其不同意见和理由的，视为同意评审结论。磋商小组应当对此做出书面说明并记录在案；</w:t>
      </w:r>
    </w:p>
    <w:p w14:paraId="700853D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（2）配合采购人、采购代理机构答复供应商的的询问和质疑；</w:t>
      </w:r>
    </w:p>
    <w:p w14:paraId="1B1AF0B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（3）配合财政部门处理投诉工作；</w:t>
      </w:r>
    </w:p>
    <w:p w14:paraId="531A014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（4）必要时，向供应商解释评审结果；</w:t>
      </w:r>
    </w:p>
    <w:p w14:paraId="48EC58D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（5）向财政部门或者有关部门报告非法干预评审工作的行为。</w:t>
      </w:r>
    </w:p>
    <w:p w14:paraId="5E37FAC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28.5采购代理机构或采购人的职责：</w:t>
      </w:r>
    </w:p>
    <w:p w14:paraId="625246B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（1）核对评审专家身份和采购人代表授权函，对评审小组专家在政府采购活动中的职责履行情况予以记录，并及时将有关违法违规行为向财政部门报告；</w:t>
      </w:r>
    </w:p>
    <w:p w14:paraId="230E673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（2）宣布评审纪律；</w:t>
      </w:r>
    </w:p>
    <w:p w14:paraId="6A20093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（3）公布供应商名单，告知磋商小组专家应当回避的情形；</w:t>
      </w:r>
    </w:p>
    <w:p w14:paraId="7FDA19B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（4）在评审期间采取必要的通讯管理措施，保证评审活动不受外界干扰；</w:t>
      </w:r>
    </w:p>
    <w:p w14:paraId="5EE2EBF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（5）根据磋商小组的要求介绍政府采购相关政策法规、磋商文件；</w:t>
      </w:r>
    </w:p>
    <w:p w14:paraId="763CE84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（6）维护评审秩序，监督磋商小组依照磋商文件规定的磋商程序、方法和标准进行独立评审，及时制止和纠正采购人代表、评审专家的倾向性言论或者违法违规行为；</w:t>
      </w:r>
    </w:p>
    <w:p w14:paraId="312E12C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（7）核对评审结果，有财政部令第87号第六十四条规定的，要求磋商小组复核或者书面说明理由，磋商小组拒绝的，应予记录并向财政部门报告；</w:t>
      </w:r>
    </w:p>
    <w:p w14:paraId="5C7AFBF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（8）评审工作完成后，按照规定向评审专家支付劳务报酬和异地评审差旅费，不得向评审专家以外的其他人员支付评审劳务报酬；</w:t>
      </w:r>
    </w:p>
    <w:p w14:paraId="3181231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（9）处理与评审有关的其他事项。</w:t>
      </w:r>
    </w:p>
    <w:p w14:paraId="374988A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采购人可以在评审前说明项目背景和采购需求，说明内容不得含有歧视性、倾向性意见，不得超出磋商文件所述范围。说明应当提交书面材料，并随采购文件一并存档。</w:t>
      </w:r>
    </w:p>
    <w:p w14:paraId="11EC1E3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28.6磋商小组采用集中办公、封闭方式进行评审。磋商前，</w:t>
      </w:r>
      <w:r>
        <w:rPr>
          <w:rFonts w:hint="eastAsia" w:ascii="仿宋_GB2312" w:hAnsi="仿宋" w:eastAsia="仿宋_GB2312" w:cs="宋体"/>
          <w:sz w:val="28"/>
          <w:szCs w:val="28"/>
        </w:rPr>
        <w:t>采购人、</w:t>
      </w:r>
      <w:r>
        <w:rPr>
          <w:rFonts w:hint="eastAsia" w:ascii="仿宋_GB2312" w:hAnsi="宋体" w:eastAsia="仿宋_GB2312"/>
          <w:sz w:val="28"/>
          <w:szCs w:val="28"/>
        </w:rPr>
        <w:t>采购代理机构工作人员向磋商小组成员宣布评审纪律和工作规则。磋商小组成员签署《无利害关系声明表》，并遵照执行。</w:t>
      </w:r>
    </w:p>
    <w:p w14:paraId="38DAC1F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28.7磋商小组成员对与自己有利害关系的评审项目应当主动提出回避。</w:t>
      </w:r>
    </w:p>
    <w:p w14:paraId="73EB7A4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28.8磋商小组将按照磋商文件确定的评审方法进行评审。磋商小组对响应文件的评审内容分为资格审查、符合性审查、商务评议、技术评议和价格评议。</w:t>
      </w:r>
    </w:p>
    <w:p w14:paraId="44C2C40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28.9磋商小组独立履行下列职责：</w:t>
      </w:r>
    </w:p>
    <w:p w14:paraId="3E8C146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（1）审查、评价响应文件是否符合磋商文件的商务、技术等实质性要求；</w:t>
      </w:r>
    </w:p>
    <w:p w14:paraId="57CBB84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（2）要求供应商对响应文件有关事项做出澄清或者说明；</w:t>
      </w:r>
    </w:p>
    <w:p w14:paraId="272B718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（3）对响应文件进行比较和评价；</w:t>
      </w:r>
    </w:p>
    <w:p w14:paraId="4C1AEA5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（4）确定成交候选人名单，以及根据采购人委托直接确定成交供应商；</w:t>
      </w:r>
    </w:p>
    <w:p w14:paraId="414D9D0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（5）向采购人、采购代理机构或者有关部门报告评审中发现的违法行为。</w:t>
      </w:r>
    </w:p>
    <w:p w14:paraId="77A24D4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28.10评审中因磋商小组成员缺席、回避或者健康等特殊原因导致磋商小组组成不符合本办法规定的，</w:t>
      </w:r>
      <w:r>
        <w:rPr>
          <w:rFonts w:hint="eastAsia" w:ascii="仿宋_GB2312" w:hAnsi="仿宋" w:eastAsia="仿宋_GB2312" w:cs="宋体"/>
          <w:sz w:val="28"/>
          <w:szCs w:val="28"/>
        </w:rPr>
        <w:t>采购人、</w:t>
      </w:r>
      <w:r>
        <w:rPr>
          <w:rFonts w:hint="eastAsia" w:ascii="仿宋_GB2312" w:hAnsi="宋体" w:eastAsia="仿宋_GB2312"/>
          <w:sz w:val="28"/>
          <w:szCs w:val="28"/>
        </w:rPr>
        <w:t>采购代理机构应当依法补足后继续评审。被更换的磋商小组成员所做出的评审意见无效。</w:t>
      </w:r>
    </w:p>
    <w:p w14:paraId="422F59D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无法及时补足磋商小组成员的，</w:t>
      </w:r>
      <w:r>
        <w:rPr>
          <w:rFonts w:hint="eastAsia" w:ascii="仿宋_GB2312" w:hAnsi="仿宋" w:eastAsia="仿宋_GB2312" w:cs="宋体"/>
          <w:sz w:val="28"/>
          <w:szCs w:val="28"/>
        </w:rPr>
        <w:t>采购人、</w:t>
      </w:r>
      <w:r>
        <w:rPr>
          <w:rFonts w:hint="eastAsia" w:ascii="仿宋_GB2312" w:hAnsi="宋体" w:eastAsia="仿宋_GB2312"/>
          <w:sz w:val="28"/>
          <w:szCs w:val="28"/>
        </w:rPr>
        <w:t>采购代理机构应当停止评审活动，封存所有响应文件和报价、评审资料，依法重新组建磋商小组进行评审。原磋商小组做出的评审意见无效。</w:t>
      </w:r>
    </w:p>
    <w:p w14:paraId="71207540">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采购人、采购代理机构应当将变更、重新组建磋商小组的情况予以记录，并随采购文件一并存档。</w:t>
      </w:r>
    </w:p>
    <w:p w14:paraId="3DE6E7DD">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29.磋商步骤</w:t>
      </w:r>
    </w:p>
    <w:p w14:paraId="4768B4E7">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29.1</w:t>
      </w:r>
      <w:r>
        <w:rPr>
          <w:rFonts w:hint="eastAsia" w:ascii="仿宋_GB2312" w:hAnsi="仿宋" w:eastAsia="仿宋_GB2312" w:cs="宋体"/>
          <w:sz w:val="28"/>
          <w:szCs w:val="28"/>
        </w:rPr>
        <w:t>资格审查。</w:t>
      </w:r>
      <w:r>
        <w:rPr>
          <w:rFonts w:hint="eastAsia" w:ascii="仿宋_GB2312" w:hAnsi="宋体" w:eastAsia="仿宋_GB2312"/>
          <w:sz w:val="28"/>
          <w:szCs w:val="28"/>
        </w:rPr>
        <w:t>依据竞争性磋商文件规定在采购项目解密结束后, 磋商小组应当依照有关法律和磋商文件的规定，对供应商的资格性审查。</w:t>
      </w:r>
      <w:r>
        <w:rPr>
          <w:rFonts w:hint="eastAsia" w:ascii="仿宋_GB2312" w:hAnsi="仿宋" w:eastAsia="仿宋_GB2312" w:cs="宋体"/>
          <w:b/>
          <w:sz w:val="28"/>
          <w:szCs w:val="28"/>
        </w:rPr>
        <w:t>具体内容详见《供应商须知》-《实质性条款一览表》中资格审查条件。</w:t>
      </w:r>
      <w:r>
        <w:rPr>
          <w:rFonts w:hint="eastAsia" w:ascii="仿宋_GB2312" w:hAnsi="宋体" w:eastAsia="仿宋_GB2312"/>
          <w:sz w:val="28"/>
          <w:szCs w:val="28"/>
        </w:rPr>
        <w:t>合格供应商不足3家的，不得评审。在资格审查时,如有下列情况之一的，经磋商小组认定，视为非实质性响应，为</w:t>
      </w:r>
      <w:r>
        <w:rPr>
          <w:rFonts w:hint="eastAsia" w:ascii="仿宋_GB2312" w:hAnsi="宋体" w:eastAsia="仿宋_GB2312"/>
          <w:b/>
          <w:sz w:val="28"/>
          <w:szCs w:val="28"/>
        </w:rPr>
        <w:t>无效响应</w:t>
      </w:r>
      <w:r>
        <w:rPr>
          <w:rFonts w:hint="eastAsia" w:ascii="仿宋_GB2312" w:hAnsi="宋体" w:eastAsia="仿宋_GB2312"/>
          <w:sz w:val="28"/>
          <w:szCs w:val="28"/>
        </w:rPr>
        <w:t>：</w:t>
      </w:r>
    </w:p>
    <w:p w14:paraId="466A16E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（1）单位负责人为同一人或者存在直接控股、管理关系的不同供应商的；</w:t>
      </w:r>
    </w:p>
    <w:p w14:paraId="0E88011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（2）为采购项目提供整体设计、规范编制或者项目管理、监理、检测等服务的；</w:t>
      </w:r>
    </w:p>
    <w:p w14:paraId="7BD466B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（3）供应商的资格证明文件不满足磋商文件要求或过期失效的。</w:t>
      </w:r>
    </w:p>
    <w:p w14:paraId="2B60A881">
      <w:pPr>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29.1.1在本磋商文件规定的查询时间之后，网站信息发生的任何变更均不再作为评审依据。</w:t>
      </w:r>
    </w:p>
    <w:p w14:paraId="5362BDF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29.2符合性审查。依据磋商文件规定，从响应文件的有效性、完整性和对磋商文件的响应程度进行符合性审查，以确定是否对磋商文件的实质性要求做出响应。磋商小组决定其响应性只根据响应文件本身的内容，而不依据外部的证据。在符合性审查时,如有不满足</w:t>
      </w:r>
      <w:r>
        <w:rPr>
          <w:rFonts w:hint="eastAsia" w:ascii="仿宋_GB2312" w:hAnsi="宋体" w:eastAsia="仿宋_GB2312"/>
          <w:b/>
          <w:sz w:val="28"/>
          <w:szCs w:val="28"/>
        </w:rPr>
        <w:t>《供应商须知》-《实质性条款一览表》中符合性审查条件</w:t>
      </w:r>
      <w:r>
        <w:rPr>
          <w:rFonts w:hint="eastAsia" w:ascii="仿宋_GB2312" w:hAnsi="宋体" w:eastAsia="仿宋_GB2312"/>
          <w:sz w:val="28"/>
          <w:szCs w:val="28"/>
        </w:rPr>
        <w:t>情况之一的，经磋商小组认定，视为非实质性响应，为</w:t>
      </w:r>
      <w:r>
        <w:rPr>
          <w:rFonts w:hint="eastAsia" w:ascii="仿宋_GB2312" w:hAnsi="宋体" w:eastAsia="仿宋_GB2312"/>
          <w:b/>
          <w:sz w:val="28"/>
          <w:szCs w:val="28"/>
        </w:rPr>
        <w:t>无效响应</w:t>
      </w:r>
      <w:r>
        <w:rPr>
          <w:rFonts w:hint="eastAsia" w:ascii="仿宋_GB2312" w:hAnsi="宋体" w:eastAsia="仿宋_GB2312"/>
          <w:sz w:val="28"/>
          <w:szCs w:val="28"/>
        </w:rPr>
        <w:t>。</w:t>
      </w:r>
    </w:p>
    <w:p w14:paraId="465B765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29.3磋商小组所有成员集中与单一供应商分别进行磋商。</w:t>
      </w:r>
      <w:r>
        <w:rPr>
          <w:rFonts w:hint="eastAsia" w:ascii="仿宋_GB2312" w:hAnsi="仿宋" w:eastAsia="仿宋_GB2312" w:cs="宋体"/>
          <w:sz w:val="28"/>
          <w:szCs w:val="28"/>
        </w:rPr>
        <w:t>供应商可以使用系统“网上评标”中的“谈判”功能与评审专家进行远程谈判。</w:t>
      </w:r>
      <w:r>
        <w:rPr>
          <w:rFonts w:hint="eastAsia" w:ascii="仿宋_GB2312" w:hAnsi="宋体" w:eastAsia="仿宋_GB2312"/>
          <w:sz w:val="28"/>
          <w:szCs w:val="28"/>
        </w:rPr>
        <w:t>在磋商过程中，磋商小组可以根据响应文件和响应情况实质性变动采购需求中的技术、服务要求以及合同草案条款，但不得变动响应文件中的其他内容。实质性变动的内容，须经采购人代表确认。</w:t>
      </w:r>
    </w:p>
    <w:p w14:paraId="5D7EF92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对响应文件做出的实质性变动是响应文件的有效组成部分，磋商小组应当及时以书面形式同时通知所有参加磋商的供应商。</w:t>
      </w:r>
    </w:p>
    <w:p w14:paraId="4074195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供应商应当按照响应文件的变动情况和磋商小组的要求重新提交响应文件，并由其法定代表人（依法登记的负责人）或授权代表签字或者加盖公章。由授权代表签字的，应当附（依法登记的负责人）授权委托书。供应商为自然人的，应当由本人签字并附身份证明。</w:t>
      </w:r>
    </w:p>
    <w:p w14:paraId="374AE6F4">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经磋商小组集体审核通过，未实质性响应磋商文件的响应文件按无效</w:t>
      </w:r>
      <w:r>
        <w:rPr>
          <w:rFonts w:hint="eastAsia" w:ascii="仿宋_GB2312" w:hAnsi="仿宋" w:eastAsia="仿宋_GB2312" w:cs="宋体"/>
          <w:sz w:val="28"/>
          <w:szCs w:val="28"/>
        </w:rPr>
        <w:t>响应</w:t>
      </w:r>
      <w:r>
        <w:rPr>
          <w:rFonts w:hint="eastAsia" w:ascii="仿宋_GB2312" w:hAnsi="宋体" w:eastAsia="仿宋_GB2312"/>
          <w:sz w:val="28"/>
          <w:szCs w:val="28"/>
        </w:rPr>
        <w:t>处理，磋商小组应当告知提交响应文件的供应商，</w:t>
      </w:r>
      <w:r>
        <w:rPr>
          <w:rFonts w:ascii="仿宋_GB2312" w:hAnsi="宋体" w:eastAsia="仿宋_GB2312"/>
          <w:sz w:val="28"/>
          <w:szCs w:val="28"/>
        </w:rPr>
        <w:t>说明其不符合要求的原因。</w:t>
      </w:r>
    </w:p>
    <w:p w14:paraId="5B44CFE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29.4经磋商小组确定最终采购需求和实质性响应的供应商后，磋商小组应当要求所有实质性响应的供应商在规定时间内提交最后报价，由磋商小组采用综合评分法对提交最后报价的所有供应商的进行综合评分。</w:t>
      </w:r>
    </w:p>
    <w:p w14:paraId="32A7CD9B">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30.响应文件的澄清</w:t>
      </w:r>
    </w:p>
    <w:p w14:paraId="37EBEA7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30.1对于响应文件中含义不明确、同类问题表述不一致或者有明显文字和计算错误的内容，磋商小组应当以书面形式要求供应商做出必要的澄清、说明或者补正。供应商必须接受磋商小组的询标。供应商未在规定的时间内</w:t>
      </w:r>
      <w:r>
        <w:rPr>
          <w:rFonts w:hint="eastAsia" w:ascii="仿宋_GB2312" w:hAnsi="仿宋" w:eastAsia="仿宋_GB2312" w:cs="宋体"/>
          <w:sz w:val="28"/>
          <w:szCs w:val="28"/>
        </w:rPr>
        <w:t>澄清、说明或补正的，由供应商自行承担不利后果，包括但不限于投标无效，相应评审因素对应的分值为0分</w:t>
      </w:r>
      <w:r>
        <w:rPr>
          <w:rFonts w:hint="eastAsia" w:ascii="仿宋_GB2312" w:hAnsi="宋体" w:eastAsia="仿宋_GB2312"/>
          <w:sz w:val="28"/>
          <w:szCs w:val="28"/>
        </w:rPr>
        <w:t>。</w:t>
      </w:r>
    </w:p>
    <w:p w14:paraId="1B0AFAD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30.2供应商的澄清、说明或者补正应当采用书面形式，由法定代表人（依法登记的负责人）或其授权代表签字或者加盖公章。供应商为自然人的，应当由本人签字并附身份证明。供应商的澄清、说明或者更正不得超出响应文件的范围或者改变对响应文件的实质性内容。此书面文件是响应文件的组成部分。</w:t>
      </w:r>
    </w:p>
    <w:p w14:paraId="309FB1D2">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31.响应文件的评价</w:t>
      </w:r>
    </w:p>
    <w:p w14:paraId="155BD50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31.1评审采用百分制。磋商小组各成员分别独立对实质性响应磋商文件的供应商进行逐项评价打分，对磋商小组各成员每一因素的打分汇总后的得分为供应商的得分。</w:t>
      </w:r>
    </w:p>
    <w:p w14:paraId="6F78238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31.2 响应文件内容违反国家有关强制性规定的，磋商小组应当停止评审并向采购人或者采购代理机构说明情况。</w:t>
      </w:r>
    </w:p>
    <w:p w14:paraId="6198C5D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31.3 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029A203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31.4磋商小组对确定为实质性响应磋商文件的响应文件进行政策功能评价，如涉及以下内容，具体标准为：</w:t>
      </w:r>
    </w:p>
    <w:p w14:paraId="311E480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①所报产品属于《关于调整优化节能产品、环境标志产品政府采购执行机制的通知》（财库〔2019〕9号）规定的政府优先采购范围的，响应文件中需提供国家确定的认证机构出具的、处于有效期之内的节能产品、环境标志产品认证证书扫描件。采用综合评分法的项目在打分时由评委根据各供应商所报节能、环保产品的报价在其总报价中所占的比重，分别给予报价和技术部分总分值×（节能、环保产品报价/总报价）×5％的加分。所报产品属于《节能产品政府采购品目清单》中规定的政府强制采购节能品目的，不给予优惠政策的加分/价格扣除。</w:t>
      </w:r>
    </w:p>
    <w:p w14:paraId="45E2E167">
      <w:pPr>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②</w:t>
      </w:r>
      <w:r>
        <w:rPr>
          <w:rFonts w:ascii="仿宋_GB2312" w:hAnsi="宋体" w:eastAsia="仿宋_GB2312"/>
          <w:sz w:val="28"/>
          <w:szCs w:val="28"/>
        </w:rPr>
        <w:t>本项目为非专门向中小企业采购项目，若供应商提报的货物全部由小微企业制造，根据财政部、工信部等部委发布的《关于印发&lt;政府采购促进中小企业发展管理办法&gt;的通知》（财库〔2020〕46号）及工信部等部委发布的《关于印发中小企业划型标准规定的通知》（工信部联企业[2011]300 号）的规定，对小型和微型企业的价格给予工程5%；非工程10%的扣除，用扣除后的价格参与评审，须提供货物制造商的《中小企业声明函》，否则不给予价格扣除。在货物采购项目中，供应商提供的货物含有中型或大型企业制造的货物不享受上述优惠政策。</w:t>
      </w:r>
    </w:p>
    <w:p w14:paraId="359A6E07">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③</w:t>
      </w:r>
      <w:r>
        <w:rPr>
          <w:rFonts w:ascii="仿宋_GB2312" w:hAnsi="宋体" w:eastAsia="仿宋_GB2312"/>
          <w:sz w:val="28"/>
          <w:szCs w:val="28"/>
        </w:rPr>
        <w:t>若供应商为监狱企业，根据财政部、司法部发布的《关于政府采购支持监狱企业发展有关问题的通知》（财库〔2014〕68号）的规定，在政府采购活动中，监狱企业视同小型、微型企业，享受评审中价格扣除的政府采购政策。监狱企业在价格评审中给予相应产品最终报价10%的价格扣除，用扣除后的价格参与评审。响应时须提供省级以上监狱管理局、戒毒管理局（含新疆生产建设兵团）出具的属于监狱企业的证明文件，否则不给予价格扣除。</w:t>
      </w:r>
    </w:p>
    <w:p w14:paraId="0E1E10DB">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w:t>
      </w:r>
      <w:r>
        <w:rPr>
          <w:rFonts w:ascii="仿宋_GB2312" w:hAnsi="仿宋" w:eastAsia="仿宋_GB2312" w:cs="宋体"/>
          <w:sz w:val="28"/>
          <w:szCs w:val="28"/>
        </w:rPr>
        <w:t>若供应商为残疾人福利性单位，对残疾人福利性单位产品（服务）的价格给予10%的扣除，用扣除后的价格参与评审。残疾人福利性单位需符合《财政部民政部中国残疾人联合会关于促进残疾人就业政府采购政策的通知》（财库〔2017〕141号）规定的条件，并提供《残疾人福利性单位声明函》。残疾人福利性单位属于小型、微型企业的，不再给予价格扣除。</w:t>
      </w:r>
    </w:p>
    <w:p w14:paraId="182D2501">
      <w:pPr>
        <w:snapToGrid w:val="0"/>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⑤接受联合体响应的项目，供应商联合协议中约定，小型、微型企业和残疾人福利性单位的合同金额占到合同总金额30%以上的，可给予联合体4%的价格扣除。监狱企业的协议合同金额占到联合体协议合同总金额30%以上的，可给予联合体4%的价格扣除。联合体各方均为小型、微型企业、残疾人福利性单位和监狱企业的，联合体视同为小型、微型企业、残疾人福利性单位和监狱企业。</w:t>
      </w:r>
    </w:p>
    <w:p w14:paraId="1EA7137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31.5供应商有下列情形之一的，视为供应商串通响应，其</w:t>
      </w:r>
      <w:r>
        <w:rPr>
          <w:rFonts w:hint="eastAsia" w:ascii="仿宋_GB2312" w:hAnsi="宋体" w:eastAsia="仿宋_GB2312"/>
          <w:b/>
          <w:sz w:val="28"/>
          <w:szCs w:val="28"/>
        </w:rPr>
        <w:t>响应无效</w:t>
      </w:r>
      <w:r>
        <w:rPr>
          <w:rFonts w:hint="eastAsia" w:ascii="仿宋_GB2312" w:hAnsi="宋体" w:eastAsia="仿宋_GB2312"/>
          <w:sz w:val="28"/>
          <w:szCs w:val="28"/>
        </w:rPr>
        <w:t>：</w:t>
      </w:r>
    </w:p>
    <w:p w14:paraId="41ABA76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（1）不同供应商的响应文件由同一单位或者个人编制；</w:t>
      </w:r>
    </w:p>
    <w:p w14:paraId="1F2F13E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（2）不同供应商委托同一单位或者个人办理响应事宜；</w:t>
      </w:r>
    </w:p>
    <w:p w14:paraId="4C6AC61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（3）不同供应商的响应文件载明的项目管理成员或者联系人员为同一人；</w:t>
      </w:r>
    </w:p>
    <w:p w14:paraId="60AF997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（4）不同供应商的响应文件异常一致或者响应报价呈规律性差异；</w:t>
      </w:r>
    </w:p>
    <w:p w14:paraId="7FAEFC1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（5）不同供应商的响应文件相互混装；</w:t>
      </w:r>
    </w:p>
    <w:p w14:paraId="482FBF2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（6）不同供应商的磋商保证金从同一单位或者个人的账户转出。</w:t>
      </w:r>
    </w:p>
    <w:p w14:paraId="7D0A59CD">
      <w:pPr>
        <w:spacing w:line="560" w:lineRule="exact"/>
        <w:ind w:firstLine="560" w:firstLineChars="200"/>
        <w:rPr>
          <w:rFonts w:ascii="仿宋_GB2312" w:hAnsi="仿宋" w:eastAsia="仿宋_GB2312" w:cs="宋体"/>
          <w:sz w:val="28"/>
          <w:szCs w:val="28"/>
        </w:rPr>
      </w:pPr>
      <w:r>
        <w:rPr>
          <w:rFonts w:hint="eastAsia" w:ascii="仿宋_GB2312" w:hAnsi="宋体" w:eastAsia="仿宋_GB2312"/>
          <w:sz w:val="28"/>
          <w:szCs w:val="28"/>
        </w:rPr>
        <w:t>31.6</w:t>
      </w:r>
      <w:r>
        <w:rPr>
          <w:rFonts w:hint="eastAsia" w:ascii="仿宋_GB2312" w:hAnsi="仿宋" w:eastAsia="仿宋_GB2312" w:cs="宋体"/>
          <w:sz w:val="28"/>
          <w:szCs w:val="28"/>
        </w:rPr>
        <w:t>磋商小组认为报价供应商的报价明显低于其他通过符合性审查报价供应商的报价，有可能影响产品质量或者不能诚信履约的，应当要求其在评审现场合理的时间内提供书面说明，必要时提交相关证明材料；报价供应商不能证明其报价合理性的，磋商小组应当将其作为无效响应处理。</w:t>
      </w:r>
    </w:p>
    <w:p w14:paraId="79453B92">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32.废标条款</w:t>
      </w:r>
    </w:p>
    <w:p w14:paraId="4027E0E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在竞争性磋商采购中，出现下列情形之一的，应予废标：</w:t>
      </w:r>
    </w:p>
    <w:p w14:paraId="475C4EC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（1）因情况变化，不再适合竞争性磋商采购方式适用情形的；</w:t>
      </w:r>
    </w:p>
    <w:p w14:paraId="77A6515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（2）出现影响采购公正的违法、违规行为的；</w:t>
      </w:r>
    </w:p>
    <w:p w14:paraId="3651D14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（3）除《政府采购竞争性磋商采购方式管理暂行办法》第二十一条第三款规定的情形外，在采购过程中符合要求的供应商不足3家的。</w:t>
      </w:r>
    </w:p>
    <w:p w14:paraId="177ADFA8">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33.保密要求</w:t>
      </w:r>
    </w:p>
    <w:p w14:paraId="561D8E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评审将在严格保密的情况下进行。有关人员</w:t>
      </w:r>
      <w:r>
        <w:rPr>
          <w:rFonts w:ascii="仿宋_GB2312" w:hAnsi="仿宋" w:eastAsia="仿宋_GB2312" w:cs="宋体"/>
          <w:sz w:val="28"/>
          <w:szCs w:val="28"/>
        </w:rPr>
        <w:t>应当</w:t>
      </w:r>
      <w:r>
        <w:rPr>
          <w:rFonts w:hint="eastAsia" w:ascii="仿宋_GB2312" w:hAnsi="仿宋" w:eastAsia="仿宋_GB2312" w:cs="宋体"/>
          <w:sz w:val="28"/>
          <w:szCs w:val="28"/>
        </w:rPr>
        <w:t>遵</w:t>
      </w:r>
      <w:r>
        <w:rPr>
          <w:rFonts w:ascii="仿宋_GB2312" w:hAnsi="仿宋" w:eastAsia="仿宋_GB2312" w:cs="宋体"/>
          <w:sz w:val="28"/>
          <w:szCs w:val="28"/>
        </w:rPr>
        <w:t>守评审工作纪律，</w:t>
      </w:r>
      <w:r>
        <w:rPr>
          <w:rFonts w:hint="eastAsia" w:ascii="仿宋_GB2312" w:hAnsi="仿宋" w:eastAsia="仿宋_GB2312" w:cs="宋体"/>
          <w:b/>
          <w:sz w:val="28"/>
          <w:szCs w:val="28"/>
        </w:rPr>
        <w:t>不得记录、复制或者带走任何评审资料</w:t>
      </w:r>
      <w:r>
        <w:rPr>
          <w:rFonts w:hint="eastAsia" w:ascii="仿宋_GB2312" w:hAnsi="仿宋" w:eastAsia="仿宋_GB2312" w:cs="宋体"/>
          <w:sz w:val="28"/>
          <w:szCs w:val="28"/>
        </w:rPr>
        <w:t>，</w:t>
      </w:r>
      <w:r>
        <w:rPr>
          <w:rFonts w:ascii="仿宋_GB2312" w:hAnsi="仿宋" w:eastAsia="仿宋_GB2312" w:cs="宋体"/>
          <w:sz w:val="28"/>
          <w:szCs w:val="28"/>
        </w:rPr>
        <w:t>不得</w:t>
      </w:r>
      <w:r>
        <w:rPr>
          <w:rFonts w:hint="eastAsia" w:ascii="仿宋_GB2312" w:hAnsi="仿宋" w:eastAsia="仿宋_GB2312" w:cs="宋体"/>
          <w:sz w:val="28"/>
          <w:szCs w:val="28"/>
        </w:rPr>
        <w:t>泄露</w:t>
      </w:r>
      <w:r>
        <w:rPr>
          <w:rFonts w:ascii="仿宋_GB2312" w:hAnsi="仿宋" w:eastAsia="仿宋_GB2312" w:cs="宋体"/>
          <w:sz w:val="28"/>
          <w:szCs w:val="28"/>
        </w:rPr>
        <w:t>评审</w:t>
      </w:r>
      <w:r>
        <w:rPr>
          <w:rFonts w:hint="eastAsia" w:ascii="仿宋_GB2312" w:hAnsi="仿宋" w:eastAsia="仿宋_GB2312" w:cs="宋体"/>
          <w:sz w:val="28"/>
          <w:szCs w:val="28"/>
        </w:rPr>
        <w:t>文件</w:t>
      </w:r>
      <w:r>
        <w:rPr>
          <w:rFonts w:ascii="仿宋_GB2312" w:hAnsi="仿宋" w:eastAsia="仿宋_GB2312" w:cs="宋体"/>
          <w:sz w:val="28"/>
          <w:szCs w:val="28"/>
        </w:rPr>
        <w:t>、评审情况和评审中获悉的商业秘密。</w:t>
      </w:r>
    </w:p>
    <w:p w14:paraId="03FC9A16">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六、成交</w:t>
      </w:r>
    </w:p>
    <w:p w14:paraId="4F9266EE">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34.成交</w:t>
      </w:r>
    </w:p>
    <w:p w14:paraId="60A2221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34.1磋商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5D46F52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34.2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53FD471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34.3采购代理机构应当在评审结束后2个工作日内将评审报告送采购人确认。采购人应当在收到评审报告后5个工作日内，从评审报告提出的成交候选供应商中，按照排序由高到低的原则确定成交供应商，也可以授权磋商小组直接确定成交供应商。采购人逾期未确定成交供应商且不提出异议的，视为确定评审报告提出的排序第一的供应商为成交供应商。</w:t>
      </w:r>
    </w:p>
    <w:p w14:paraId="17FDFB70">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七、公告</w:t>
      </w:r>
    </w:p>
    <w:p w14:paraId="4EF6FF2F">
      <w:pPr>
        <w:snapToGrid w:val="0"/>
        <w:spacing w:line="560" w:lineRule="exact"/>
        <w:ind w:firstLine="565" w:firstLineChars="201"/>
        <w:rPr>
          <w:rFonts w:ascii="仿宋_GB2312" w:hAnsi="仿宋" w:eastAsia="仿宋_GB2312" w:cs="宋体"/>
          <w:b/>
          <w:sz w:val="28"/>
          <w:szCs w:val="28"/>
        </w:rPr>
      </w:pPr>
      <w:r>
        <w:rPr>
          <w:rFonts w:ascii="仿宋_GB2312" w:hAnsi="仿宋" w:eastAsia="仿宋_GB2312" w:cs="宋体"/>
          <w:b/>
          <w:sz w:val="28"/>
          <w:szCs w:val="28"/>
        </w:rPr>
        <w:t>35.公告</w:t>
      </w:r>
    </w:p>
    <w:p w14:paraId="6729415D">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35.1采购人、</w:t>
      </w:r>
      <w:r>
        <w:rPr>
          <w:rFonts w:hint="eastAsia" w:ascii="仿宋_GB2312" w:hAnsi="宋体" w:eastAsia="仿宋_GB2312"/>
          <w:sz w:val="28"/>
          <w:szCs w:val="28"/>
        </w:rPr>
        <w:t>采购代理机构自成交供应商确定之日起2个工作日内，在威海市公共资源交易网、威海市公共资源交易网（乳山分中心）上公告成交结果。成交公告期限为1个工作日。成交公告应当包括下列内容：</w:t>
      </w:r>
    </w:p>
    <w:p w14:paraId="2142C56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（1）采购人、代理机构的名称、地址和联系方式；</w:t>
      </w:r>
    </w:p>
    <w:p w14:paraId="1A6BBFC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（2）项目名称和项目编号；</w:t>
      </w:r>
    </w:p>
    <w:p w14:paraId="40B44DB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（3）成交供应商名称、地址和成交金额；</w:t>
      </w:r>
    </w:p>
    <w:p w14:paraId="65D3B7C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（4）主要成交标的名称、规格型号、数量、单价、服务要求；</w:t>
      </w:r>
    </w:p>
    <w:p w14:paraId="5479852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（5）成交公告期限；</w:t>
      </w:r>
    </w:p>
    <w:p w14:paraId="23836EE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（6）评审专家名单；</w:t>
      </w:r>
    </w:p>
    <w:p w14:paraId="49E035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（7）供应商未中标的原因；</w:t>
      </w:r>
    </w:p>
    <w:p w14:paraId="1BD6821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（8）采用综合评分法评审的，还将告知未中标人本人的评审得分和排序。</w:t>
      </w:r>
    </w:p>
    <w:p w14:paraId="140BF45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35.2采购代理机构应当在公告成交结果的同时，向成交供应商发出《成交通知书》；对未通过资格审查的供应商，应当告知其未通过的原因；《成交通知书》对成交供应商和采购人均具有法律效力。《成交通知书》发出后，采购人不得违法改变成交结果，成交供应商无正当理由不得放弃成交。</w:t>
      </w:r>
    </w:p>
    <w:p w14:paraId="77D4C396">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八、质疑</w:t>
      </w:r>
    </w:p>
    <w:p w14:paraId="50429323">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36.质疑</w:t>
      </w:r>
    </w:p>
    <w:p w14:paraId="03D219D6">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36.1供应商对政府采购活动事项有疑问的，可以向采购人和采购代理机构提出询问，采购人、采购代理机构应当在3个工作日内做出答复，但答复的内容不得涉及商业秘密。供应商</w:t>
      </w:r>
      <w:r>
        <w:rPr>
          <w:rFonts w:hint="eastAsia" w:ascii="仿宋_GB2312" w:hAnsi="仿宋" w:eastAsia="仿宋_GB2312" w:cs="宋体"/>
          <w:sz w:val="28"/>
          <w:szCs w:val="28"/>
        </w:rPr>
        <w:t>向采购代理机构</w:t>
      </w:r>
      <w:r>
        <w:rPr>
          <w:rFonts w:hint="eastAsia" w:ascii="仿宋_GB2312" w:hAnsi="宋体" w:eastAsia="仿宋_GB2312"/>
          <w:sz w:val="28"/>
          <w:szCs w:val="28"/>
        </w:rPr>
        <w:t>提出的询问或者质疑超出采购人对采购代理机构委托授权范围的，采购代理机构应当告知供应商向采购人提出。</w:t>
      </w:r>
    </w:p>
    <w:p w14:paraId="6838C41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36.2供应商认为采购文件、采购过程、成交结果使自己的权益受到损害的，可以在知道或者应知其权益受到损害之日起7个工作日内，以书面形式向采购人、采购代理机构提出质疑，采购人、采购代理机构应当在收到供应商的书面质疑后7个工作日内做出书面答复，</w:t>
      </w:r>
      <w:r>
        <w:rPr>
          <w:rFonts w:hint="eastAsia" w:ascii="仿宋_GB2312" w:hAnsi="仿宋" w:eastAsia="仿宋_GB2312" w:cs="宋体"/>
          <w:sz w:val="28"/>
          <w:szCs w:val="28"/>
        </w:rPr>
        <w:t>但答复的内容不得涉及商业秘密</w:t>
      </w:r>
      <w:r>
        <w:rPr>
          <w:rFonts w:hint="eastAsia" w:ascii="仿宋_GB2312" w:hAnsi="宋体" w:eastAsia="仿宋_GB2312"/>
          <w:sz w:val="28"/>
          <w:szCs w:val="28"/>
        </w:rPr>
        <w:t>。</w:t>
      </w:r>
    </w:p>
    <w:p w14:paraId="3D6F4AD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36.3供应商应在法定质疑期内一次性提出针对同一采购程序环节的质疑。</w:t>
      </w:r>
    </w:p>
    <w:p w14:paraId="125C1E9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36.4质疑采用实名制，为了使提出的质疑事项在规定时间内得到有效答复、处理，提交的质疑函应当包括以下内容，</w:t>
      </w:r>
      <w:r>
        <w:rPr>
          <w:rFonts w:hint="eastAsia" w:ascii="仿宋_GB2312" w:hAnsi="仿宋" w:eastAsia="仿宋_GB2312" w:cs="宋体"/>
          <w:sz w:val="28"/>
          <w:szCs w:val="28"/>
        </w:rPr>
        <w:t>且质疑供应商应当是参与所质疑项目采购活动的</w:t>
      </w:r>
      <w:r>
        <w:rPr>
          <w:rFonts w:hint="eastAsia" w:ascii="仿宋_GB2312" w:hAnsi="宋体" w:eastAsia="仿宋_GB2312"/>
          <w:sz w:val="28"/>
          <w:szCs w:val="28"/>
        </w:rPr>
        <w:t>供应商。</w:t>
      </w:r>
    </w:p>
    <w:p w14:paraId="6A4601A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（1）供应商的姓名或名称、地址（邮箱）、邮编、联系人及联系电话；</w:t>
      </w:r>
    </w:p>
    <w:p w14:paraId="42851D2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（2）质疑项目的名称、编号；</w:t>
      </w:r>
    </w:p>
    <w:p w14:paraId="096184F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（3）具体、明确的质疑事项和与质疑事项相关的请求；</w:t>
      </w:r>
    </w:p>
    <w:p w14:paraId="77EDBC57">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（4）事实依据；</w:t>
      </w:r>
    </w:p>
    <w:p w14:paraId="016FAE1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（5）必要的法律依据；</w:t>
      </w:r>
    </w:p>
    <w:p w14:paraId="1C493F3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（6）提出质疑的日期。</w:t>
      </w:r>
    </w:p>
    <w:p w14:paraId="7B2E1BC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供应商为自然人的，应当由本人签字；供应商为法人或者其他组织的，应当由法定代表人（依法登记的负责人）或者其</w:t>
      </w:r>
      <w:r>
        <w:rPr>
          <w:rFonts w:hint="eastAsia" w:ascii="仿宋_GB2312" w:hAnsi="仿宋" w:eastAsia="仿宋_GB2312" w:cs="宋体"/>
          <w:sz w:val="28"/>
          <w:szCs w:val="28"/>
        </w:rPr>
        <w:t>授权代表</w:t>
      </w:r>
      <w:r>
        <w:rPr>
          <w:rFonts w:hint="eastAsia" w:ascii="仿宋_GB2312" w:hAnsi="宋体" w:eastAsia="仿宋_GB2312"/>
          <w:sz w:val="28"/>
          <w:szCs w:val="28"/>
        </w:rPr>
        <w:t>签字或者盖章，并加盖公章。</w:t>
      </w:r>
    </w:p>
    <w:p w14:paraId="0CBAF41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36.5质疑函应当按照《政府采购供应商质疑函范本》格式填写后，由</w:t>
      </w:r>
      <w:r>
        <w:rPr>
          <w:rFonts w:hint="eastAsia" w:ascii="仿宋_GB2312" w:hAnsi="仿宋" w:eastAsia="仿宋_GB2312" w:cs="宋体"/>
          <w:sz w:val="28"/>
          <w:szCs w:val="28"/>
        </w:rPr>
        <w:t>质疑供应商的</w:t>
      </w:r>
      <w:r>
        <w:rPr>
          <w:rFonts w:hint="eastAsia" w:ascii="仿宋_GB2312" w:hAnsi="宋体" w:eastAsia="仿宋_GB2312"/>
          <w:sz w:val="28"/>
          <w:szCs w:val="28"/>
        </w:rPr>
        <w:t>法定代表人（依法登记的负责人）</w:t>
      </w:r>
      <w:r>
        <w:rPr>
          <w:rFonts w:hint="eastAsia" w:ascii="仿宋_GB2312" w:hAnsi="仿宋" w:eastAsia="仿宋_GB2312" w:cs="宋体"/>
          <w:sz w:val="28"/>
          <w:szCs w:val="28"/>
        </w:rPr>
        <w:t>或者其授权代表</w:t>
      </w:r>
      <w:r>
        <w:rPr>
          <w:rFonts w:hint="eastAsia" w:ascii="仿宋_GB2312" w:hAnsi="宋体" w:eastAsia="仿宋_GB2312"/>
          <w:sz w:val="28"/>
          <w:szCs w:val="28"/>
        </w:rPr>
        <w:t>提交给采购人或采购代理机构，受理方式</w:t>
      </w:r>
      <w:r>
        <w:rPr>
          <w:rFonts w:hint="eastAsia" w:ascii="仿宋_GB2312" w:hAnsi="仿宋" w:eastAsia="仿宋_GB2312" w:cs="宋体"/>
          <w:sz w:val="28"/>
          <w:szCs w:val="28"/>
        </w:rPr>
        <w:t>见</w:t>
      </w:r>
      <w:r>
        <w:rPr>
          <w:rFonts w:hint="eastAsia" w:ascii="仿宋_GB2312" w:hAnsi="仿宋" w:eastAsia="仿宋_GB2312" w:cs="宋体"/>
          <w:sz w:val="28"/>
          <w:szCs w:val="28"/>
          <w:u w:val="single"/>
        </w:rPr>
        <w:t>供应商须知前附表。</w:t>
      </w:r>
      <w:r>
        <w:rPr>
          <w:rFonts w:hint="eastAsia" w:ascii="仿宋_GB2312" w:hAnsi="宋体" w:eastAsia="仿宋_GB2312"/>
          <w:sz w:val="28"/>
          <w:szCs w:val="28"/>
        </w:rPr>
        <w:t>采购人或采购代理机构正式受理后方可生效。否则，为无效质疑。</w:t>
      </w:r>
    </w:p>
    <w:p w14:paraId="7CEF6919">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九、投诉</w:t>
      </w:r>
    </w:p>
    <w:p w14:paraId="416D0255">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37.投诉</w:t>
      </w:r>
    </w:p>
    <w:p w14:paraId="64D1460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质疑供应商对采购人、采购代理机构的答复不满意，或者采购人、代理机构未在规定时间内作出答复的，可以在答复期满后15个工作日内向同级政府采购监督管理部门提起投诉。投诉程序按</w:t>
      </w:r>
      <w:r>
        <w:rPr>
          <w:rFonts w:hint="eastAsia" w:ascii="仿宋_GB2312" w:hAnsi="仿宋" w:eastAsia="仿宋_GB2312" w:cs="宋体"/>
          <w:sz w:val="28"/>
          <w:szCs w:val="28"/>
        </w:rPr>
        <w:t>《中华人民共和国政府采购法》</w:t>
      </w:r>
      <w:r>
        <w:rPr>
          <w:rFonts w:hint="eastAsia" w:ascii="仿宋_GB2312" w:hAnsi="宋体" w:eastAsia="仿宋_GB2312"/>
          <w:sz w:val="28"/>
          <w:szCs w:val="28"/>
        </w:rPr>
        <w:t>及其实施条例、</w:t>
      </w:r>
      <w:r>
        <w:rPr>
          <w:rFonts w:hint="eastAsia" w:ascii="仿宋_GB2312" w:hAnsi="仿宋" w:eastAsia="仿宋_GB2312" w:cs="宋体"/>
          <w:sz w:val="28"/>
          <w:szCs w:val="28"/>
        </w:rPr>
        <w:t>《政府采购质疑和投诉办法》</w:t>
      </w:r>
      <w:r>
        <w:rPr>
          <w:rFonts w:hint="eastAsia" w:ascii="仿宋_GB2312" w:hAnsi="宋体" w:eastAsia="仿宋_GB2312"/>
          <w:sz w:val="28"/>
          <w:szCs w:val="28"/>
        </w:rPr>
        <w:t>（财政部令第94号）等有关法律、法规和规定执行。投诉人在全国范围12个月内三次以上投诉查无实据的，由财政部门列入不良行为记录名单，有捏造事实、提供虚假材料、以非法手段取得证明材料情况之一的，由财政部门列入不良行为记录名单，禁止1-3年内参加政府采购活动。</w:t>
      </w:r>
      <w:r>
        <w:rPr>
          <w:rFonts w:hint="eastAsia" w:ascii="仿宋_GB2312" w:hAnsi="仿宋" w:eastAsia="仿宋_GB2312" w:cs="宋体"/>
          <w:sz w:val="28"/>
          <w:szCs w:val="28"/>
        </w:rPr>
        <w:t>投诉受理方式见</w:t>
      </w:r>
      <w:r>
        <w:rPr>
          <w:rFonts w:hint="eastAsia" w:ascii="仿宋_GB2312" w:hAnsi="仿宋" w:eastAsia="仿宋_GB2312" w:cs="宋体"/>
          <w:sz w:val="28"/>
          <w:szCs w:val="28"/>
          <w:u w:val="single"/>
        </w:rPr>
        <w:t>供应商须知前附表。</w:t>
      </w:r>
    </w:p>
    <w:p w14:paraId="001E3567">
      <w:pPr>
        <w:keepNext/>
        <w:keepLines/>
        <w:spacing w:before="120" w:after="120" w:line="360" w:lineRule="auto"/>
        <w:ind w:firstLine="643"/>
        <w:jc w:val="left"/>
        <w:outlineLvl w:val="1"/>
        <w:rPr>
          <w:rFonts w:ascii="Arial" w:hAnsi="Arial" w:eastAsia="黑体"/>
          <w:sz w:val="32"/>
          <w:szCs w:val="32"/>
        </w:rPr>
      </w:pPr>
      <w:r>
        <w:rPr>
          <w:rFonts w:hint="eastAsia" w:ascii="Arial" w:hAnsi="Arial" w:eastAsia="黑体"/>
          <w:sz w:val="32"/>
          <w:szCs w:val="32"/>
        </w:rPr>
        <w:t>十、签订合同</w:t>
      </w:r>
    </w:p>
    <w:p w14:paraId="71A68FC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38.合同的签订</w:t>
      </w:r>
    </w:p>
    <w:p w14:paraId="5E5641C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38.1采购人应当自政府采购合同签订之日起2个工作日内，将政府采购合同在省级以上人民政府财政部门指定的媒体上公告，但政府采购合同中涉及国家秘密、商业秘密的内容除外。</w:t>
      </w:r>
    </w:p>
    <w:p w14:paraId="5D52E39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38.2采购人应当自成交通知书发出之日起5个工作日内，按照磋商文件和成交供应商响应文件的规定，与成交供应商签订书面合同。</w:t>
      </w:r>
    </w:p>
    <w:p w14:paraId="6264A79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38.3采购人与成交供应商所签订的合同不得对竞争性磋商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07C7A655">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38.4成交供应商拒绝与采购人签订合同的，响应供应商符合法定数量时，采购人可以按照评审报告推荐的成交候选人名单排序，确定下一候选人为成交供应商，也可以重新开展政府采购活动。</w:t>
      </w:r>
    </w:p>
    <w:p w14:paraId="0C536FF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38.5政府采购合同的履行、违约责任和解决争议的方法适用《中华人民共和国民法典》。</w:t>
      </w:r>
    </w:p>
    <w:p w14:paraId="54D8DE0F">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 xml:space="preserve">39.履约保证金 </w:t>
      </w:r>
    </w:p>
    <w:p w14:paraId="7B7CCA0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成交供应商应按照</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规定向采购人交纳履约保证金。</w:t>
      </w:r>
    </w:p>
    <w:p w14:paraId="6F5A9BB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履约保证金可以以担保支票、押金证明、保证金、保险单、信用证等方式提供，也可以通过电子保函平台以电子保函形式提供。</w:t>
      </w:r>
    </w:p>
    <w:p w14:paraId="765F553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如果成交供应商没有按照上述履约保证金的规定执行，将视为放弃成交资格，成交供应商的磋商保证金将不予退还（如有）。在此情况下，采购人可依规</w:t>
      </w:r>
      <w:r>
        <w:rPr>
          <w:rFonts w:ascii="仿宋_GB2312" w:hAnsi="宋体" w:eastAsia="仿宋_GB2312"/>
          <w:sz w:val="28"/>
          <w:szCs w:val="28"/>
        </w:rPr>
        <w:t>确定下一</w:t>
      </w:r>
      <w:r>
        <w:rPr>
          <w:rFonts w:hint="eastAsia" w:ascii="仿宋_GB2312" w:hAnsi="宋体" w:eastAsia="仿宋_GB2312"/>
          <w:sz w:val="28"/>
          <w:szCs w:val="28"/>
        </w:rPr>
        <w:t>候选</w:t>
      </w:r>
      <w:r>
        <w:rPr>
          <w:rFonts w:ascii="仿宋_GB2312" w:hAnsi="宋体" w:eastAsia="仿宋_GB2312"/>
          <w:sz w:val="28"/>
          <w:szCs w:val="28"/>
        </w:rPr>
        <w:t>人为</w:t>
      </w:r>
      <w:r>
        <w:rPr>
          <w:rFonts w:hint="eastAsia" w:ascii="仿宋_GB2312" w:hAnsi="宋体" w:eastAsia="仿宋_GB2312"/>
          <w:sz w:val="28"/>
          <w:szCs w:val="28"/>
        </w:rPr>
        <w:t>成交供应商</w:t>
      </w:r>
      <w:r>
        <w:rPr>
          <w:rFonts w:ascii="仿宋_GB2312" w:hAnsi="宋体" w:eastAsia="仿宋_GB2312"/>
          <w:sz w:val="28"/>
          <w:szCs w:val="28"/>
        </w:rPr>
        <w:t>，也可以重新开展采购活动。</w:t>
      </w:r>
    </w:p>
    <w:p w14:paraId="1939BFCE">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40.政府采购信用担保</w:t>
      </w:r>
    </w:p>
    <w:p w14:paraId="4B5628F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本项目是否属于信用担保试点范围见</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w:t>
      </w:r>
    </w:p>
    <w:p w14:paraId="11201E4E">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如</w:t>
      </w:r>
      <w:r>
        <w:rPr>
          <w:rFonts w:ascii="仿宋_GB2312" w:hAnsi="宋体" w:eastAsia="仿宋_GB2312"/>
          <w:sz w:val="28"/>
          <w:szCs w:val="28"/>
        </w:rPr>
        <w:t>属于</w:t>
      </w:r>
      <w:r>
        <w:rPr>
          <w:rFonts w:hint="eastAsia" w:ascii="仿宋_GB2312" w:hAnsi="宋体" w:eastAsia="仿宋_GB2312"/>
          <w:sz w:val="28"/>
          <w:szCs w:val="28"/>
        </w:rPr>
        <w:t>政府采购信用担保试点范围内，中小型企业供应商可以自由按照财政部门的规定，采用投标担保、履约担保和融资担保。</w:t>
      </w:r>
    </w:p>
    <w:p w14:paraId="571EAEA9">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供应商提交的投标担保函和履约担保函应符合本采购文件的规定。</w:t>
      </w:r>
    </w:p>
    <w:p w14:paraId="03A42AC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成交供应商可以采取融资担保的形式为政府采购项目履约进行融资。</w:t>
      </w:r>
    </w:p>
    <w:p w14:paraId="18771361">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41.预付款</w:t>
      </w:r>
    </w:p>
    <w:p w14:paraId="649844C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预付款是在指</w:t>
      </w:r>
      <w:r>
        <w:rPr>
          <w:rFonts w:ascii="仿宋_GB2312" w:hAnsi="宋体" w:eastAsia="仿宋_GB2312"/>
          <w:sz w:val="28"/>
          <w:szCs w:val="28"/>
        </w:rPr>
        <w:t>政府采购合同签订后</w:t>
      </w:r>
      <w:r>
        <w:rPr>
          <w:rFonts w:hint="eastAsia" w:ascii="仿宋_GB2312" w:hAnsi="宋体" w:eastAsia="仿宋_GB2312"/>
          <w:sz w:val="28"/>
          <w:szCs w:val="28"/>
        </w:rPr>
        <w:t>、履行前，</w:t>
      </w:r>
      <w:r>
        <w:rPr>
          <w:rFonts w:ascii="仿宋_GB2312" w:hAnsi="宋体" w:eastAsia="仿宋_GB2312"/>
          <w:sz w:val="28"/>
          <w:szCs w:val="28"/>
        </w:rPr>
        <w:t>采购人向</w:t>
      </w:r>
      <w:r>
        <w:rPr>
          <w:rFonts w:hint="eastAsia" w:ascii="仿宋_GB2312" w:hAnsi="宋体" w:eastAsia="仿宋_GB2312"/>
          <w:sz w:val="28"/>
          <w:szCs w:val="28"/>
        </w:rPr>
        <w:t>成交供应商</w:t>
      </w:r>
      <w:r>
        <w:rPr>
          <w:rFonts w:ascii="仿宋_GB2312" w:hAnsi="宋体" w:eastAsia="仿宋_GB2312"/>
          <w:sz w:val="28"/>
          <w:szCs w:val="28"/>
        </w:rPr>
        <w:t>预先支付部分合同款项</w:t>
      </w:r>
      <w:r>
        <w:rPr>
          <w:rFonts w:hint="eastAsia" w:ascii="仿宋_GB2312" w:hAnsi="宋体" w:eastAsia="仿宋_GB2312"/>
          <w:sz w:val="28"/>
          <w:szCs w:val="28"/>
        </w:rPr>
        <w:t>。</w:t>
      </w:r>
      <w:r>
        <w:rPr>
          <w:rFonts w:ascii="仿宋_GB2312" w:hAnsi="宋体" w:eastAsia="仿宋_GB2312"/>
          <w:sz w:val="28"/>
          <w:szCs w:val="28"/>
        </w:rPr>
        <w:t>采购人预付款方式见</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w:t>
      </w:r>
    </w:p>
    <w:p w14:paraId="08344479">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42</w:t>
      </w:r>
      <w:r>
        <w:rPr>
          <w:rFonts w:ascii="楷体_GB2312" w:hAnsi="宋体" w:eastAsia="楷体_GB2312"/>
          <w:b/>
          <w:sz w:val="28"/>
          <w:szCs w:val="28"/>
        </w:rPr>
        <w:t>.</w:t>
      </w:r>
      <w:r>
        <w:rPr>
          <w:rFonts w:hint="eastAsia" w:ascii="楷体_GB2312" w:hAnsi="宋体" w:eastAsia="楷体_GB2312"/>
          <w:b/>
          <w:sz w:val="28"/>
          <w:szCs w:val="28"/>
        </w:rPr>
        <w:t>廉洁自律</w:t>
      </w:r>
      <w:r>
        <w:rPr>
          <w:rFonts w:ascii="楷体_GB2312" w:hAnsi="宋体" w:eastAsia="楷体_GB2312"/>
          <w:b/>
          <w:sz w:val="28"/>
          <w:szCs w:val="28"/>
        </w:rPr>
        <w:t>规定</w:t>
      </w:r>
    </w:p>
    <w:p w14:paraId="0FC9876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42.1采购代理机构</w:t>
      </w:r>
      <w:r>
        <w:rPr>
          <w:rFonts w:ascii="仿宋_GB2312" w:hAnsi="宋体" w:eastAsia="仿宋_GB2312"/>
          <w:sz w:val="28"/>
          <w:szCs w:val="28"/>
        </w:rPr>
        <w:t>工作人员</w:t>
      </w:r>
      <w:r>
        <w:rPr>
          <w:rFonts w:hint="eastAsia" w:ascii="仿宋_GB2312" w:hAnsi="宋体" w:eastAsia="仿宋_GB2312"/>
          <w:sz w:val="28"/>
          <w:szCs w:val="28"/>
        </w:rPr>
        <w:t>不得与采购人、供应商恶意串通操纵政府采购活动。</w:t>
      </w:r>
    </w:p>
    <w:p w14:paraId="32E7291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42.2采购代理机构工作人员不得接受采购人或者供应商组织的宴请、旅游、娱乐，不得收受礼品、现金、有价证券等，不得向采购人或者供应商报销应当由个人承担的费用。</w:t>
      </w:r>
    </w:p>
    <w:p w14:paraId="286EF42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42.3为强化采购</w:t>
      </w:r>
      <w:r>
        <w:rPr>
          <w:rFonts w:ascii="仿宋_GB2312" w:hAnsi="宋体" w:eastAsia="仿宋_GB2312"/>
          <w:sz w:val="28"/>
          <w:szCs w:val="28"/>
        </w:rPr>
        <w:t>代理机构内部监督机制</w:t>
      </w:r>
      <w:r>
        <w:rPr>
          <w:rFonts w:hint="eastAsia" w:ascii="仿宋_GB2312" w:hAnsi="宋体" w:eastAsia="仿宋_GB2312"/>
          <w:sz w:val="28"/>
          <w:szCs w:val="28"/>
        </w:rPr>
        <w:t>，供应商可按</w:t>
      </w:r>
      <w:r>
        <w:rPr>
          <w:rFonts w:hint="eastAsia" w:ascii="仿宋_GB2312" w:hAnsi="宋体" w:eastAsia="仿宋_GB2312"/>
          <w:sz w:val="28"/>
          <w:szCs w:val="28"/>
          <w:u w:val="single"/>
        </w:rPr>
        <w:t>供应商须知前附表</w:t>
      </w:r>
      <w:r>
        <w:rPr>
          <w:rFonts w:hint="eastAsia" w:ascii="仿宋_GB2312" w:hAnsi="宋体" w:eastAsia="仿宋_GB2312"/>
          <w:sz w:val="28"/>
          <w:szCs w:val="28"/>
        </w:rPr>
        <w:t>中</w:t>
      </w:r>
      <w:r>
        <w:rPr>
          <w:rFonts w:ascii="仿宋_GB2312" w:hAnsi="宋体" w:eastAsia="仿宋_GB2312"/>
          <w:sz w:val="28"/>
          <w:szCs w:val="28"/>
        </w:rPr>
        <w:t>的</w:t>
      </w:r>
      <w:r>
        <w:rPr>
          <w:rFonts w:hint="eastAsia" w:ascii="仿宋_GB2312" w:hAnsi="宋体" w:eastAsia="仿宋_GB2312"/>
          <w:sz w:val="28"/>
          <w:szCs w:val="28"/>
        </w:rPr>
        <w:t>监督电话</w:t>
      </w:r>
      <w:r>
        <w:rPr>
          <w:rFonts w:ascii="仿宋_GB2312" w:hAnsi="宋体" w:eastAsia="仿宋_GB2312"/>
          <w:sz w:val="28"/>
          <w:szCs w:val="28"/>
        </w:rPr>
        <w:t>和</w:t>
      </w:r>
      <w:r>
        <w:rPr>
          <w:rFonts w:hint="eastAsia" w:ascii="仿宋_GB2312" w:hAnsi="宋体" w:eastAsia="仿宋_GB2312"/>
          <w:sz w:val="28"/>
          <w:szCs w:val="28"/>
        </w:rPr>
        <w:t>邮箱，反映采购代理机构的廉洁自律</w:t>
      </w:r>
      <w:r>
        <w:rPr>
          <w:rFonts w:ascii="仿宋_GB2312" w:hAnsi="宋体" w:eastAsia="仿宋_GB2312"/>
          <w:sz w:val="28"/>
          <w:szCs w:val="28"/>
        </w:rPr>
        <w:t>等</w:t>
      </w:r>
      <w:r>
        <w:rPr>
          <w:rFonts w:hint="eastAsia" w:ascii="仿宋_GB2312" w:hAnsi="宋体" w:eastAsia="仿宋_GB2312"/>
          <w:sz w:val="28"/>
          <w:szCs w:val="28"/>
        </w:rPr>
        <w:t>问题。</w:t>
      </w:r>
    </w:p>
    <w:p w14:paraId="084D2ABE">
      <w:pPr>
        <w:snapToGrid w:val="0"/>
        <w:spacing w:line="560" w:lineRule="exact"/>
        <w:ind w:firstLine="565" w:firstLineChars="201"/>
        <w:rPr>
          <w:rFonts w:ascii="楷体_GB2312" w:hAnsi="宋体" w:eastAsia="楷体_GB2312"/>
          <w:b/>
          <w:sz w:val="28"/>
          <w:szCs w:val="28"/>
        </w:rPr>
      </w:pPr>
      <w:r>
        <w:rPr>
          <w:rFonts w:hint="eastAsia" w:ascii="楷体_GB2312" w:hAnsi="宋体" w:eastAsia="楷体_GB2312"/>
          <w:b/>
          <w:sz w:val="28"/>
          <w:szCs w:val="28"/>
        </w:rPr>
        <w:t>43.项目其他相关费用</w:t>
      </w:r>
    </w:p>
    <w:p w14:paraId="456AFAF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43.1代理服务费</w:t>
      </w:r>
    </w:p>
    <w:p w14:paraId="50C3F05B">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代理服务费收取标准：</w:t>
      </w:r>
      <w:r>
        <w:rPr>
          <w:rFonts w:hint="eastAsia" w:ascii="仿宋_GB2312" w:hAnsi="宋体" w:eastAsia="仿宋_GB2312"/>
          <w:sz w:val="28"/>
          <w:szCs w:val="28"/>
          <w:u w:val="single"/>
        </w:rPr>
        <w:t>见供应商须知前附表</w:t>
      </w:r>
      <w:r>
        <w:rPr>
          <w:rFonts w:hint="eastAsia" w:ascii="仿宋_GB2312" w:hAnsi="宋体" w:eastAsia="仿宋_GB2312"/>
          <w:sz w:val="28"/>
          <w:szCs w:val="28"/>
        </w:rPr>
        <w:t>。</w:t>
      </w:r>
    </w:p>
    <w:p w14:paraId="0171697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43.2公证费/见证律师费</w:t>
      </w:r>
    </w:p>
    <w:p w14:paraId="368D9241">
      <w:pPr>
        <w:snapToGrid w:val="0"/>
        <w:spacing w:line="560" w:lineRule="exact"/>
        <w:ind w:firstLine="562" w:firstLineChars="201"/>
        <w:rPr>
          <w:rFonts w:ascii="仿宋_GB2312" w:hAnsi="宋体" w:eastAsia="仿宋_GB2312"/>
          <w:sz w:val="28"/>
          <w:szCs w:val="28"/>
          <w:lang w:val="zh-CN"/>
        </w:rPr>
      </w:pPr>
      <w:r>
        <w:rPr>
          <w:rFonts w:hint="eastAsia" w:ascii="仿宋_GB2312" w:hAnsi="宋体" w:eastAsia="仿宋_GB2312"/>
          <w:sz w:val="28"/>
          <w:szCs w:val="28"/>
          <w:lang w:val="zh-CN"/>
        </w:rPr>
        <w:t>公证费/见证律师费的收费标准：</w:t>
      </w:r>
      <w:r>
        <w:rPr>
          <w:rFonts w:hint="eastAsia" w:ascii="仿宋_GB2312" w:hAnsi="宋体" w:eastAsia="仿宋_GB2312"/>
          <w:sz w:val="28"/>
          <w:szCs w:val="28"/>
          <w:u w:val="single"/>
        </w:rPr>
        <w:t>见供应商须知前附表</w:t>
      </w:r>
      <w:r>
        <w:rPr>
          <w:rFonts w:hint="eastAsia" w:ascii="仿宋_GB2312" w:hAnsi="宋体" w:eastAsia="仿宋_GB2312"/>
          <w:sz w:val="28"/>
          <w:szCs w:val="28"/>
          <w:lang w:val="zh-CN"/>
        </w:rPr>
        <w:t>。</w:t>
      </w:r>
    </w:p>
    <w:p w14:paraId="58094CD2">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43.3政府采购专家评审费</w:t>
      </w:r>
    </w:p>
    <w:p w14:paraId="7F91B550">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本项目按照威海市公共资源交易中心乳山分中心有关规定的标准执行。</w:t>
      </w:r>
    </w:p>
    <w:p w14:paraId="25CC84A9">
      <w:pPr>
        <w:sectPr>
          <w:pgSz w:w="11906" w:h="16838"/>
          <w:pgMar w:top="1440" w:right="1080" w:bottom="1440" w:left="1080" w:header="851" w:footer="992" w:gutter="0"/>
          <w:cols w:space="720" w:num="1"/>
          <w:docGrid w:type="lines" w:linePitch="312" w:charSpace="0"/>
        </w:sectPr>
      </w:pPr>
    </w:p>
    <w:p w14:paraId="0D78AB69">
      <w:pPr>
        <w:pStyle w:val="31"/>
        <w:spacing w:before="100" w:beforeAutospacing="1" w:after="100" w:afterAutospacing="1" w:line="415" w:lineRule="auto"/>
        <w:ind w:left="1440"/>
        <w:rPr>
          <w:rFonts w:ascii="楷体_GB2312" w:hAnsi="宋体" w:eastAsia="楷体_GB2312" w:cs="宋体"/>
          <w:sz w:val="44"/>
          <w:szCs w:val="44"/>
        </w:rPr>
      </w:pPr>
      <w:r>
        <w:rPr>
          <w:rFonts w:hint="eastAsia" w:ascii="楷体_GB2312" w:hAnsi="宋体" w:eastAsia="楷体_GB2312" w:cs="宋体"/>
          <w:sz w:val="44"/>
          <w:szCs w:val="44"/>
        </w:rPr>
        <w:t>第三章 采购内容与要求</w:t>
      </w:r>
    </w:p>
    <w:p w14:paraId="34DBA0F4"/>
    <w:p w14:paraId="66D72D9F">
      <w:pPr>
        <w:sectPr>
          <w:headerReference r:id="rId13" w:type="first"/>
          <w:footerReference r:id="rId14" w:type="default"/>
          <w:headerReference r:id="rId12" w:type="even"/>
          <w:pgSz w:w="11906" w:h="16838"/>
          <w:pgMar w:top="1440" w:right="1077" w:bottom="1440" w:left="1077" w:header="851" w:footer="992" w:gutter="0"/>
          <w:cols w:space="720" w:num="1"/>
          <w:docGrid w:type="lines" w:linePitch="312" w:charSpace="0"/>
        </w:sectPr>
      </w:pPr>
    </w:p>
    <w:p w14:paraId="59259B26">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第一部分 项目背景</w:t>
      </w:r>
    </w:p>
    <w:p w14:paraId="3E09300C">
      <w:pPr>
        <w:spacing w:line="560" w:lineRule="exact"/>
        <w:ind w:firstLine="562" w:firstLineChars="200"/>
        <w:rPr>
          <w:rFonts w:ascii="黑体" w:hAnsi="黑体" w:eastAsia="黑体"/>
          <w:b/>
          <w:sz w:val="28"/>
          <w:szCs w:val="21"/>
        </w:rPr>
      </w:pPr>
      <w:r>
        <w:rPr>
          <w:rFonts w:hint="eastAsia" w:ascii="黑体" w:hAnsi="黑体" w:eastAsia="黑体"/>
          <w:b/>
          <w:sz w:val="28"/>
          <w:szCs w:val="21"/>
        </w:rPr>
        <w:t>一、项目概况</w:t>
      </w:r>
    </w:p>
    <w:p w14:paraId="0E17BA8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项目名称：乳山市500MW/1000MWh电化学储能项目可研报告及电力接入系统论证报告</w:t>
      </w:r>
    </w:p>
    <w:p w14:paraId="28543D9B">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项目编号：SDHZ2024-028</w:t>
      </w:r>
    </w:p>
    <w:p w14:paraId="76DCD80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项目概况说明：为进一步加快我市新型储能产业发展，提高我市新能源消纳能力、保障电网安全平稳运行，经研究，计划在乳建设500MW/1000MWh电化学储能项目，现需进行项目可研报告及项目电力接入系统论证报告编制工作。</w:t>
      </w:r>
      <w:r>
        <w:rPr>
          <w:rFonts w:ascii="仿宋_GB2312" w:hAnsi="宋体" w:eastAsia="仿宋_GB2312"/>
          <w:sz w:val="28"/>
          <w:szCs w:val="21"/>
        </w:rPr>
        <w:t xml:space="preserve">   </w:t>
      </w:r>
    </w:p>
    <w:p w14:paraId="599C47F6">
      <w:pPr>
        <w:spacing w:line="560" w:lineRule="exact"/>
        <w:ind w:firstLine="562" w:firstLineChars="200"/>
        <w:rPr>
          <w:rFonts w:ascii="黑体" w:hAnsi="黑体" w:eastAsia="黑体"/>
          <w:b/>
          <w:sz w:val="28"/>
          <w:szCs w:val="21"/>
        </w:rPr>
      </w:pPr>
      <w:r>
        <w:rPr>
          <w:rFonts w:hint="eastAsia" w:ascii="黑体" w:hAnsi="黑体" w:eastAsia="黑体"/>
          <w:b/>
          <w:sz w:val="28"/>
          <w:szCs w:val="21"/>
        </w:rPr>
        <w:t>二、采购目标</w:t>
      </w:r>
    </w:p>
    <w:p w14:paraId="2BAE3F24">
      <w:pPr>
        <w:pStyle w:val="65"/>
        <w:spacing w:line="560" w:lineRule="exact"/>
        <w:ind w:firstLine="560"/>
        <w:rPr>
          <w:rFonts w:ascii="仿宋_GB2312" w:hAnsi="宋体" w:eastAsia="仿宋_GB2312"/>
        </w:rPr>
      </w:pPr>
      <w:r>
        <w:rPr>
          <w:rFonts w:hint="eastAsia" w:ascii="仿宋_GB2312" w:hAnsi="宋体" w:eastAsia="仿宋_GB2312"/>
        </w:rPr>
        <w:t>采购标的需实现的功能或者目标：完成乳山市500MW/1000MWh电化学储能项目可研报告及电力接入系统论证报告采购</w:t>
      </w:r>
    </w:p>
    <w:p w14:paraId="4C51CE4E">
      <w:pPr>
        <w:pStyle w:val="65"/>
        <w:spacing w:line="560" w:lineRule="exact"/>
        <w:ind w:firstLine="560"/>
        <w:rPr>
          <w:rFonts w:ascii="仿宋_GB2312" w:hAnsi="宋体" w:eastAsia="仿宋_GB2312"/>
        </w:rPr>
      </w:pPr>
      <w:r>
        <w:rPr>
          <w:rFonts w:hint="eastAsia" w:ascii="仿宋_GB2312" w:hAnsi="宋体" w:eastAsia="仿宋_GB2312"/>
        </w:rPr>
        <w:t>为落实政府采购政策需满足的要求：</w:t>
      </w:r>
    </w:p>
    <w:p w14:paraId="3D4B153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①所报产品属于《关于调整优化节能产品、环境标志产品政府采购执行机制的通知》（财库〔2019〕9号）规定的政府优先采购范围的，投标（响应）文件中需提供国家确定的认证机构出具的、处于有效期之内的节能产品、环境标志产品认证证书扫描件。采用综合评分法的项目在打分时由评委根据各供应商所报节能、环保产品的报价在其总报价中所占的比重，分别给予报价和技术部分总分值×（节能、环保产品报价/总报价）×5％的加分。所报产品属于《节能产品政府采购品目清单》中规定的政府强制采购节能品目的，不给予优惠政策的加分/价格扣除。</w:t>
      </w:r>
    </w:p>
    <w:p w14:paraId="2ACDEC40">
      <w:pPr>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②</w:t>
      </w:r>
      <w:r>
        <w:rPr>
          <w:rFonts w:ascii="仿宋_GB2312" w:hAnsi="宋体" w:eastAsia="仿宋_GB2312"/>
          <w:sz w:val="28"/>
          <w:szCs w:val="28"/>
        </w:rPr>
        <w:t>本项目为非专门向中小企业采购项目，若供应商提报的货物全部由小微企业制造，根据财政部、工信部等部委发布的《关于印发&lt;政府采购促进中小企业发展管理办法&gt;的通知》（财库〔2020〕46号）及工信部等部委发布的《关于印发中小企业划型标准规定的通知》（工信部联企业[2011]300 号）的规定，对小型和微型企业的价格给予工程5%；非工程10%的扣除，用扣除后的价格参与评审，须提供货物制造商的《中小企业声明函》，否则不给予价格扣除。在货物采购项目中，供应商提供的货物含有中型或大型企业制造的货物不享受上述优惠政策。</w:t>
      </w:r>
    </w:p>
    <w:p w14:paraId="4EDA66B9">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③</w:t>
      </w:r>
      <w:r>
        <w:rPr>
          <w:rFonts w:ascii="仿宋_GB2312" w:hAnsi="宋体" w:eastAsia="仿宋_GB2312"/>
          <w:sz w:val="28"/>
          <w:szCs w:val="28"/>
        </w:rPr>
        <w:t>若供应商为监狱企业，根据财政部、司法部发布的《关于政府采购支持监狱企业发展有关问题的通知》（财库〔2014〕68号）的规定，在政府采购活动中，监狱企业视同小型、微型企业，享受评审中价格扣除的政府采购政策。监狱企业在价格评审中给予相应产品最终报价10%的价格扣除，用扣除后的价格参与评审。响应时须提供省级以上监狱管理局、戒毒管理局（含新疆生产建设兵团）出具的属于监狱企业的证明文件，否则不给予价格扣除。</w:t>
      </w:r>
    </w:p>
    <w:p w14:paraId="6F62A362">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w:t>
      </w:r>
      <w:r>
        <w:rPr>
          <w:rFonts w:ascii="仿宋_GB2312" w:hAnsi="仿宋" w:eastAsia="仿宋_GB2312" w:cs="宋体"/>
          <w:sz w:val="28"/>
          <w:szCs w:val="28"/>
        </w:rPr>
        <w:t>若供应商为残疾人福利性单位，对残疾人福利性单位产品（服务）的价格给予10%的扣除，用扣除后的价格参与评审。残疾人福利性单位需符合《财政部民政部中国残疾人联合会关于促进残疾人就业政府采购政策的通知》（财库〔2017〕141号）规定的条件，并提供《残疾人福利性单位声明函》。残疾人福利性单位属于小型、微型企业的，不再给予价格扣除。</w:t>
      </w:r>
    </w:p>
    <w:p w14:paraId="1C347BDD">
      <w:pPr>
        <w:pStyle w:val="65"/>
        <w:spacing w:line="560" w:lineRule="exact"/>
        <w:ind w:firstLine="560"/>
        <w:rPr>
          <w:rFonts w:ascii="仿宋_GB2312" w:hAnsi="宋体" w:eastAsia="仿宋_GB2312"/>
        </w:rPr>
      </w:pPr>
      <w:r>
        <w:rPr>
          <w:rFonts w:ascii="仿宋_GB2312" w:hAnsi="仿宋" w:eastAsia="仿宋_GB2312" w:cs="宋体"/>
        </w:rPr>
        <w:t>⑤接受联合体响应的项目，供应商联合协议中约定，小型、微型企业和残疾人福利性单位的合同金额占到合同总金额30%以上的，可给予联合体4%的价格扣除。监狱企业的协议合同金额占到联合体协议合同总金额30%以上的，可给予联合体4%的价格扣除。联合体各方均为小型、微型企业、残疾人福利性单位和监狱企业的，联合体视同为小型、微型企业、残疾人福利性单位和监狱企业。</w:t>
      </w:r>
    </w:p>
    <w:p w14:paraId="5FB31FA5">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三、采购预算</w:t>
      </w:r>
    </w:p>
    <w:p w14:paraId="251F13AF">
      <w:pPr>
        <w:pStyle w:val="65"/>
        <w:spacing w:line="560" w:lineRule="exact"/>
        <w:ind w:firstLine="560"/>
        <w:rPr>
          <w:rFonts w:ascii="仿宋_GB2312" w:hAnsi="宋体" w:eastAsia="仿宋_GB2312"/>
        </w:rPr>
      </w:pPr>
      <w:r>
        <w:rPr>
          <w:rFonts w:hint="eastAsia" w:ascii="仿宋_GB2312" w:hAnsi="宋体" w:eastAsia="仿宋_GB2312"/>
        </w:rPr>
        <w:t>本项目包段的采购预算金额为1150000.00元。</w:t>
      </w:r>
    </w:p>
    <w:p w14:paraId="514B80E6">
      <w:pPr>
        <w:spacing w:line="560" w:lineRule="exact"/>
        <w:ind w:firstLine="562" w:firstLineChars="200"/>
        <w:rPr>
          <w:rFonts w:ascii="黑体" w:hAnsi="黑体" w:eastAsia="黑体"/>
          <w:b/>
          <w:sz w:val="28"/>
          <w:szCs w:val="21"/>
        </w:rPr>
      </w:pPr>
      <w:r>
        <w:rPr>
          <w:rFonts w:hint="eastAsia" w:ascii="黑体" w:hAnsi="黑体" w:eastAsia="黑体"/>
          <w:b/>
          <w:sz w:val="28"/>
          <w:szCs w:val="21"/>
        </w:rPr>
        <w:t>四、采购方式</w:t>
      </w:r>
    </w:p>
    <w:p w14:paraId="775CBB09">
      <w:pPr>
        <w:pStyle w:val="65"/>
        <w:spacing w:line="560" w:lineRule="exact"/>
        <w:ind w:firstLine="560"/>
        <w:rPr>
          <w:rFonts w:ascii="仿宋_GB2312" w:hAnsi="宋体" w:eastAsia="仿宋_GB2312"/>
        </w:rPr>
      </w:pPr>
      <w:r>
        <w:rPr>
          <w:rFonts w:hint="eastAsia" w:ascii="仿宋_GB2312" w:hAnsi="宋体" w:eastAsia="仿宋_GB2312"/>
        </w:rPr>
        <w:t>本项目包段采用竞争性磋商方式进行采购。</w:t>
      </w:r>
    </w:p>
    <w:p w14:paraId="4061B208">
      <w:pPr>
        <w:widowControl/>
        <w:spacing w:line="560" w:lineRule="exact"/>
        <w:ind w:firstLine="643" w:firstLineChars="200"/>
        <w:jc w:val="center"/>
        <w:rPr>
          <w:rFonts w:ascii="楷体_GB2312" w:hAnsi="宋体" w:eastAsia="楷体_GB2312"/>
          <w:b/>
          <w:bCs/>
          <w:kern w:val="44"/>
          <w:sz w:val="32"/>
          <w:szCs w:val="30"/>
        </w:rPr>
        <w:sectPr>
          <w:headerReference r:id="rId15" w:type="default"/>
          <w:footerReference r:id="rId16" w:type="default"/>
          <w:pgSz w:w="11906" w:h="16838"/>
          <w:pgMar w:top="1440" w:right="1077" w:bottom="1440" w:left="1077" w:header="851" w:footer="992" w:gutter="0"/>
          <w:cols w:space="720" w:num="1"/>
          <w:docGrid w:type="lines" w:linePitch="312" w:charSpace="0"/>
        </w:sectPr>
      </w:pPr>
    </w:p>
    <w:p w14:paraId="108E4E9B">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第二部分 采购清单及技术参数</w:t>
      </w:r>
    </w:p>
    <w:p w14:paraId="27096B74">
      <w:pPr>
        <w:pStyle w:val="14"/>
        <w:spacing w:line="560" w:lineRule="exact"/>
        <w:ind w:firstLine="560" w:firstLineChars="200"/>
        <w:rPr>
          <w:rFonts w:ascii="仿宋_GB2312" w:hAnsi="宋体" w:eastAsia="仿宋_GB2312"/>
          <w:szCs w:val="21"/>
        </w:rPr>
      </w:pPr>
      <w:r>
        <w:rPr>
          <w:rFonts w:hint="eastAsia" w:ascii="仿宋_GB2312" w:hAnsi="宋体" w:eastAsia="仿宋_GB2312"/>
          <w:szCs w:val="21"/>
        </w:rPr>
        <w:t xml:space="preserve">本项目包段的采购标的物如下，供应商需逐项进行报价：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993"/>
        <w:gridCol w:w="734"/>
        <w:gridCol w:w="4027"/>
        <w:gridCol w:w="645"/>
        <w:gridCol w:w="930"/>
        <w:gridCol w:w="5062"/>
      </w:tblGrid>
      <w:tr w14:paraId="6C0E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D9D9D9"/>
            <w:vAlign w:val="center"/>
          </w:tcPr>
          <w:p w14:paraId="7292784D">
            <w:pPr>
              <w:jc w:val="center"/>
              <w:rPr>
                <w:rFonts w:ascii="仿宋_GB2312" w:hAnsi="宋体" w:eastAsia="仿宋_GB2312"/>
                <w:b/>
                <w:sz w:val="24"/>
              </w:rPr>
            </w:pPr>
            <w:r>
              <w:rPr>
                <w:rFonts w:hint="eastAsia" w:ascii="仿宋_GB2312" w:hAnsi="宋体" w:eastAsia="仿宋_GB2312"/>
                <w:b/>
                <w:sz w:val="24"/>
              </w:rPr>
              <w:t>序号</w:t>
            </w:r>
          </w:p>
        </w:tc>
        <w:tc>
          <w:tcPr>
            <w:tcW w:w="993" w:type="dxa"/>
            <w:tcBorders>
              <w:top w:val="single" w:color="auto" w:sz="4" w:space="0"/>
              <w:left w:val="single" w:color="auto" w:sz="4" w:space="0"/>
              <w:bottom w:val="single" w:color="auto" w:sz="4" w:space="0"/>
              <w:right w:val="single" w:color="auto" w:sz="4" w:space="0"/>
            </w:tcBorders>
            <w:shd w:val="clear" w:color="auto" w:fill="D9D9D9"/>
            <w:vAlign w:val="center"/>
          </w:tcPr>
          <w:p w14:paraId="492D20D5">
            <w:pPr>
              <w:jc w:val="center"/>
              <w:rPr>
                <w:rFonts w:ascii="仿宋_GB2312" w:hAnsi="宋体" w:eastAsia="仿宋_GB2312"/>
                <w:b/>
                <w:sz w:val="24"/>
              </w:rPr>
            </w:pPr>
            <w:r>
              <w:rPr>
                <w:rFonts w:hint="eastAsia" w:ascii="仿宋_GB2312" w:hAnsi="宋体" w:eastAsia="仿宋_GB2312"/>
                <w:b/>
                <w:sz w:val="24"/>
              </w:rPr>
              <w:t>分类</w:t>
            </w:r>
          </w:p>
        </w:tc>
        <w:tc>
          <w:tcPr>
            <w:tcW w:w="734" w:type="dxa"/>
            <w:tcBorders>
              <w:top w:val="single" w:color="auto" w:sz="4" w:space="0"/>
              <w:left w:val="single" w:color="auto" w:sz="4" w:space="0"/>
              <w:bottom w:val="single" w:color="auto" w:sz="4" w:space="0"/>
              <w:right w:val="single" w:color="auto" w:sz="4" w:space="0"/>
            </w:tcBorders>
            <w:shd w:val="clear" w:color="auto" w:fill="D9D9D9"/>
            <w:vAlign w:val="center"/>
          </w:tcPr>
          <w:p w14:paraId="59B51AA7">
            <w:pPr>
              <w:jc w:val="center"/>
              <w:rPr>
                <w:rFonts w:ascii="仿宋_GB2312" w:hAnsi="宋体" w:eastAsia="仿宋_GB2312"/>
                <w:b/>
                <w:sz w:val="24"/>
              </w:rPr>
            </w:pPr>
            <w:r>
              <w:rPr>
                <w:rFonts w:hint="eastAsia" w:ascii="仿宋_GB2312" w:hAnsi="宋体" w:eastAsia="仿宋_GB2312"/>
                <w:b/>
                <w:sz w:val="24"/>
              </w:rPr>
              <w:t>清单</w:t>
            </w:r>
          </w:p>
          <w:p w14:paraId="088DE0E1">
            <w:pPr>
              <w:jc w:val="center"/>
              <w:rPr>
                <w:rFonts w:ascii="仿宋_GB2312" w:hAnsi="宋体" w:eastAsia="仿宋_GB2312"/>
                <w:b/>
                <w:sz w:val="24"/>
              </w:rPr>
            </w:pPr>
            <w:r>
              <w:rPr>
                <w:rFonts w:hint="eastAsia" w:ascii="仿宋_GB2312" w:hAnsi="宋体" w:eastAsia="仿宋_GB2312"/>
                <w:b/>
                <w:sz w:val="24"/>
              </w:rPr>
              <w:t>分组</w:t>
            </w:r>
          </w:p>
        </w:tc>
        <w:tc>
          <w:tcPr>
            <w:tcW w:w="4027" w:type="dxa"/>
            <w:tcBorders>
              <w:top w:val="single" w:color="auto" w:sz="4" w:space="0"/>
              <w:left w:val="single" w:color="auto" w:sz="4" w:space="0"/>
              <w:bottom w:val="single" w:color="auto" w:sz="4" w:space="0"/>
              <w:right w:val="single" w:color="auto" w:sz="4" w:space="0"/>
            </w:tcBorders>
            <w:shd w:val="clear" w:color="auto" w:fill="D9D9D9"/>
            <w:vAlign w:val="center"/>
          </w:tcPr>
          <w:p w14:paraId="600D37E7">
            <w:pPr>
              <w:jc w:val="center"/>
              <w:rPr>
                <w:rFonts w:ascii="仿宋_GB2312" w:hAnsi="宋体" w:eastAsia="仿宋_GB2312"/>
                <w:b/>
                <w:sz w:val="24"/>
              </w:rPr>
            </w:pPr>
            <w:r>
              <w:rPr>
                <w:rFonts w:hint="eastAsia" w:ascii="仿宋_GB2312" w:hAnsi="宋体" w:eastAsia="仿宋_GB2312"/>
                <w:b/>
                <w:sz w:val="24"/>
              </w:rPr>
              <w:t>清单名称</w:t>
            </w:r>
          </w:p>
        </w:tc>
        <w:tc>
          <w:tcPr>
            <w:tcW w:w="645" w:type="dxa"/>
            <w:tcBorders>
              <w:top w:val="single" w:color="auto" w:sz="4" w:space="0"/>
              <w:left w:val="single" w:color="auto" w:sz="4" w:space="0"/>
              <w:bottom w:val="single" w:color="auto" w:sz="4" w:space="0"/>
              <w:right w:val="single" w:color="auto" w:sz="4" w:space="0"/>
            </w:tcBorders>
            <w:shd w:val="clear" w:color="auto" w:fill="D9D9D9"/>
            <w:vAlign w:val="center"/>
          </w:tcPr>
          <w:p w14:paraId="5C5CB93A">
            <w:pPr>
              <w:jc w:val="center"/>
              <w:rPr>
                <w:rFonts w:ascii="仿宋_GB2312" w:hAnsi="宋体" w:eastAsia="仿宋_GB2312"/>
                <w:b/>
                <w:sz w:val="24"/>
              </w:rPr>
            </w:pPr>
            <w:r>
              <w:rPr>
                <w:rFonts w:hint="eastAsia" w:ascii="仿宋_GB2312" w:hAnsi="宋体" w:eastAsia="仿宋_GB2312"/>
                <w:b/>
                <w:sz w:val="24"/>
              </w:rPr>
              <w:t>数量</w:t>
            </w:r>
          </w:p>
        </w:tc>
        <w:tc>
          <w:tcPr>
            <w:tcW w:w="930" w:type="dxa"/>
            <w:tcBorders>
              <w:top w:val="single" w:color="auto" w:sz="4" w:space="0"/>
              <w:left w:val="single" w:color="auto" w:sz="4" w:space="0"/>
              <w:bottom w:val="single" w:color="auto" w:sz="4" w:space="0"/>
              <w:right w:val="single" w:color="auto" w:sz="4" w:space="0"/>
            </w:tcBorders>
            <w:shd w:val="clear" w:color="auto" w:fill="D9D9D9"/>
            <w:vAlign w:val="center"/>
          </w:tcPr>
          <w:p w14:paraId="6D9F1DE4">
            <w:pPr>
              <w:jc w:val="center"/>
              <w:rPr>
                <w:rFonts w:ascii="仿宋_GB2312" w:hAnsi="宋体" w:eastAsia="仿宋_GB2312"/>
                <w:b/>
                <w:sz w:val="24"/>
              </w:rPr>
            </w:pPr>
            <w:r>
              <w:rPr>
                <w:rFonts w:hint="eastAsia" w:ascii="仿宋_GB2312" w:hAnsi="宋体" w:eastAsia="仿宋_GB2312"/>
                <w:b/>
                <w:sz w:val="24"/>
              </w:rPr>
              <w:t>单位</w:t>
            </w:r>
          </w:p>
        </w:tc>
        <w:tc>
          <w:tcPr>
            <w:tcW w:w="5062" w:type="dxa"/>
            <w:tcBorders>
              <w:top w:val="single" w:color="auto" w:sz="4" w:space="0"/>
              <w:left w:val="single" w:color="auto" w:sz="4" w:space="0"/>
              <w:bottom w:val="single" w:color="auto" w:sz="4" w:space="0"/>
              <w:right w:val="single" w:color="auto" w:sz="4" w:space="0"/>
            </w:tcBorders>
            <w:shd w:val="clear" w:color="auto" w:fill="D9D9D9"/>
            <w:vAlign w:val="center"/>
          </w:tcPr>
          <w:p w14:paraId="170BD94B">
            <w:pPr>
              <w:jc w:val="center"/>
              <w:rPr>
                <w:rFonts w:ascii="仿宋_GB2312" w:hAnsi="宋体" w:eastAsia="仿宋_GB2312"/>
                <w:b/>
                <w:sz w:val="24"/>
              </w:rPr>
            </w:pPr>
            <w:r>
              <w:rPr>
                <w:rFonts w:hint="eastAsia" w:ascii="仿宋_GB2312" w:hAnsi="宋体" w:eastAsia="仿宋_GB2312"/>
                <w:b/>
                <w:sz w:val="24"/>
              </w:rPr>
              <w:t>功能与技术参数</w:t>
            </w:r>
          </w:p>
        </w:tc>
      </w:tr>
      <w:tr w14:paraId="168E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DC898B2">
            <w:pPr>
              <w:jc w:val="center"/>
              <w:rPr>
                <w:rFonts w:ascii="仿宋_GB2312" w:hAnsi="宋体" w:eastAsia="仿宋_GB2312"/>
                <w:sz w:val="24"/>
              </w:rPr>
            </w:pPr>
            <w:r>
              <w:rPr>
                <w:rFonts w:hint="eastAsia" w:ascii="仿宋_GB2312" w:hAnsi="宋体" w:eastAsia="仿宋_GB2312"/>
                <w:sz w:val="24"/>
              </w:rPr>
              <w:t>1</w:t>
            </w:r>
          </w:p>
        </w:tc>
        <w:tc>
          <w:tcPr>
            <w:tcW w:w="993" w:type="dxa"/>
            <w:tcBorders>
              <w:top w:val="single" w:color="auto" w:sz="4" w:space="0"/>
              <w:left w:val="single" w:color="auto" w:sz="4" w:space="0"/>
              <w:bottom w:val="single" w:color="auto" w:sz="4" w:space="0"/>
              <w:right w:val="single" w:color="auto" w:sz="4" w:space="0"/>
            </w:tcBorders>
            <w:vAlign w:val="center"/>
          </w:tcPr>
          <w:p w14:paraId="29866908">
            <w:pPr>
              <w:jc w:val="center"/>
              <w:rPr>
                <w:rFonts w:ascii="仿宋_GB2312" w:hAnsi="宋体" w:eastAsia="仿宋_GB2312"/>
                <w:sz w:val="24"/>
              </w:rPr>
            </w:pPr>
            <w:r>
              <w:rPr>
                <w:rFonts w:hint="eastAsia" w:ascii="仿宋_GB2312" w:hAnsi="宋体" w:eastAsia="仿宋_GB2312"/>
                <w:sz w:val="24"/>
              </w:rPr>
              <w:t>服务</w:t>
            </w:r>
          </w:p>
        </w:tc>
        <w:tc>
          <w:tcPr>
            <w:tcW w:w="734" w:type="dxa"/>
            <w:tcBorders>
              <w:top w:val="single" w:color="auto" w:sz="4" w:space="0"/>
              <w:left w:val="single" w:color="auto" w:sz="4" w:space="0"/>
              <w:bottom w:val="single" w:color="auto" w:sz="4" w:space="0"/>
              <w:right w:val="single" w:color="auto" w:sz="4" w:space="0"/>
            </w:tcBorders>
            <w:vAlign w:val="center"/>
          </w:tcPr>
          <w:p w14:paraId="3553A5FB">
            <w:pPr>
              <w:jc w:val="center"/>
              <w:rPr>
                <w:rFonts w:ascii="仿宋_GB2312" w:hAnsi="宋体" w:eastAsia="仿宋_GB2312"/>
                <w:sz w:val="24"/>
              </w:rPr>
            </w:pPr>
            <w:r>
              <w:rPr>
                <w:rFonts w:hint="eastAsia" w:ascii="仿宋_GB2312" w:hAnsi="宋体" w:eastAsia="仿宋_GB2312"/>
                <w:sz w:val="24"/>
              </w:rPr>
              <w:t>A包</w:t>
            </w:r>
          </w:p>
        </w:tc>
        <w:tc>
          <w:tcPr>
            <w:tcW w:w="4027" w:type="dxa"/>
            <w:tcBorders>
              <w:top w:val="single" w:color="auto" w:sz="4" w:space="0"/>
              <w:left w:val="single" w:color="auto" w:sz="4" w:space="0"/>
              <w:bottom w:val="single" w:color="auto" w:sz="4" w:space="0"/>
              <w:right w:val="single" w:color="auto" w:sz="4" w:space="0"/>
            </w:tcBorders>
            <w:vAlign w:val="center"/>
          </w:tcPr>
          <w:p w14:paraId="775E5CB2">
            <w:pPr>
              <w:jc w:val="center"/>
              <w:rPr>
                <w:rFonts w:ascii="仿宋_GB2312" w:hAnsi="宋体" w:eastAsia="仿宋_GB2312"/>
                <w:sz w:val="24"/>
              </w:rPr>
            </w:pPr>
            <w:r>
              <w:rPr>
                <w:rFonts w:hint="eastAsia" w:ascii="仿宋_GB2312" w:hAnsi="宋体" w:eastAsia="仿宋_GB2312"/>
                <w:sz w:val="24"/>
              </w:rPr>
              <w:t>乳山市500MW/1000MWh电化学储能项</w:t>
            </w:r>
            <w:r>
              <w:rPr>
                <w:rFonts w:hint="eastAsia" w:ascii="仿宋_GB2312" w:hAnsi="宋体" w:eastAsia="仿宋_GB2312"/>
                <w:sz w:val="24"/>
                <w:u w:val="none"/>
              </w:rPr>
              <w:t>目</w:t>
            </w:r>
            <w:r>
              <w:rPr>
                <w:rFonts w:hint="eastAsia" w:ascii="仿宋_GB2312" w:hAnsi="宋体" w:eastAsia="仿宋_GB2312"/>
                <w:sz w:val="24"/>
              </w:rPr>
              <w:t>可研报告及电力接入系统论证报告</w:t>
            </w:r>
          </w:p>
        </w:tc>
        <w:tc>
          <w:tcPr>
            <w:tcW w:w="645" w:type="dxa"/>
            <w:tcBorders>
              <w:top w:val="single" w:color="auto" w:sz="4" w:space="0"/>
              <w:left w:val="single" w:color="auto" w:sz="4" w:space="0"/>
              <w:bottom w:val="single" w:color="auto" w:sz="4" w:space="0"/>
              <w:right w:val="single" w:color="auto" w:sz="4" w:space="0"/>
            </w:tcBorders>
            <w:vAlign w:val="center"/>
          </w:tcPr>
          <w:p w14:paraId="4D5FD878">
            <w:pPr>
              <w:jc w:val="center"/>
              <w:rPr>
                <w:rFonts w:ascii="仿宋_GB2312" w:hAnsi="宋体" w:eastAsia="仿宋_GB2312"/>
                <w:sz w:val="24"/>
              </w:rPr>
            </w:pPr>
            <w:r>
              <w:rPr>
                <w:rFonts w:hint="eastAsia" w:ascii="仿宋_GB2312" w:hAnsi="宋体" w:eastAsia="仿宋_GB2312"/>
                <w:sz w:val="24"/>
              </w:rPr>
              <w:t>1</w:t>
            </w:r>
          </w:p>
        </w:tc>
        <w:tc>
          <w:tcPr>
            <w:tcW w:w="930" w:type="dxa"/>
            <w:tcBorders>
              <w:top w:val="single" w:color="auto" w:sz="4" w:space="0"/>
              <w:left w:val="single" w:color="auto" w:sz="4" w:space="0"/>
              <w:bottom w:val="single" w:color="auto" w:sz="4" w:space="0"/>
              <w:right w:val="single" w:color="auto" w:sz="4" w:space="0"/>
            </w:tcBorders>
            <w:vAlign w:val="center"/>
          </w:tcPr>
          <w:p w14:paraId="4D42FC4B">
            <w:pPr>
              <w:jc w:val="center"/>
              <w:rPr>
                <w:rFonts w:ascii="仿宋_GB2312" w:hAnsi="宋体" w:eastAsia="仿宋_GB2312"/>
                <w:sz w:val="24"/>
              </w:rPr>
            </w:pPr>
            <w:r>
              <w:rPr>
                <w:rFonts w:hint="eastAsia" w:ascii="仿宋_GB2312" w:hAnsi="宋体" w:eastAsia="仿宋_GB2312"/>
                <w:sz w:val="24"/>
              </w:rPr>
              <w:t>宗</w:t>
            </w:r>
          </w:p>
        </w:tc>
        <w:tc>
          <w:tcPr>
            <w:tcW w:w="5062" w:type="dxa"/>
            <w:tcBorders>
              <w:top w:val="single" w:color="auto" w:sz="4" w:space="0"/>
              <w:left w:val="single" w:color="auto" w:sz="4" w:space="0"/>
              <w:bottom w:val="single" w:color="auto" w:sz="4" w:space="0"/>
              <w:right w:val="single" w:color="auto" w:sz="4" w:space="0"/>
            </w:tcBorders>
          </w:tcPr>
          <w:p w14:paraId="749B9C05">
            <w:pPr>
              <w:jc w:val="left"/>
              <w:rPr>
                <w:rFonts w:ascii="仿宋_GB2312" w:hAnsi="宋体" w:eastAsia="仿宋_GB2312"/>
                <w:sz w:val="24"/>
              </w:rPr>
            </w:pPr>
          </w:p>
          <w:p w14:paraId="59C1871C">
            <w:pPr>
              <w:jc w:val="left"/>
              <w:rPr>
                <w:rFonts w:ascii="仿宋_GB2312" w:hAnsi="宋体" w:eastAsia="仿宋_GB2312"/>
                <w:sz w:val="24"/>
              </w:rPr>
            </w:pPr>
            <w:r>
              <w:rPr>
                <w:rFonts w:hint="eastAsia" w:ascii="仿宋_GB2312" w:hAnsi="宋体" w:eastAsia="仿宋_GB2312"/>
                <w:sz w:val="24"/>
              </w:rPr>
              <w:t>详见磋商文件</w:t>
            </w:r>
          </w:p>
        </w:tc>
      </w:tr>
    </w:tbl>
    <w:p w14:paraId="76457B75">
      <w:pPr>
        <w:widowControl/>
        <w:spacing w:line="200" w:lineRule="exact"/>
        <w:ind w:firstLine="200" w:firstLineChars="200"/>
        <w:jc w:val="center"/>
        <w:rPr>
          <w:rFonts w:ascii="仿宋_GB2312" w:hAnsi="宋体" w:eastAsia="仿宋_GB2312"/>
          <w:sz w:val="10"/>
          <w:szCs w:val="10"/>
        </w:rPr>
      </w:pPr>
    </w:p>
    <w:p w14:paraId="0D518993">
      <w:pPr>
        <w:widowControl/>
        <w:spacing w:line="560" w:lineRule="exact"/>
        <w:ind w:firstLine="560" w:firstLineChars="200"/>
        <w:jc w:val="left"/>
        <w:rPr>
          <w:rFonts w:ascii="仿宋_GB2312" w:hAnsi="宋体" w:eastAsia="仿宋_GB2312"/>
          <w:sz w:val="28"/>
          <w:szCs w:val="21"/>
        </w:rPr>
      </w:pPr>
      <w:bookmarkStart w:id="1" w:name="_Hlk167178562"/>
    </w:p>
    <w:bookmarkEnd w:id="1"/>
    <w:p w14:paraId="320E6C64">
      <w:pPr>
        <w:widowControl/>
        <w:spacing w:line="560" w:lineRule="exact"/>
        <w:ind w:firstLine="643" w:firstLineChars="200"/>
        <w:jc w:val="center"/>
        <w:rPr>
          <w:rFonts w:ascii="楷体_GB2312" w:hAnsi="宋体" w:eastAsia="楷体_GB2312"/>
          <w:b/>
          <w:bCs/>
          <w:kern w:val="44"/>
          <w:sz w:val="32"/>
          <w:szCs w:val="30"/>
        </w:rPr>
        <w:sectPr>
          <w:pgSz w:w="16838" w:h="11906" w:orient="landscape"/>
          <w:pgMar w:top="1077" w:right="1440" w:bottom="1077" w:left="1440" w:header="851" w:footer="992" w:gutter="0"/>
          <w:cols w:space="720" w:num="1"/>
          <w:docGrid w:type="lines" w:linePitch="312" w:charSpace="0"/>
        </w:sectPr>
      </w:pPr>
    </w:p>
    <w:p w14:paraId="32F38779">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第三部分 技术要求</w:t>
      </w:r>
    </w:p>
    <w:p w14:paraId="7752E173">
      <w:pPr>
        <w:spacing w:line="560" w:lineRule="exact"/>
        <w:ind w:firstLine="562" w:firstLineChars="200"/>
        <w:rPr>
          <w:rFonts w:ascii="黑体" w:hAnsi="黑体" w:eastAsia="黑体"/>
          <w:b/>
          <w:sz w:val="28"/>
          <w:szCs w:val="21"/>
        </w:rPr>
      </w:pPr>
      <w:bookmarkStart w:id="2" w:name="_Hlk167178606"/>
      <w:r>
        <w:rPr>
          <w:rFonts w:hint="eastAsia" w:ascii="黑体" w:hAnsi="黑体" w:eastAsia="黑体"/>
          <w:b/>
          <w:sz w:val="28"/>
          <w:szCs w:val="21"/>
        </w:rPr>
        <w:t>一、需执行的标准</w:t>
      </w:r>
    </w:p>
    <w:p w14:paraId="30E88C0C">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1）国家相关标准：按照国家最新标准执行  </w:t>
      </w:r>
    </w:p>
    <w:p w14:paraId="577CCF3C">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2）行业标准：按照行业最新标准执行  </w:t>
      </w:r>
    </w:p>
    <w:p w14:paraId="414E1FF1">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3）地方标准：按照地方最新标准执行  </w:t>
      </w:r>
    </w:p>
    <w:p w14:paraId="50E34632">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4）其他标准：按照最新标准执行</w:t>
      </w:r>
    </w:p>
    <w:p w14:paraId="26EA06E3">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59AA957A">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1）质量要求</w:t>
      </w:r>
    </w:p>
    <w:p w14:paraId="784FA0B7">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合格 </w:t>
      </w:r>
    </w:p>
    <w:p w14:paraId="1C9EE72C">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2）安全要求</w:t>
      </w:r>
    </w:p>
    <w:p w14:paraId="4B324A7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使用安全 </w:t>
      </w:r>
    </w:p>
    <w:p w14:paraId="52AACC47">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3）交付期</w:t>
      </w:r>
    </w:p>
    <w:p w14:paraId="632C5232">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合同签订之日起15日内</w:t>
      </w:r>
    </w:p>
    <w:p w14:paraId="3B90F5E7">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4）交付（实施）地点</w:t>
      </w:r>
    </w:p>
    <w:p w14:paraId="765A7CAD">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采购人指定地点 </w:t>
      </w:r>
    </w:p>
    <w:p w14:paraId="6E6C0A45">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5）付款方式</w:t>
      </w:r>
    </w:p>
    <w:p w14:paraId="249F349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8"/>
        </w:rPr>
        <w:t>本项目无预付款，提交项目可研报告及电力接入系统论证报告后，30日内支付到合同价款的50%，方案和报告通过第三方评审并根据评审意见完成修改后支付剩余的50%。方案和报告编制完成后，非中标方原因导致180天内无法开始评审工作，视为完成编制任务，支付合同价款的80%，将来具备审查条件时双方继续履行，完全完成后支付剩余价款。</w:t>
      </w:r>
    </w:p>
    <w:p w14:paraId="25D1CAE2">
      <w:pPr>
        <w:spacing w:line="560" w:lineRule="exact"/>
        <w:ind w:firstLine="562" w:firstLineChars="200"/>
        <w:rPr>
          <w:rFonts w:ascii="黑体" w:hAnsi="黑体" w:eastAsia="黑体"/>
          <w:b/>
          <w:sz w:val="28"/>
          <w:szCs w:val="21"/>
        </w:rPr>
      </w:pPr>
      <w:r>
        <w:rPr>
          <w:rFonts w:hint="eastAsia" w:ascii="黑体" w:hAnsi="黑体" w:eastAsia="黑体"/>
          <w:b/>
          <w:sz w:val="28"/>
          <w:szCs w:val="21"/>
        </w:rPr>
        <w:t>三、服务要求</w:t>
      </w:r>
    </w:p>
    <w:p w14:paraId="51EA81A9">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服务标准</w:t>
      </w:r>
    </w:p>
    <w:p w14:paraId="69900242">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在规定的期限内，保质保量完成任务。 </w:t>
      </w:r>
    </w:p>
    <w:p w14:paraId="06071EC8">
      <w:pPr>
        <w:spacing w:line="560" w:lineRule="exact"/>
        <w:ind w:firstLine="562" w:firstLineChars="200"/>
        <w:rPr>
          <w:rFonts w:ascii="黑体" w:hAnsi="黑体" w:eastAsia="黑体"/>
          <w:b/>
          <w:sz w:val="28"/>
          <w:szCs w:val="21"/>
        </w:rPr>
      </w:pPr>
      <w:r>
        <w:rPr>
          <w:rFonts w:hint="eastAsia" w:ascii="黑体" w:hAnsi="黑体" w:eastAsia="黑体"/>
          <w:b/>
          <w:sz w:val="28"/>
          <w:szCs w:val="21"/>
        </w:rPr>
        <w:t>四、验收标准</w:t>
      </w:r>
    </w:p>
    <w:p w14:paraId="2E76DB33">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8"/>
        </w:rPr>
        <w:t xml:space="preserve">符合相关技术要求及行业标准。 </w:t>
      </w:r>
      <w:r>
        <w:rPr>
          <w:rFonts w:hint="eastAsia" w:ascii="仿宋_GB2312" w:hAnsi="宋体" w:eastAsia="仿宋_GB2312"/>
          <w:sz w:val="28"/>
          <w:szCs w:val="21"/>
        </w:rPr>
        <w:t xml:space="preserve"> </w:t>
      </w:r>
    </w:p>
    <w:p w14:paraId="747F3F0C">
      <w:pPr>
        <w:spacing w:line="560" w:lineRule="exact"/>
        <w:ind w:firstLine="562" w:firstLineChars="200"/>
        <w:rPr>
          <w:rFonts w:ascii="黑体" w:hAnsi="黑体" w:eastAsia="黑体"/>
          <w:b/>
          <w:sz w:val="28"/>
          <w:szCs w:val="21"/>
        </w:rPr>
      </w:pPr>
      <w:r>
        <w:rPr>
          <w:rFonts w:hint="eastAsia" w:ascii="黑体" w:hAnsi="黑体" w:eastAsia="黑体"/>
          <w:b/>
          <w:color w:val="FF0000"/>
          <w:sz w:val="28"/>
          <w:szCs w:val="21"/>
        </w:rPr>
        <w:t>五、其他技术及服务要求</w:t>
      </w:r>
    </w:p>
    <w:p w14:paraId="51C5782A">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 工作内容</w:t>
      </w:r>
    </w:p>
    <w:p w14:paraId="3D54EBA9">
      <w:pPr>
        <w:spacing w:line="560" w:lineRule="exact"/>
        <w:ind w:firstLine="560" w:firstLineChars="200"/>
        <w:jc w:val="left"/>
        <w:rPr>
          <w:rFonts w:ascii="仿宋_GB2312" w:hAnsi="宋体" w:eastAsia="仿宋_GB2312"/>
          <w:sz w:val="28"/>
          <w:szCs w:val="28"/>
        </w:rPr>
      </w:pPr>
      <w:r>
        <w:rPr>
          <w:rFonts w:ascii="仿宋_GB2312" w:hAnsi="宋体" w:eastAsia="仿宋_GB2312"/>
          <w:sz w:val="28"/>
          <w:szCs w:val="28"/>
        </w:rPr>
        <w:t>a.可研报告</w:t>
      </w:r>
      <w:r>
        <w:rPr>
          <w:rFonts w:hint="eastAsia" w:ascii="仿宋_GB2312" w:hAnsi="宋体" w:eastAsia="仿宋_GB2312"/>
          <w:sz w:val="28"/>
          <w:szCs w:val="28"/>
        </w:rPr>
        <w:t>编制，包括但不仅限于以下内容：项目可行性研究报告编制，并通过相关部门审查，取得批复意见，满足项目前期工作要求。（注：不包括送出工程可研；不包括主体工程初勘、详勘、施工图设计、竣工图编制等工程实施阶段内容）。供应商负责本储能项目可研报告编制全部工作，包括土建、电气（继电保护、通讯、远动、站内配电装置、防雷及接地、计算机监控系统等）、集电线路、管理站、升压站、道路（进场及施工检修道路）及附属设施以及与厂址或厂平布置有关的所有工程，以及消防可研及</w:t>
      </w:r>
      <w:r>
        <w:rPr>
          <w:rFonts w:hint="eastAsia" w:ascii="仿宋_GB2312" w:hAnsi="宋体" w:eastAsia="仿宋_GB2312"/>
          <w:sz w:val="28"/>
          <w:szCs w:val="28"/>
          <w:lang w:val="en-US" w:eastAsia="zh-CN"/>
        </w:rPr>
        <w:t>概算编制、财务评价等</w:t>
      </w:r>
      <w:r>
        <w:rPr>
          <w:rFonts w:hint="eastAsia" w:ascii="仿宋_GB2312" w:hAnsi="宋体" w:eastAsia="仿宋_GB2312"/>
          <w:sz w:val="28"/>
          <w:szCs w:val="28"/>
        </w:rPr>
        <w:t>相关服务；包括但不限于：可研设计有关的服务工作；储能工程的规划、方案、效果图等工作。</w:t>
      </w:r>
    </w:p>
    <w:p w14:paraId="3ED6A8AE">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8"/>
        </w:rPr>
        <w:t>b</w:t>
      </w:r>
      <w:r>
        <w:rPr>
          <w:rFonts w:ascii="仿宋_GB2312" w:hAnsi="宋体" w:eastAsia="仿宋_GB2312"/>
          <w:sz w:val="28"/>
          <w:szCs w:val="28"/>
        </w:rPr>
        <w:t>.</w:t>
      </w:r>
      <w:r>
        <w:rPr>
          <w:rFonts w:hint="eastAsia" w:ascii="仿宋_GB2312" w:hAnsi="宋体" w:eastAsia="仿宋_GB2312"/>
          <w:sz w:val="28"/>
          <w:szCs w:val="28"/>
        </w:rPr>
        <w:t>接入系统报告编制，包括接入系统设计方案、项目投资估算，与上述设计范围相对应的送出线路路径确定，与项目电网侧接入间隔一次、二次系统无缝衔接。</w:t>
      </w:r>
      <w:r>
        <w:rPr>
          <w:rFonts w:hint="eastAsia" w:ascii="仿宋_GB2312" w:hAnsi="宋体" w:eastAsia="仿宋_GB2312"/>
          <w:sz w:val="28"/>
          <w:szCs w:val="21"/>
        </w:rPr>
        <w:t>包括但不限于以下内容：</w:t>
      </w:r>
    </w:p>
    <w:p w14:paraId="50B1B74D">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1.1、项目接入系统方案编制的必要性及方案研究，提交满足山东电网公司和当地政府审查要求的设计文件，负责根据国家及行业的有关规定配合甲方文件审查；并按审查意见进行设计修改和补充；</w:t>
      </w:r>
    </w:p>
    <w:p w14:paraId="12CDFDBF">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1.2、接入系统引起的相关变电站及线路的建设规模，包括接入系统一次方案、二次方案设计及相关电气计算，对电气设备参数的要求；</w:t>
      </w:r>
    </w:p>
    <w:p w14:paraId="6AD95954">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1.3、接入系统保护、调度自动化、通信的配置方案；</w:t>
      </w:r>
    </w:p>
    <w:p w14:paraId="2E9C8724">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1.4、设计内容包括接入系统电压等级及方案确定、投资估算、潮流计算、短路计算等；</w:t>
      </w:r>
    </w:p>
    <w:p w14:paraId="139C0A32">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1"/>
        </w:rPr>
        <w:t>1.5、本项目系统接入方案设计内容及深度应符合国家、行业及当地相关最新标准、规范和要求。</w:t>
      </w:r>
    </w:p>
    <w:p w14:paraId="29641FB1">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 xml:space="preserve">2) 质量目标 </w:t>
      </w:r>
    </w:p>
    <w:p w14:paraId="53E4A612">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2.1、严格执行最新的国家法律、法规、行业规章制度及可研、勘察规范管理规定，保证满足项目可研的要求。</w:t>
      </w:r>
    </w:p>
    <w:p w14:paraId="06974358">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2.2、按要求进行可研、申请报告、勘察设计、现场服务等具体的组织和实施，保证勘察可研报告质量和服务质量。</w:t>
      </w:r>
    </w:p>
    <w:p w14:paraId="6DA0771A">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2.3、符合国家现行有关法令、法规、政策、标准、规范以及行业标准规范等要求。包含（但不限于）以下规范标准：</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8387"/>
      </w:tblGrid>
      <w:tr w14:paraId="2098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1" w:type="dxa"/>
            <w:vAlign w:val="center"/>
          </w:tcPr>
          <w:p w14:paraId="6C5E3DD2">
            <w:pPr>
              <w:rPr>
                <w:rFonts w:ascii="宋体" w:hAnsi="宋体" w:cs="宋体"/>
                <w:kern w:val="0"/>
                <w:szCs w:val="21"/>
              </w:rPr>
            </w:pPr>
            <w:r>
              <w:rPr>
                <w:rFonts w:hint="eastAsia" w:ascii="宋体" w:hAnsi="宋体" w:cs="宋体"/>
                <w:kern w:val="0"/>
                <w:szCs w:val="21"/>
              </w:rPr>
              <w:t>序号</w:t>
            </w:r>
          </w:p>
        </w:tc>
        <w:tc>
          <w:tcPr>
            <w:tcW w:w="8387" w:type="dxa"/>
            <w:vAlign w:val="center"/>
          </w:tcPr>
          <w:p w14:paraId="74076B12">
            <w:pPr>
              <w:rPr>
                <w:rFonts w:ascii="宋体" w:hAnsi="宋体" w:cs="宋体"/>
                <w:kern w:val="0"/>
                <w:szCs w:val="21"/>
              </w:rPr>
            </w:pPr>
            <w:r>
              <w:rPr>
                <w:rFonts w:hint="eastAsia" w:ascii="宋体" w:hAnsi="宋体" w:cs="宋体"/>
                <w:kern w:val="0"/>
                <w:szCs w:val="21"/>
              </w:rPr>
              <w:t>规范、标准名称</w:t>
            </w:r>
          </w:p>
        </w:tc>
      </w:tr>
      <w:tr w14:paraId="7A38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8A38E6F">
            <w:pPr>
              <w:numPr>
                <w:ilvl w:val="0"/>
                <w:numId w:val="1"/>
              </w:numPr>
              <w:rPr>
                <w:rFonts w:ascii="宋体" w:hAnsi="宋体" w:cs="宋体"/>
                <w:kern w:val="0"/>
                <w:szCs w:val="21"/>
              </w:rPr>
            </w:pPr>
          </w:p>
        </w:tc>
        <w:tc>
          <w:tcPr>
            <w:tcW w:w="8387" w:type="dxa"/>
            <w:vAlign w:val="center"/>
          </w:tcPr>
          <w:p w14:paraId="66A04B9C">
            <w:pPr>
              <w:rPr>
                <w:rFonts w:ascii="宋体" w:hAnsi="宋体" w:cs="宋体"/>
                <w:kern w:val="0"/>
                <w:szCs w:val="21"/>
              </w:rPr>
            </w:pPr>
            <w:r>
              <w:rPr>
                <w:rFonts w:hint="eastAsia" w:ascii="宋体" w:hAnsi="宋体" w:cs="宋体"/>
                <w:snapToGrid w:val="0"/>
                <w:szCs w:val="21"/>
              </w:rPr>
              <w:t>《电化学储能电站设计规范》（GB 51048-2014）</w:t>
            </w:r>
          </w:p>
        </w:tc>
      </w:tr>
      <w:tr w14:paraId="6DE7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1C3C4AC">
            <w:pPr>
              <w:numPr>
                <w:ilvl w:val="0"/>
                <w:numId w:val="1"/>
              </w:numPr>
              <w:rPr>
                <w:rFonts w:ascii="宋体" w:hAnsi="宋体" w:cs="宋体"/>
                <w:kern w:val="0"/>
                <w:szCs w:val="21"/>
              </w:rPr>
            </w:pPr>
          </w:p>
        </w:tc>
        <w:tc>
          <w:tcPr>
            <w:tcW w:w="8387" w:type="dxa"/>
            <w:vAlign w:val="center"/>
          </w:tcPr>
          <w:p w14:paraId="225D8ED2">
            <w:pPr>
              <w:rPr>
                <w:rFonts w:ascii="宋体" w:hAnsi="宋体" w:cs="宋体"/>
                <w:kern w:val="0"/>
                <w:szCs w:val="21"/>
              </w:rPr>
            </w:pPr>
            <w:r>
              <w:rPr>
                <w:rFonts w:hint="eastAsia" w:ascii="宋体" w:hAnsi="宋体" w:cs="宋体"/>
                <w:kern w:val="0"/>
                <w:szCs w:val="21"/>
              </w:rPr>
              <w:t>《电池储能电站设计技术规程》（QGDW11265-2014）</w:t>
            </w:r>
          </w:p>
        </w:tc>
      </w:tr>
      <w:tr w14:paraId="6B5A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8577D16">
            <w:pPr>
              <w:numPr>
                <w:ilvl w:val="0"/>
                <w:numId w:val="1"/>
              </w:numPr>
              <w:rPr>
                <w:rFonts w:ascii="宋体" w:hAnsi="宋体" w:cs="宋体"/>
                <w:kern w:val="0"/>
                <w:szCs w:val="21"/>
              </w:rPr>
            </w:pPr>
          </w:p>
        </w:tc>
        <w:tc>
          <w:tcPr>
            <w:tcW w:w="8387" w:type="dxa"/>
            <w:vAlign w:val="center"/>
          </w:tcPr>
          <w:p w14:paraId="64F84991">
            <w:pPr>
              <w:rPr>
                <w:rFonts w:ascii="宋体" w:hAnsi="宋体" w:cs="宋体"/>
                <w:kern w:val="0"/>
                <w:szCs w:val="21"/>
              </w:rPr>
            </w:pPr>
            <w:r>
              <w:rPr>
                <w:rFonts w:hint="eastAsia" w:ascii="宋体" w:hAnsi="宋体" w:cs="宋体"/>
                <w:kern w:val="0"/>
                <w:szCs w:val="21"/>
              </w:rPr>
              <w:t>《预制仓式磷酸铁锂电池储能电站消防技术规范》（T/CEC373-2020）</w:t>
            </w:r>
          </w:p>
        </w:tc>
      </w:tr>
      <w:tr w14:paraId="05EF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5B3A900">
            <w:pPr>
              <w:numPr>
                <w:ilvl w:val="0"/>
                <w:numId w:val="1"/>
              </w:numPr>
              <w:rPr>
                <w:rFonts w:ascii="宋体" w:hAnsi="宋体" w:cs="宋体"/>
                <w:kern w:val="0"/>
                <w:szCs w:val="21"/>
              </w:rPr>
            </w:pPr>
          </w:p>
        </w:tc>
        <w:tc>
          <w:tcPr>
            <w:tcW w:w="8387" w:type="dxa"/>
            <w:vAlign w:val="center"/>
          </w:tcPr>
          <w:p w14:paraId="3BDBBB08">
            <w:pPr>
              <w:adjustRightInd w:val="0"/>
              <w:rPr>
                <w:rFonts w:ascii="宋体" w:hAnsi="宋体" w:cs="宋体"/>
                <w:kern w:val="0"/>
                <w:szCs w:val="21"/>
              </w:rPr>
            </w:pPr>
            <w:r>
              <w:rPr>
                <w:rFonts w:hint="eastAsia" w:ascii="宋体" w:hAnsi="宋体" w:cs="宋体"/>
                <w:snapToGrid w:val="0"/>
                <w:kern w:val="0"/>
                <w:szCs w:val="21"/>
              </w:rPr>
              <w:t>《电力系统电化学储能系统通用技术条件》GB/T36558-2023</w:t>
            </w:r>
          </w:p>
        </w:tc>
      </w:tr>
      <w:tr w14:paraId="65A1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5D5FFEC">
            <w:pPr>
              <w:numPr>
                <w:ilvl w:val="0"/>
                <w:numId w:val="1"/>
              </w:numPr>
              <w:rPr>
                <w:rFonts w:ascii="宋体" w:hAnsi="宋体" w:cs="宋体"/>
                <w:kern w:val="0"/>
                <w:szCs w:val="21"/>
              </w:rPr>
            </w:pPr>
          </w:p>
        </w:tc>
        <w:tc>
          <w:tcPr>
            <w:tcW w:w="8387" w:type="dxa"/>
            <w:vAlign w:val="center"/>
          </w:tcPr>
          <w:p w14:paraId="782E1CE6">
            <w:pPr>
              <w:adjustRightInd w:val="0"/>
              <w:rPr>
                <w:rFonts w:ascii="宋体" w:hAnsi="宋体" w:cs="宋体"/>
                <w:snapToGrid w:val="0"/>
                <w:kern w:val="0"/>
                <w:szCs w:val="21"/>
              </w:rPr>
            </w:pPr>
            <w:r>
              <w:rPr>
                <w:rFonts w:hint="eastAsia" w:ascii="宋体" w:hAnsi="宋体" w:cs="宋体"/>
                <w:snapToGrid w:val="0"/>
                <w:kern w:val="0"/>
                <w:szCs w:val="21"/>
              </w:rPr>
              <w:t>《电化学储能电站用锂离子电池管理系统技术规范》GB/T34131-2017</w:t>
            </w:r>
          </w:p>
        </w:tc>
      </w:tr>
      <w:tr w14:paraId="2D7F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1CC5422">
            <w:pPr>
              <w:numPr>
                <w:ilvl w:val="0"/>
                <w:numId w:val="1"/>
              </w:numPr>
              <w:rPr>
                <w:rFonts w:ascii="宋体" w:hAnsi="宋体" w:cs="宋体"/>
                <w:kern w:val="0"/>
                <w:szCs w:val="21"/>
              </w:rPr>
            </w:pPr>
          </w:p>
        </w:tc>
        <w:tc>
          <w:tcPr>
            <w:tcW w:w="8387" w:type="dxa"/>
            <w:vAlign w:val="center"/>
          </w:tcPr>
          <w:p w14:paraId="580B6FD5">
            <w:pPr>
              <w:adjustRightInd w:val="0"/>
              <w:rPr>
                <w:rFonts w:ascii="宋体" w:hAnsi="宋体" w:cs="宋体"/>
                <w:snapToGrid w:val="0"/>
                <w:kern w:val="0"/>
                <w:szCs w:val="21"/>
              </w:rPr>
            </w:pPr>
            <w:r>
              <w:rPr>
                <w:rFonts w:hint="eastAsia" w:ascii="宋体" w:hAnsi="宋体" w:cs="宋体"/>
                <w:snapToGrid w:val="0"/>
                <w:kern w:val="0"/>
                <w:szCs w:val="21"/>
              </w:rPr>
              <w:t>《电化学储能系统接入电网技术规定》GB/T36547-2024</w:t>
            </w:r>
          </w:p>
        </w:tc>
      </w:tr>
      <w:tr w14:paraId="2EF8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138DBF5">
            <w:pPr>
              <w:numPr>
                <w:ilvl w:val="0"/>
                <w:numId w:val="1"/>
              </w:numPr>
              <w:rPr>
                <w:rFonts w:ascii="宋体" w:hAnsi="宋体" w:cs="宋体"/>
                <w:kern w:val="0"/>
                <w:szCs w:val="21"/>
              </w:rPr>
            </w:pPr>
          </w:p>
        </w:tc>
        <w:tc>
          <w:tcPr>
            <w:tcW w:w="8387" w:type="dxa"/>
            <w:vAlign w:val="center"/>
          </w:tcPr>
          <w:p w14:paraId="41C82020">
            <w:pPr>
              <w:adjustRightInd w:val="0"/>
              <w:rPr>
                <w:rFonts w:ascii="宋体" w:hAnsi="宋体" w:cs="宋体"/>
                <w:snapToGrid w:val="0"/>
                <w:kern w:val="0"/>
                <w:szCs w:val="21"/>
              </w:rPr>
            </w:pPr>
            <w:r>
              <w:rPr>
                <w:rFonts w:hint="eastAsia" w:ascii="宋体" w:hAnsi="宋体" w:cs="宋体"/>
                <w:snapToGrid w:val="0"/>
                <w:kern w:val="0"/>
                <w:szCs w:val="21"/>
              </w:rPr>
              <w:t>《电化学储能系统接入电网测试规范》GB/T36548-2018</w:t>
            </w:r>
          </w:p>
        </w:tc>
      </w:tr>
      <w:tr w14:paraId="5F37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71CE7EF">
            <w:pPr>
              <w:numPr>
                <w:ilvl w:val="0"/>
                <w:numId w:val="1"/>
              </w:numPr>
              <w:rPr>
                <w:rFonts w:ascii="宋体" w:hAnsi="宋体" w:cs="宋体"/>
                <w:kern w:val="0"/>
                <w:szCs w:val="21"/>
              </w:rPr>
            </w:pPr>
          </w:p>
        </w:tc>
        <w:tc>
          <w:tcPr>
            <w:tcW w:w="8387" w:type="dxa"/>
            <w:vAlign w:val="center"/>
          </w:tcPr>
          <w:p w14:paraId="19D0CEB2">
            <w:pPr>
              <w:adjustRightInd w:val="0"/>
              <w:rPr>
                <w:rFonts w:ascii="宋体" w:hAnsi="宋体" w:cs="宋体"/>
                <w:snapToGrid w:val="0"/>
                <w:kern w:val="0"/>
                <w:szCs w:val="21"/>
              </w:rPr>
            </w:pPr>
            <w:r>
              <w:rPr>
                <w:rFonts w:hint="eastAsia" w:ascii="宋体" w:hAnsi="宋体" w:cs="宋体"/>
                <w:snapToGrid w:val="0"/>
                <w:kern w:val="0"/>
                <w:szCs w:val="21"/>
              </w:rPr>
              <w:t>《电化学储能电站运行指标及评价》GB/T36549-2018</w:t>
            </w:r>
          </w:p>
        </w:tc>
      </w:tr>
      <w:tr w14:paraId="5663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48CD87D">
            <w:pPr>
              <w:numPr>
                <w:ilvl w:val="0"/>
                <w:numId w:val="1"/>
              </w:numPr>
              <w:rPr>
                <w:rFonts w:ascii="宋体" w:hAnsi="宋体" w:cs="宋体"/>
                <w:kern w:val="0"/>
                <w:szCs w:val="21"/>
              </w:rPr>
            </w:pPr>
          </w:p>
        </w:tc>
        <w:tc>
          <w:tcPr>
            <w:tcW w:w="8387" w:type="dxa"/>
            <w:vAlign w:val="center"/>
          </w:tcPr>
          <w:p w14:paraId="3DC7CC90">
            <w:pPr>
              <w:adjustRightInd w:val="0"/>
              <w:rPr>
                <w:rFonts w:ascii="宋体" w:hAnsi="宋体" w:cs="宋体"/>
                <w:snapToGrid w:val="0"/>
                <w:kern w:val="0"/>
                <w:szCs w:val="21"/>
              </w:rPr>
            </w:pPr>
            <w:r>
              <w:rPr>
                <w:rFonts w:hint="eastAsia" w:ascii="宋体" w:hAnsi="宋体" w:cs="宋体"/>
                <w:snapToGrid w:val="0"/>
                <w:kern w:val="0"/>
                <w:szCs w:val="21"/>
              </w:rPr>
              <w:t>《电化学储能系统储能变流器技术规范》GB/T34120-2023</w:t>
            </w:r>
          </w:p>
        </w:tc>
      </w:tr>
      <w:tr w14:paraId="6E8A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B674A47">
            <w:pPr>
              <w:numPr>
                <w:ilvl w:val="0"/>
                <w:numId w:val="1"/>
              </w:numPr>
              <w:rPr>
                <w:rFonts w:ascii="宋体" w:hAnsi="宋体" w:cs="宋体"/>
                <w:kern w:val="0"/>
                <w:szCs w:val="21"/>
              </w:rPr>
            </w:pPr>
          </w:p>
        </w:tc>
        <w:tc>
          <w:tcPr>
            <w:tcW w:w="8387" w:type="dxa"/>
            <w:vAlign w:val="center"/>
          </w:tcPr>
          <w:p w14:paraId="5D1E5399">
            <w:pPr>
              <w:adjustRightInd w:val="0"/>
              <w:rPr>
                <w:rFonts w:ascii="宋体" w:hAnsi="宋体" w:cs="宋体"/>
                <w:snapToGrid w:val="0"/>
                <w:kern w:val="0"/>
                <w:szCs w:val="21"/>
              </w:rPr>
            </w:pPr>
            <w:r>
              <w:rPr>
                <w:rFonts w:hint="eastAsia" w:ascii="宋体" w:hAnsi="宋体" w:cs="宋体"/>
                <w:snapToGrid w:val="0"/>
                <w:kern w:val="0"/>
                <w:szCs w:val="21"/>
              </w:rPr>
              <w:t>《电化学储能电站监控系统技术规范》NB/T42090-2016</w:t>
            </w:r>
          </w:p>
        </w:tc>
      </w:tr>
      <w:tr w14:paraId="43CF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7CC414A">
            <w:pPr>
              <w:numPr>
                <w:ilvl w:val="0"/>
                <w:numId w:val="1"/>
              </w:numPr>
              <w:rPr>
                <w:rFonts w:ascii="宋体" w:hAnsi="宋体" w:cs="宋体"/>
                <w:kern w:val="0"/>
                <w:szCs w:val="21"/>
              </w:rPr>
            </w:pPr>
          </w:p>
        </w:tc>
        <w:tc>
          <w:tcPr>
            <w:tcW w:w="8387" w:type="dxa"/>
            <w:vAlign w:val="center"/>
          </w:tcPr>
          <w:p w14:paraId="4057939C">
            <w:pPr>
              <w:adjustRightInd w:val="0"/>
              <w:rPr>
                <w:rFonts w:ascii="宋体" w:hAnsi="宋体" w:cs="宋体"/>
                <w:snapToGrid w:val="0"/>
                <w:kern w:val="0"/>
                <w:szCs w:val="21"/>
              </w:rPr>
            </w:pPr>
            <w:r>
              <w:rPr>
                <w:rFonts w:hint="eastAsia" w:ascii="宋体" w:hAnsi="宋体" w:cs="宋体"/>
                <w:snapToGrid w:val="0"/>
                <w:kern w:val="0"/>
                <w:szCs w:val="21"/>
              </w:rPr>
              <w:t>《电化学储能电站用锂离子电池技术规范》NB/T42091-2016</w:t>
            </w:r>
          </w:p>
        </w:tc>
      </w:tr>
      <w:tr w14:paraId="72AD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D9E86C9">
            <w:pPr>
              <w:numPr>
                <w:ilvl w:val="0"/>
                <w:numId w:val="1"/>
              </w:numPr>
              <w:rPr>
                <w:rFonts w:ascii="宋体" w:hAnsi="宋体" w:cs="宋体"/>
                <w:kern w:val="0"/>
                <w:szCs w:val="21"/>
              </w:rPr>
            </w:pPr>
          </w:p>
        </w:tc>
        <w:tc>
          <w:tcPr>
            <w:tcW w:w="8387" w:type="dxa"/>
            <w:vAlign w:val="center"/>
          </w:tcPr>
          <w:p w14:paraId="5B7C349F">
            <w:pPr>
              <w:adjustRightInd w:val="0"/>
              <w:rPr>
                <w:rFonts w:ascii="宋体" w:hAnsi="宋体" w:cs="宋体"/>
                <w:snapToGrid w:val="0"/>
                <w:kern w:val="0"/>
                <w:szCs w:val="21"/>
              </w:rPr>
            </w:pPr>
            <w:r>
              <w:rPr>
                <w:rFonts w:hint="eastAsia" w:ascii="宋体" w:hAnsi="宋体" w:cs="宋体"/>
                <w:snapToGrid w:val="0"/>
                <w:kern w:val="0"/>
                <w:szCs w:val="21"/>
              </w:rPr>
              <w:t>《电化学储能电站监控系统与电池管理系统通信协议》DL/T1989-2019</w:t>
            </w:r>
          </w:p>
        </w:tc>
      </w:tr>
      <w:tr w14:paraId="34C7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FCBDABD">
            <w:pPr>
              <w:numPr>
                <w:ilvl w:val="0"/>
                <w:numId w:val="1"/>
              </w:numPr>
              <w:rPr>
                <w:rFonts w:ascii="宋体" w:hAnsi="宋体" w:cs="宋体"/>
                <w:kern w:val="0"/>
                <w:szCs w:val="21"/>
              </w:rPr>
            </w:pPr>
          </w:p>
        </w:tc>
        <w:tc>
          <w:tcPr>
            <w:tcW w:w="8387" w:type="dxa"/>
            <w:vAlign w:val="center"/>
          </w:tcPr>
          <w:p w14:paraId="25E9B7A1">
            <w:pPr>
              <w:adjustRightInd w:val="0"/>
              <w:rPr>
                <w:rFonts w:ascii="宋体" w:hAnsi="宋体" w:cs="宋体"/>
                <w:snapToGrid w:val="0"/>
                <w:kern w:val="0"/>
                <w:szCs w:val="21"/>
              </w:rPr>
            </w:pPr>
            <w:r>
              <w:rPr>
                <w:rFonts w:hint="eastAsia" w:ascii="宋体" w:hAnsi="宋体" w:cs="宋体"/>
                <w:snapToGrid w:val="0"/>
                <w:kern w:val="0"/>
                <w:szCs w:val="21"/>
              </w:rPr>
              <w:t>《电化学储能电站功率变换系统技术规范》NB/T42089-2016</w:t>
            </w:r>
          </w:p>
        </w:tc>
      </w:tr>
      <w:tr w14:paraId="4B79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07DD49F">
            <w:pPr>
              <w:numPr>
                <w:ilvl w:val="0"/>
                <w:numId w:val="1"/>
              </w:numPr>
              <w:rPr>
                <w:rFonts w:ascii="宋体" w:hAnsi="宋体" w:cs="宋体"/>
                <w:kern w:val="0"/>
                <w:szCs w:val="21"/>
              </w:rPr>
            </w:pPr>
          </w:p>
        </w:tc>
        <w:tc>
          <w:tcPr>
            <w:tcW w:w="8387" w:type="dxa"/>
            <w:vAlign w:val="center"/>
          </w:tcPr>
          <w:p w14:paraId="77141B0F">
            <w:pPr>
              <w:adjustRightInd w:val="0"/>
              <w:rPr>
                <w:rFonts w:ascii="宋体" w:hAnsi="宋体" w:cs="宋体"/>
                <w:snapToGrid w:val="0"/>
                <w:kern w:val="0"/>
                <w:szCs w:val="21"/>
              </w:rPr>
            </w:pPr>
            <w:r>
              <w:rPr>
                <w:rFonts w:hint="eastAsia" w:ascii="宋体" w:hAnsi="宋体" w:cs="宋体"/>
                <w:snapToGrid w:val="0"/>
                <w:kern w:val="0"/>
                <w:szCs w:val="21"/>
              </w:rPr>
              <w:t>《电化学储能电站标识系统编码导则》DL/T 1816-2018</w:t>
            </w:r>
          </w:p>
        </w:tc>
      </w:tr>
      <w:tr w14:paraId="571E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DE643B8">
            <w:pPr>
              <w:numPr>
                <w:ilvl w:val="0"/>
                <w:numId w:val="1"/>
              </w:numPr>
              <w:rPr>
                <w:rFonts w:ascii="宋体" w:hAnsi="宋体" w:cs="宋体"/>
                <w:kern w:val="0"/>
                <w:szCs w:val="21"/>
              </w:rPr>
            </w:pPr>
          </w:p>
        </w:tc>
        <w:tc>
          <w:tcPr>
            <w:tcW w:w="8387" w:type="dxa"/>
            <w:vAlign w:val="center"/>
          </w:tcPr>
          <w:p w14:paraId="0B0718D7">
            <w:pPr>
              <w:adjustRightInd w:val="0"/>
              <w:rPr>
                <w:rFonts w:ascii="宋体" w:hAnsi="宋体" w:cs="宋体"/>
                <w:snapToGrid w:val="0"/>
                <w:kern w:val="0"/>
                <w:szCs w:val="21"/>
              </w:rPr>
            </w:pPr>
            <w:r>
              <w:rPr>
                <w:rFonts w:hint="eastAsia" w:ascii="宋体" w:hAnsi="宋体" w:cs="宋体"/>
                <w:snapToGrid w:val="0"/>
                <w:kern w:val="0"/>
                <w:szCs w:val="21"/>
              </w:rPr>
              <w:t>《电化学储能电站可行性研究报告内容深度规定》T/CEC5025-2020</w:t>
            </w:r>
          </w:p>
        </w:tc>
      </w:tr>
      <w:tr w14:paraId="1227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56961A5">
            <w:pPr>
              <w:numPr>
                <w:ilvl w:val="0"/>
                <w:numId w:val="1"/>
              </w:numPr>
              <w:rPr>
                <w:rFonts w:ascii="宋体" w:hAnsi="宋体" w:cs="宋体"/>
                <w:kern w:val="0"/>
                <w:szCs w:val="21"/>
              </w:rPr>
            </w:pPr>
          </w:p>
        </w:tc>
        <w:tc>
          <w:tcPr>
            <w:tcW w:w="8387" w:type="dxa"/>
            <w:vAlign w:val="center"/>
          </w:tcPr>
          <w:p w14:paraId="763305A1">
            <w:pPr>
              <w:adjustRightInd w:val="0"/>
              <w:rPr>
                <w:rFonts w:ascii="宋体" w:hAnsi="宋体" w:cs="宋体"/>
                <w:snapToGrid w:val="0"/>
                <w:kern w:val="0"/>
                <w:szCs w:val="21"/>
              </w:rPr>
            </w:pPr>
            <w:r>
              <w:rPr>
                <w:rFonts w:hint="eastAsia" w:ascii="宋体" w:hAnsi="宋体" w:cs="宋体"/>
                <w:snapToGrid w:val="0"/>
                <w:kern w:val="0"/>
                <w:szCs w:val="21"/>
              </w:rPr>
              <w:t>《电化学储能系统方舱设计规范》T/CEC175-2018</w:t>
            </w:r>
          </w:p>
        </w:tc>
      </w:tr>
      <w:tr w14:paraId="31D9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2B062C2">
            <w:pPr>
              <w:numPr>
                <w:ilvl w:val="0"/>
                <w:numId w:val="1"/>
              </w:numPr>
              <w:rPr>
                <w:rFonts w:ascii="宋体" w:hAnsi="宋体" w:cs="宋体"/>
                <w:kern w:val="0"/>
                <w:szCs w:val="21"/>
              </w:rPr>
            </w:pPr>
          </w:p>
        </w:tc>
        <w:tc>
          <w:tcPr>
            <w:tcW w:w="8387" w:type="dxa"/>
            <w:vAlign w:val="center"/>
          </w:tcPr>
          <w:p w14:paraId="0D087EDE">
            <w:pPr>
              <w:adjustRightInd w:val="0"/>
              <w:rPr>
                <w:rFonts w:ascii="宋体" w:hAnsi="宋体" w:cs="宋体"/>
                <w:snapToGrid w:val="0"/>
                <w:kern w:val="0"/>
                <w:szCs w:val="21"/>
              </w:rPr>
            </w:pPr>
            <w:r>
              <w:rPr>
                <w:rFonts w:hint="eastAsia" w:ascii="宋体" w:hAnsi="宋体" w:cs="宋体"/>
                <w:snapToGrid w:val="0"/>
                <w:kern w:val="0"/>
                <w:szCs w:val="21"/>
              </w:rPr>
              <w:t>《电池储能电站技术导则》QGDW1769-2013</w:t>
            </w:r>
          </w:p>
        </w:tc>
      </w:tr>
      <w:tr w14:paraId="3216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1D0A951">
            <w:pPr>
              <w:numPr>
                <w:ilvl w:val="0"/>
                <w:numId w:val="1"/>
              </w:numPr>
              <w:rPr>
                <w:rFonts w:ascii="宋体" w:hAnsi="宋体" w:cs="宋体"/>
                <w:kern w:val="0"/>
                <w:szCs w:val="21"/>
              </w:rPr>
            </w:pPr>
          </w:p>
        </w:tc>
        <w:tc>
          <w:tcPr>
            <w:tcW w:w="8387" w:type="dxa"/>
            <w:vAlign w:val="center"/>
          </w:tcPr>
          <w:p w14:paraId="1A22E027">
            <w:pPr>
              <w:adjustRightInd w:val="0"/>
              <w:rPr>
                <w:rFonts w:ascii="宋体" w:hAnsi="宋体" w:cs="宋体"/>
                <w:snapToGrid w:val="0"/>
                <w:kern w:val="0"/>
                <w:szCs w:val="21"/>
              </w:rPr>
            </w:pPr>
            <w:r>
              <w:rPr>
                <w:rFonts w:hint="eastAsia" w:ascii="宋体" w:hAnsi="宋体" w:cs="宋体"/>
                <w:snapToGrid w:val="0"/>
                <w:kern w:val="0"/>
                <w:szCs w:val="21"/>
              </w:rPr>
              <w:t>《电池储能电站设计技术规程》QGDW11265-2014</w:t>
            </w:r>
          </w:p>
        </w:tc>
      </w:tr>
      <w:tr w14:paraId="3CC1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A418721">
            <w:pPr>
              <w:numPr>
                <w:ilvl w:val="0"/>
                <w:numId w:val="1"/>
              </w:numPr>
              <w:rPr>
                <w:rFonts w:ascii="宋体" w:hAnsi="宋体" w:cs="宋体"/>
                <w:kern w:val="0"/>
                <w:szCs w:val="21"/>
              </w:rPr>
            </w:pPr>
          </w:p>
        </w:tc>
        <w:tc>
          <w:tcPr>
            <w:tcW w:w="8387" w:type="dxa"/>
            <w:vAlign w:val="center"/>
          </w:tcPr>
          <w:p w14:paraId="0F093396">
            <w:pPr>
              <w:adjustRightInd w:val="0"/>
              <w:rPr>
                <w:rFonts w:ascii="宋体" w:hAnsi="宋体" w:cs="宋体"/>
                <w:snapToGrid w:val="0"/>
                <w:kern w:val="0"/>
                <w:szCs w:val="21"/>
              </w:rPr>
            </w:pPr>
            <w:r>
              <w:rPr>
                <w:rFonts w:hint="eastAsia" w:ascii="宋体" w:hAnsi="宋体" w:cs="宋体"/>
                <w:snapToGrid w:val="0"/>
                <w:kern w:val="0"/>
                <w:szCs w:val="21"/>
              </w:rPr>
              <w:t>《储能电站自动化系统接入配置技术规范》Q/GDW10 111-03-002-2018</w:t>
            </w:r>
          </w:p>
        </w:tc>
      </w:tr>
      <w:tr w14:paraId="4C07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187BDCE">
            <w:pPr>
              <w:numPr>
                <w:ilvl w:val="0"/>
                <w:numId w:val="1"/>
              </w:numPr>
              <w:rPr>
                <w:rFonts w:ascii="宋体" w:hAnsi="宋体" w:cs="宋体"/>
                <w:kern w:val="0"/>
                <w:szCs w:val="21"/>
              </w:rPr>
            </w:pPr>
          </w:p>
        </w:tc>
        <w:tc>
          <w:tcPr>
            <w:tcW w:w="8387" w:type="dxa"/>
            <w:vAlign w:val="center"/>
          </w:tcPr>
          <w:p w14:paraId="79847634">
            <w:pPr>
              <w:adjustRightInd w:val="0"/>
              <w:rPr>
                <w:rFonts w:ascii="宋体" w:hAnsi="宋体" w:cs="宋体"/>
                <w:snapToGrid w:val="0"/>
                <w:kern w:val="0"/>
                <w:szCs w:val="21"/>
              </w:rPr>
            </w:pPr>
            <w:r>
              <w:rPr>
                <w:rFonts w:hint="eastAsia" w:ascii="宋体" w:hAnsi="宋体" w:cs="宋体"/>
                <w:snapToGrid w:val="0"/>
                <w:kern w:val="0"/>
                <w:szCs w:val="21"/>
              </w:rPr>
              <w:t>《储能电站计算机监控系统技术规范》Q/GDW10 111-03-003-2018</w:t>
            </w:r>
          </w:p>
        </w:tc>
      </w:tr>
      <w:tr w14:paraId="3878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8E96287">
            <w:pPr>
              <w:numPr>
                <w:ilvl w:val="0"/>
                <w:numId w:val="1"/>
              </w:numPr>
              <w:rPr>
                <w:rFonts w:ascii="宋体" w:hAnsi="宋体" w:cs="宋体"/>
                <w:kern w:val="0"/>
                <w:szCs w:val="21"/>
              </w:rPr>
            </w:pPr>
          </w:p>
        </w:tc>
        <w:tc>
          <w:tcPr>
            <w:tcW w:w="8387" w:type="dxa"/>
            <w:vAlign w:val="center"/>
          </w:tcPr>
          <w:p w14:paraId="672296D0">
            <w:pPr>
              <w:adjustRightInd w:val="0"/>
              <w:rPr>
                <w:rFonts w:ascii="宋体" w:hAnsi="宋体" w:cs="宋体"/>
                <w:snapToGrid w:val="0"/>
                <w:kern w:val="0"/>
                <w:szCs w:val="21"/>
              </w:rPr>
            </w:pPr>
            <w:r>
              <w:rPr>
                <w:rFonts w:hint="eastAsia" w:ascii="宋体" w:hAnsi="宋体" w:cs="宋体"/>
                <w:snapToGrid w:val="0"/>
                <w:kern w:val="0"/>
                <w:szCs w:val="21"/>
              </w:rPr>
              <w:t>《储能电站自动化监控信息传输技术规范》Q/GDW10 111-03-004-201</w:t>
            </w:r>
          </w:p>
        </w:tc>
      </w:tr>
      <w:tr w14:paraId="68E9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1" w:type="dxa"/>
            <w:vAlign w:val="center"/>
          </w:tcPr>
          <w:p w14:paraId="7ACC27B8">
            <w:pPr>
              <w:numPr>
                <w:ilvl w:val="0"/>
                <w:numId w:val="1"/>
              </w:numPr>
              <w:rPr>
                <w:rFonts w:ascii="宋体" w:hAnsi="宋体" w:cs="宋体"/>
                <w:kern w:val="0"/>
                <w:szCs w:val="21"/>
              </w:rPr>
            </w:pPr>
          </w:p>
        </w:tc>
        <w:tc>
          <w:tcPr>
            <w:tcW w:w="8387" w:type="dxa"/>
            <w:vAlign w:val="center"/>
          </w:tcPr>
          <w:p w14:paraId="349F6651">
            <w:pPr>
              <w:adjustRightInd w:val="0"/>
              <w:rPr>
                <w:rFonts w:ascii="宋体" w:hAnsi="宋体" w:cs="宋体"/>
                <w:snapToGrid w:val="0"/>
                <w:kern w:val="0"/>
                <w:szCs w:val="21"/>
              </w:rPr>
            </w:pPr>
            <w:r>
              <w:rPr>
                <w:rFonts w:hint="eastAsia" w:ascii="宋体" w:hAnsi="宋体" w:cs="宋体"/>
                <w:snapToGrid w:val="0"/>
                <w:kern w:val="0"/>
                <w:szCs w:val="21"/>
              </w:rPr>
              <w:t>《大型电化学储能电站电池监控数据管理规范》T/CEC176-2018</w:t>
            </w:r>
          </w:p>
        </w:tc>
      </w:tr>
      <w:tr w14:paraId="729A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E97E2F5">
            <w:pPr>
              <w:numPr>
                <w:ilvl w:val="0"/>
                <w:numId w:val="1"/>
              </w:numPr>
              <w:rPr>
                <w:rFonts w:ascii="宋体" w:hAnsi="宋体" w:cs="宋体"/>
                <w:kern w:val="0"/>
                <w:szCs w:val="21"/>
              </w:rPr>
            </w:pPr>
          </w:p>
        </w:tc>
        <w:tc>
          <w:tcPr>
            <w:tcW w:w="8387" w:type="dxa"/>
            <w:vAlign w:val="center"/>
          </w:tcPr>
          <w:p w14:paraId="17FAA9F2">
            <w:pPr>
              <w:adjustRightInd w:val="0"/>
              <w:rPr>
                <w:rFonts w:ascii="宋体" w:hAnsi="宋体" w:cs="宋体"/>
                <w:snapToGrid w:val="0"/>
                <w:kern w:val="0"/>
                <w:szCs w:val="21"/>
              </w:rPr>
            </w:pPr>
            <w:r>
              <w:rPr>
                <w:rFonts w:hint="eastAsia" w:ascii="宋体" w:hAnsi="宋体" w:cs="宋体"/>
                <w:snapToGrid w:val="0"/>
                <w:kern w:val="0"/>
                <w:szCs w:val="21"/>
              </w:rPr>
              <w:t>《电力储能用锂离子电池》GB/T36276-2023</w:t>
            </w:r>
          </w:p>
        </w:tc>
      </w:tr>
      <w:tr w14:paraId="075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330450D">
            <w:pPr>
              <w:numPr>
                <w:ilvl w:val="0"/>
                <w:numId w:val="1"/>
              </w:numPr>
              <w:rPr>
                <w:rFonts w:ascii="宋体" w:hAnsi="宋体" w:cs="宋体"/>
                <w:kern w:val="0"/>
                <w:szCs w:val="21"/>
              </w:rPr>
            </w:pPr>
          </w:p>
        </w:tc>
        <w:tc>
          <w:tcPr>
            <w:tcW w:w="8387" w:type="dxa"/>
            <w:vAlign w:val="center"/>
          </w:tcPr>
          <w:p w14:paraId="1CD18E62">
            <w:pPr>
              <w:adjustRightInd w:val="0"/>
              <w:rPr>
                <w:rFonts w:ascii="宋体" w:hAnsi="宋体" w:cs="宋体"/>
                <w:snapToGrid w:val="0"/>
                <w:kern w:val="0"/>
                <w:szCs w:val="21"/>
              </w:rPr>
            </w:pPr>
            <w:r>
              <w:rPr>
                <w:rFonts w:hint="eastAsia" w:ascii="宋体" w:hAnsi="宋体" w:cs="宋体"/>
                <w:snapToGrid w:val="0"/>
                <w:kern w:val="0"/>
                <w:szCs w:val="21"/>
              </w:rPr>
              <w:t>《建筑照明设计标准》GB50034-2024</w:t>
            </w:r>
          </w:p>
        </w:tc>
      </w:tr>
      <w:tr w14:paraId="1348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FA21A2C">
            <w:pPr>
              <w:numPr>
                <w:ilvl w:val="0"/>
                <w:numId w:val="1"/>
              </w:numPr>
              <w:rPr>
                <w:rFonts w:ascii="宋体" w:hAnsi="宋体" w:cs="宋体"/>
                <w:kern w:val="0"/>
                <w:szCs w:val="21"/>
              </w:rPr>
            </w:pPr>
          </w:p>
        </w:tc>
        <w:tc>
          <w:tcPr>
            <w:tcW w:w="8387" w:type="dxa"/>
            <w:vAlign w:val="center"/>
          </w:tcPr>
          <w:p w14:paraId="57A881FE">
            <w:pPr>
              <w:adjustRightInd w:val="0"/>
              <w:rPr>
                <w:rFonts w:ascii="宋体" w:hAnsi="宋体" w:cs="宋体"/>
                <w:kern w:val="0"/>
                <w:szCs w:val="21"/>
              </w:rPr>
            </w:pPr>
            <w:r>
              <w:rPr>
                <w:rFonts w:hint="eastAsia" w:ascii="宋体" w:hAnsi="宋体" w:cs="宋体"/>
                <w:snapToGrid w:val="0"/>
                <w:kern w:val="0"/>
                <w:szCs w:val="21"/>
              </w:rPr>
              <w:t>《火灾自动报警系统设计规范》GB50116-2023</w:t>
            </w:r>
          </w:p>
        </w:tc>
      </w:tr>
      <w:tr w14:paraId="551F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C92445D">
            <w:pPr>
              <w:numPr>
                <w:ilvl w:val="0"/>
                <w:numId w:val="1"/>
              </w:numPr>
              <w:rPr>
                <w:rFonts w:ascii="宋体" w:hAnsi="宋体" w:cs="宋体"/>
                <w:kern w:val="0"/>
                <w:szCs w:val="21"/>
              </w:rPr>
            </w:pPr>
          </w:p>
        </w:tc>
        <w:tc>
          <w:tcPr>
            <w:tcW w:w="8387" w:type="dxa"/>
            <w:vAlign w:val="center"/>
          </w:tcPr>
          <w:p w14:paraId="28AC3ED1">
            <w:pPr>
              <w:adjustRightInd w:val="0"/>
              <w:rPr>
                <w:rFonts w:ascii="宋体" w:hAnsi="宋体" w:cs="宋体"/>
                <w:kern w:val="0"/>
                <w:szCs w:val="21"/>
              </w:rPr>
            </w:pPr>
            <w:r>
              <w:rPr>
                <w:rFonts w:hint="eastAsia" w:ascii="宋体" w:hAnsi="宋体" w:cs="宋体"/>
                <w:snapToGrid w:val="0"/>
                <w:kern w:val="0"/>
                <w:szCs w:val="21"/>
              </w:rPr>
              <w:t>《电力工程电缆设计标准》GB50217-2018</w:t>
            </w:r>
          </w:p>
        </w:tc>
      </w:tr>
      <w:tr w14:paraId="5F7B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D8AC721">
            <w:pPr>
              <w:numPr>
                <w:ilvl w:val="0"/>
                <w:numId w:val="1"/>
              </w:numPr>
              <w:rPr>
                <w:rFonts w:ascii="宋体" w:hAnsi="宋体" w:cs="宋体"/>
                <w:kern w:val="0"/>
                <w:szCs w:val="21"/>
              </w:rPr>
            </w:pPr>
          </w:p>
        </w:tc>
        <w:tc>
          <w:tcPr>
            <w:tcW w:w="8387" w:type="dxa"/>
            <w:vAlign w:val="center"/>
          </w:tcPr>
          <w:p w14:paraId="3FE3D782">
            <w:pPr>
              <w:adjustRightInd w:val="0"/>
              <w:rPr>
                <w:rFonts w:ascii="宋体" w:hAnsi="宋体" w:cs="宋体"/>
                <w:kern w:val="0"/>
                <w:szCs w:val="21"/>
              </w:rPr>
            </w:pPr>
            <w:r>
              <w:rPr>
                <w:rFonts w:hint="eastAsia" w:ascii="宋体" w:hAnsi="宋体" w:cs="宋体"/>
                <w:snapToGrid w:val="0"/>
                <w:kern w:val="0"/>
                <w:szCs w:val="21"/>
              </w:rPr>
              <w:t>《地区电网调度自动化设计技术规程》DL/T5002-2021</w:t>
            </w:r>
          </w:p>
        </w:tc>
      </w:tr>
      <w:tr w14:paraId="787C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A16CFD7">
            <w:pPr>
              <w:numPr>
                <w:ilvl w:val="0"/>
                <w:numId w:val="1"/>
              </w:numPr>
              <w:rPr>
                <w:rFonts w:ascii="宋体" w:hAnsi="宋体" w:cs="宋体"/>
                <w:kern w:val="0"/>
                <w:szCs w:val="21"/>
              </w:rPr>
            </w:pPr>
          </w:p>
        </w:tc>
        <w:tc>
          <w:tcPr>
            <w:tcW w:w="8387" w:type="dxa"/>
            <w:vAlign w:val="center"/>
          </w:tcPr>
          <w:p w14:paraId="0F010F62">
            <w:pPr>
              <w:adjustRightInd w:val="0"/>
              <w:rPr>
                <w:rFonts w:ascii="宋体" w:hAnsi="宋体" w:cs="宋体"/>
                <w:kern w:val="0"/>
                <w:szCs w:val="21"/>
              </w:rPr>
            </w:pPr>
            <w:r>
              <w:rPr>
                <w:rFonts w:hint="eastAsia" w:ascii="宋体" w:hAnsi="宋体" w:cs="宋体"/>
                <w:snapToGrid w:val="0"/>
                <w:kern w:val="0"/>
                <w:szCs w:val="21"/>
              </w:rPr>
              <w:t>《电力系统调度自动化设计技术规程》DL/T5003-2017</w:t>
            </w:r>
          </w:p>
        </w:tc>
      </w:tr>
      <w:tr w14:paraId="391F0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1D33C9B">
            <w:pPr>
              <w:numPr>
                <w:ilvl w:val="0"/>
                <w:numId w:val="1"/>
              </w:numPr>
              <w:rPr>
                <w:rFonts w:ascii="宋体" w:hAnsi="宋体" w:cs="宋体"/>
                <w:kern w:val="0"/>
                <w:szCs w:val="21"/>
              </w:rPr>
            </w:pPr>
          </w:p>
        </w:tc>
        <w:tc>
          <w:tcPr>
            <w:tcW w:w="8387" w:type="dxa"/>
            <w:vAlign w:val="center"/>
          </w:tcPr>
          <w:p w14:paraId="1FB9FD84">
            <w:pPr>
              <w:adjustRightInd w:val="0"/>
              <w:rPr>
                <w:rFonts w:ascii="宋体" w:hAnsi="宋体" w:cs="宋体"/>
                <w:kern w:val="0"/>
                <w:szCs w:val="21"/>
              </w:rPr>
            </w:pPr>
            <w:r>
              <w:rPr>
                <w:rFonts w:hint="eastAsia" w:ascii="宋体" w:hAnsi="宋体" w:cs="宋体"/>
                <w:snapToGrid w:val="0"/>
                <w:kern w:val="0"/>
                <w:szCs w:val="21"/>
              </w:rPr>
              <w:t>《电能量计量系统设计技术规程》DL/T5202-2004</w:t>
            </w:r>
          </w:p>
        </w:tc>
      </w:tr>
      <w:tr w14:paraId="5213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1" w:type="dxa"/>
            <w:vAlign w:val="center"/>
          </w:tcPr>
          <w:p w14:paraId="09E0E47D">
            <w:pPr>
              <w:numPr>
                <w:ilvl w:val="0"/>
                <w:numId w:val="1"/>
              </w:numPr>
              <w:rPr>
                <w:rFonts w:ascii="宋体" w:hAnsi="宋体" w:cs="宋体"/>
                <w:kern w:val="0"/>
                <w:szCs w:val="21"/>
              </w:rPr>
            </w:pPr>
          </w:p>
        </w:tc>
        <w:tc>
          <w:tcPr>
            <w:tcW w:w="8387" w:type="dxa"/>
            <w:vAlign w:val="center"/>
          </w:tcPr>
          <w:p w14:paraId="26710CCD">
            <w:pPr>
              <w:rPr>
                <w:rFonts w:ascii="宋体" w:hAnsi="宋体" w:cs="宋体"/>
                <w:kern w:val="0"/>
                <w:szCs w:val="21"/>
              </w:rPr>
            </w:pPr>
            <w:r>
              <w:rPr>
                <w:rFonts w:hint="eastAsia" w:ascii="宋体" w:hAnsi="宋体" w:cs="宋体"/>
                <w:kern w:val="0"/>
                <w:szCs w:val="21"/>
              </w:rPr>
              <w:t>《中华人民共和国消防法》（2021年版）</w:t>
            </w:r>
          </w:p>
        </w:tc>
      </w:tr>
      <w:tr w14:paraId="7D8A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EF3A190">
            <w:pPr>
              <w:numPr>
                <w:ilvl w:val="0"/>
                <w:numId w:val="1"/>
              </w:numPr>
              <w:rPr>
                <w:rFonts w:ascii="宋体" w:hAnsi="宋体" w:cs="宋体"/>
                <w:kern w:val="0"/>
                <w:szCs w:val="21"/>
              </w:rPr>
            </w:pPr>
          </w:p>
        </w:tc>
        <w:tc>
          <w:tcPr>
            <w:tcW w:w="8387" w:type="dxa"/>
            <w:vAlign w:val="center"/>
          </w:tcPr>
          <w:p w14:paraId="454CDF7D">
            <w:pPr>
              <w:rPr>
                <w:rFonts w:ascii="宋体" w:hAnsi="宋体" w:cs="宋体"/>
                <w:kern w:val="0"/>
                <w:szCs w:val="21"/>
              </w:rPr>
            </w:pPr>
            <w:r>
              <w:rPr>
                <w:rFonts w:hint="eastAsia" w:ascii="宋体" w:hAnsi="宋体" w:cs="宋体"/>
                <w:kern w:val="0"/>
                <w:szCs w:val="21"/>
              </w:rPr>
              <w:t>《火力发电厂与变电站设计防火规范》（GB50229-2019）</w:t>
            </w:r>
          </w:p>
        </w:tc>
      </w:tr>
      <w:tr w14:paraId="399A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3D7B820">
            <w:pPr>
              <w:numPr>
                <w:ilvl w:val="0"/>
                <w:numId w:val="1"/>
              </w:numPr>
              <w:rPr>
                <w:rFonts w:ascii="宋体" w:hAnsi="宋体" w:cs="宋体"/>
                <w:kern w:val="0"/>
                <w:szCs w:val="21"/>
              </w:rPr>
            </w:pPr>
          </w:p>
        </w:tc>
        <w:tc>
          <w:tcPr>
            <w:tcW w:w="8387" w:type="dxa"/>
            <w:vAlign w:val="center"/>
          </w:tcPr>
          <w:p w14:paraId="12BDC82A">
            <w:pPr>
              <w:rPr>
                <w:rFonts w:ascii="宋体" w:hAnsi="宋体" w:cs="宋体"/>
                <w:kern w:val="0"/>
                <w:szCs w:val="21"/>
              </w:rPr>
            </w:pPr>
            <w:r>
              <w:rPr>
                <w:rFonts w:hint="eastAsia" w:ascii="宋体" w:hAnsi="宋体" w:cs="宋体"/>
                <w:kern w:val="0"/>
                <w:szCs w:val="21"/>
              </w:rPr>
              <w:t>《建筑设计防火规范》（GB50016-2014）（2018年版）</w:t>
            </w:r>
          </w:p>
        </w:tc>
      </w:tr>
      <w:tr w14:paraId="2643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2A81A4B">
            <w:pPr>
              <w:numPr>
                <w:ilvl w:val="0"/>
                <w:numId w:val="1"/>
              </w:numPr>
              <w:rPr>
                <w:rFonts w:ascii="宋体" w:hAnsi="宋体" w:cs="宋体"/>
                <w:kern w:val="0"/>
                <w:szCs w:val="21"/>
              </w:rPr>
            </w:pPr>
          </w:p>
        </w:tc>
        <w:tc>
          <w:tcPr>
            <w:tcW w:w="8387" w:type="dxa"/>
            <w:vAlign w:val="center"/>
          </w:tcPr>
          <w:p w14:paraId="45370DDD">
            <w:pPr>
              <w:rPr>
                <w:rFonts w:ascii="宋体" w:hAnsi="宋体" w:cs="宋体"/>
                <w:kern w:val="0"/>
                <w:szCs w:val="21"/>
              </w:rPr>
            </w:pPr>
            <w:r>
              <w:rPr>
                <w:rFonts w:hint="eastAsia" w:ascii="宋体" w:hAnsi="宋体" w:cs="宋体"/>
                <w:kern w:val="0"/>
                <w:szCs w:val="21"/>
              </w:rPr>
              <w:t>《建筑灭火器配置设计规范》（GB50140-2005）</w:t>
            </w:r>
          </w:p>
        </w:tc>
      </w:tr>
      <w:tr w14:paraId="6917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96C1184">
            <w:pPr>
              <w:numPr>
                <w:ilvl w:val="0"/>
                <w:numId w:val="1"/>
              </w:numPr>
              <w:rPr>
                <w:rFonts w:ascii="宋体" w:hAnsi="宋体" w:cs="宋体"/>
                <w:kern w:val="0"/>
                <w:szCs w:val="21"/>
              </w:rPr>
            </w:pPr>
          </w:p>
        </w:tc>
        <w:tc>
          <w:tcPr>
            <w:tcW w:w="8387" w:type="dxa"/>
            <w:vAlign w:val="center"/>
          </w:tcPr>
          <w:p w14:paraId="67CB1AA6">
            <w:pPr>
              <w:rPr>
                <w:rFonts w:ascii="宋体" w:hAnsi="宋体" w:cs="宋体"/>
                <w:kern w:val="0"/>
                <w:szCs w:val="21"/>
              </w:rPr>
            </w:pPr>
            <w:r>
              <w:rPr>
                <w:rFonts w:hint="eastAsia" w:ascii="宋体" w:hAnsi="宋体" w:cs="宋体"/>
                <w:kern w:val="0"/>
                <w:szCs w:val="21"/>
              </w:rPr>
              <w:t>《消防给水及消火栓系统技术规范》（GB50974-2023）</w:t>
            </w:r>
          </w:p>
        </w:tc>
      </w:tr>
    </w:tbl>
    <w:p w14:paraId="66D013CD">
      <w:pPr>
        <w:spacing w:line="560" w:lineRule="exact"/>
        <w:ind w:firstLine="562" w:firstLineChars="200"/>
        <w:rPr>
          <w:rFonts w:ascii="黑体" w:hAnsi="黑体" w:eastAsia="黑体"/>
          <w:b/>
          <w:sz w:val="28"/>
          <w:szCs w:val="21"/>
        </w:rPr>
      </w:pPr>
      <w:r>
        <w:rPr>
          <w:rFonts w:hint="eastAsia" w:ascii="黑体" w:hAnsi="黑体" w:eastAsia="黑体"/>
          <w:b/>
          <w:sz w:val="28"/>
          <w:szCs w:val="21"/>
        </w:rPr>
        <w:t>六、采购人拟采用的采购方式</w:t>
      </w:r>
    </w:p>
    <w:p w14:paraId="4D8BE317">
      <w:pPr>
        <w:widowControl/>
        <w:adjustRightInd w:val="0"/>
        <w:spacing w:line="560" w:lineRule="exact"/>
        <w:ind w:firstLine="560" w:firstLineChars="200"/>
        <w:jc w:val="left"/>
        <w:rPr>
          <w:rFonts w:ascii="黑体" w:hAnsi="黑体" w:eastAsia="黑体"/>
          <w:sz w:val="32"/>
          <w:szCs w:val="32"/>
        </w:rPr>
      </w:pPr>
      <w:r>
        <w:rPr>
          <w:rFonts w:hint="eastAsia" w:ascii="仿宋_GB2312" w:hAnsi="宋体" w:eastAsia="仿宋_GB2312"/>
          <w:sz w:val="28"/>
        </w:rPr>
        <w:t>竞争性磋商</w:t>
      </w:r>
    </w:p>
    <w:p w14:paraId="183E81C8">
      <w:pPr>
        <w:spacing w:line="560" w:lineRule="exact"/>
        <w:ind w:firstLine="562" w:firstLineChars="200"/>
        <w:rPr>
          <w:rFonts w:ascii="黑体" w:hAnsi="黑体" w:eastAsia="黑体"/>
          <w:b/>
          <w:sz w:val="28"/>
          <w:szCs w:val="21"/>
        </w:rPr>
      </w:pPr>
      <w:r>
        <w:rPr>
          <w:rFonts w:hint="eastAsia" w:ascii="黑体" w:hAnsi="黑体" w:eastAsia="黑体"/>
          <w:b/>
          <w:sz w:val="28"/>
          <w:szCs w:val="21"/>
        </w:rPr>
        <w:t>七、采购人拟采用采购方式的理由（非公开招标方式需要填写）</w:t>
      </w:r>
    </w:p>
    <w:p w14:paraId="4B5E93BF">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未达到公开招标限额。</w:t>
      </w:r>
    </w:p>
    <w:p w14:paraId="47B9DC89">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八、采购意向是否公开</w:t>
      </w:r>
      <w:r>
        <w:rPr>
          <w:rFonts w:hint="eastAsia" w:ascii="仿宋_GB2312" w:hAnsi="宋体" w:eastAsia="仿宋_GB2312"/>
          <w:b/>
          <w:sz w:val="28"/>
          <w:szCs w:val="21"/>
        </w:rPr>
        <w:t>：是</w:t>
      </w:r>
    </w:p>
    <w:p w14:paraId="3246B282">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九、是否收取各类涉企保证金（投标保证金、履约保证金)：</w:t>
      </w:r>
      <w:r>
        <w:rPr>
          <w:rFonts w:hint="eastAsia" w:ascii="仿宋_GB2312" w:hAnsi="宋体" w:eastAsia="仿宋_GB2312"/>
          <w:b/>
          <w:sz w:val="28"/>
          <w:szCs w:val="21"/>
        </w:rPr>
        <w:t>否</w:t>
      </w:r>
    </w:p>
    <w:p w14:paraId="2670402E">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十、是否为专门面向中小企业采购：</w:t>
      </w:r>
      <w:r>
        <w:rPr>
          <w:rFonts w:ascii="仿宋_GB2312" w:hAnsi="宋体" w:eastAsia="仿宋_GB2312"/>
          <w:b/>
          <w:sz w:val="28"/>
          <w:szCs w:val="21"/>
        </w:rPr>
        <w:t>否</w:t>
      </w:r>
    </w:p>
    <w:p w14:paraId="63FD384E">
      <w:pPr>
        <w:spacing w:line="560" w:lineRule="exact"/>
        <w:ind w:firstLine="562" w:firstLineChars="200"/>
        <w:rPr>
          <w:rFonts w:ascii="仿宋_GB2312" w:hAnsi="宋体" w:eastAsia="仿宋_GB2312"/>
          <w:b/>
          <w:sz w:val="28"/>
          <w:szCs w:val="21"/>
        </w:rPr>
      </w:pPr>
      <w:r>
        <w:rPr>
          <w:rFonts w:hint="eastAsia" w:ascii="仿宋_GB2312" w:hAnsi="宋体" w:eastAsia="仿宋_GB2312"/>
          <w:b/>
          <w:sz w:val="28"/>
          <w:szCs w:val="21"/>
        </w:rPr>
        <w:t>注：因确需使用不可替代的专利、专有技术，基础设施限制，或者提供特定公共服务等原因，只能从中小企业之外的供应商处采购的。</w:t>
      </w:r>
    </w:p>
    <w:p w14:paraId="174BC873">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十一、是否允许联合体响应：</w:t>
      </w:r>
      <w:r>
        <w:rPr>
          <w:rFonts w:hint="eastAsia" w:ascii="仿宋_GB2312" w:hAnsi="宋体" w:eastAsia="仿宋_GB2312"/>
          <w:b/>
          <w:sz w:val="28"/>
          <w:szCs w:val="21"/>
        </w:rPr>
        <w:t>否；</w:t>
      </w:r>
    </w:p>
    <w:p w14:paraId="75CB5F7F">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十二、对中小企业在资金支付期限、预付款比例等方面的优惠措施：</w:t>
      </w:r>
      <w:r>
        <w:rPr>
          <w:rFonts w:hint="eastAsia" w:ascii="仿宋_GB2312" w:hAnsi="宋体" w:eastAsia="仿宋_GB2312"/>
          <w:b/>
          <w:sz w:val="28"/>
          <w:szCs w:val="21"/>
        </w:rPr>
        <w:t>无</w:t>
      </w:r>
    </w:p>
    <w:p w14:paraId="3F90885A">
      <w:pPr>
        <w:spacing w:line="560" w:lineRule="exact"/>
        <w:ind w:firstLine="562" w:firstLineChars="200"/>
        <w:rPr>
          <w:rFonts w:ascii="黑体" w:hAnsi="黑体" w:eastAsia="黑体"/>
          <w:b/>
          <w:sz w:val="28"/>
          <w:szCs w:val="21"/>
        </w:rPr>
      </w:pPr>
      <w:r>
        <w:rPr>
          <w:rFonts w:hint="eastAsia" w:ascii="黑体" w:hAnsi="黑体" w:eastAsia="黑体"/>
          <w:b/>
          <w:sz w:val="28"/>
          <w:szCs w:val="21"/>
        </w:rPr>
        <w:t>十三、采购标的对应的中小企业划分标准所属行业：</w:t>
      </w:r>
      <w:r>
        <w:rPr>
          <w:rFonts w:hint="eastAsia" w:ascii="仿宋_GB2312" w:hAnsi="宋体" w:eastAsia="仿宋_GB2312"/>
          <w:b/>
          <w:sz w:val="28"/>
          <w:szCs w:val="21"/>
        </w:rPr>
        <w:t>其他未列明行业</w:t>
      </w:r>
    </w:p>
    <w:p w14:paraId="6A83827F">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 xml:space="preserve">十四、联系方式 </w:t>
      </w:r>
    </w:p>
    <w:p w14:paraId="6792A3C7">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采购人：</w:t>
      </w:r>
      <w:r>
        <w:rPr>
          <w:rFonts w:ascii="仿宋_GB2312" w:hAnsi="宋体" w:eastAsia="仿宋_GB2312"/>
          <w:sz w:val="28"/>
          <w:szCs w:val="21"/>
        </w:rPr>
        <w:t xml:space="preserve"> </w:t>
      </w:r>
      <w:r>
        <w:rPr>
          <w:rFonts w:hint="eastAsia" w:ascii="仿宋_GB2312" w:hAnsi="宋体" w:eastAsia="仿宋_GB2312"/>
          <w:sz w:val="28"/>
          <w:szCs w:val="21"/>
          <w:lang w:eastAsia="zh-CN"/>
        </w:rPr>
        <w:t>乳山市发展和改革局（乳山市人民防空办公室、乳山市国防动员办公室）</w:t>
      </w:r>
    </w:p>
    <w:p w14:paraId="1820001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采购人地址：乳山市府前路5-1号</w:t>
      </w:r>
    </w:p>
    <w:p w14:paraId="18B8809F">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联系人：于露</w:t>
      </w:r>
    </w:p>
    <w:p w14:paraId="406A1CC7">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联系电话：</w:t>
      </w:r>
      <w:r>
        <w:rPr>
          <w:rFonts w:hint="eastAsia" w:ascii="仿宋_GB2312" w:hAnsi="宋体" w:eastAsia="仿宋_GB2312"/>
          <w:sz w:val="28"/>
          <w:szCs w:val="21"/>
          <w:lang w:eastAsia="zh-CN"/>
        </w:rPr>
        <w:t>0631-6660282</w:t>
      </w:r>
    </w:p>
    <w:bookmarkEnd w:id="2"/>
    <w:p w14:paraId="0514D50D">
      <w:pPr>
        <w:sectPr>
          <w:pgSz w:w="11906" w:h="16838"/>
          <w:pgMar w:top="1440" w:right="1077" w:bottom="1440" w:left="1077" w:header="851" w:footer="992" w:gutter="0"/>
          <w:cols w:space="720" w:num="1"/>
          <w:docGrid w:type="lines" w:linePitch="312" w:charSpace="0"/>
        </w:sectPr>
      </w:pPr>
    </w:p>
    <w:p w14:paraId="4E722E27">
      <w:pPr>
        <w:pStyle w:val="31"/>
        <w:spacing w:before="100" w:beforeAutospacing="1" w:after="100" w:afterAutospacing="1" w:line="415" w:lineRule="auto"/>
        <w:rPr>
          <w:rFonts w:ascii="楷体_GB2312" w:hAnsi="宋体" w:eastAsia="楷体_GB2312" w:cs="宋体"/>
          <w:sz w:val="44"/>
          <w:szCs w:val="44"/>
        </w:rPr>
      </w:pPr>
      <w:r>
        <w:rPr>
          <w:rFonts w:hint="eastAsia" w:ascii="楷体_GB2312" w:hAnsi="宋体" w:eastAsia="楷体_GB2312" w:cs="宋体"/>
          <w:sz w:val="44"/>
          <w:szCs w:val="44"/>
        </w:rPr>
        <w:t>第四章 磋商原则、程序和方法</w:t>
      </w:r>
    </w:p>
    <w:p w14:paraId="360BAFFA">
      <w:pPr>
        <w:spacing w:line="720" w:lineRule="auto"/>
        <w:ind w:firstLine="562" w:firstLineChars="200"/>
        <w:rPr>
          <w:rFonts w:ascii="楷体_GB2312" w:eastAsia="楷体_GB2312"/>
          <w:b/>
          <w:sz w:val="28"/>
          <w:szCs w:val="28"/>
        </w:rPr>
      </w:pPr>
      <w:r>
        <w:rPr>
          <w:rFonts w:hint="eastAsia" w:ascii="楷体_GB2312" w:eastAsia="楷体_GB2312"/>
          <w:b/>
          <w:sz w:val="28"/>
          <w:szCs w:val="28"/>
        </w:rPr>
        <w:t>一、评审原则</w:t>
      </w:r>
    </w:p>
    <w:p w14:paraId="66B3183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“客观、公正、审慎”为本次评审的基本原则，磋商小组将按照这一原则的要求，公正、平等地对待各报价供应商，同时，在评审时恪守以下原则：</w:t>
      </w:r>
    </w:p>
    <w:p w14:paraId="2FBCD27C">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1.客观性原则：磋商小组将严格按照竞争性磋商文件的要求，对报价供应商的响应文件进行认真评审，磋商小组对响应文件的评审仅依据响应文件本身，而不依靠响应文件以外的任何因素。</w:t>
      </w:r>
    </w:p>
    <w:p w14:paraId="628B6B8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2.统一性原则：磋商小组将按照统一的评审原则和评审方法，采用统一标准进行评审。</w:t>
      </w:r>
    </w:p>
    <w:p w14:paraId="3580BB6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3.独立性原则：评审工作在磋商小组内部独立进行，不受外界任何因素的干扰和影响。</w:t>
      </w:r>
    </w:p>
    <w:p w14:paraId="77087EC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4.保密性原则：磋商小组及熟知情况的有关工作人员必须对每位评委的评审意见和报价供应商的商业秘密严格保密。</w:t>
      </w:r>
    </w:p>
    <w:p w14:paraId="2A8356C9">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5.综合性原则：磋商小组将综合分析、评审报价供应商的各项指标。</w:t>
      </w:r>
    </w:p>
    <w:p w14:paraId="1FAB0247">
      <w:pPr>
        <w:spacing w:line="720" w:lineRule="auto"/>
        <w:ind w:firstLine="562" w:firstLineChars="200"/>
        <w:rPr>
          <w:rFonts w:ascii="楷体_GB2312" w:eastAsia="楷体_GB2312"/>
          <w:b/>
          <w:sz w:val="28"/>
          <w:szCs w:val="28"/>
        </w:rPr>
      </w:pPr>
      <w:r>
        <w:rPr>
          <w:rFonts w:hint="eastAsia" w:ascii="楷体_GB2312" w:eastAsia="楷体_GB2312"/>
          <w:b/>
          <w:sz w:val="28"/>
          <w:szCs w:val="28"/>
        </w:rPr>
        <w:t>二、评审程序</w:t>
      </w:r>
    </w:p>
    <w:p w14:paraId="61098D45">
      <w:pPr>
        <w:spacing w:before="156" w:beforeLines="50" w:line="520" w:lineRule="exact"/>
        <w:rPr>
          <w:rFonts w:ascii="仿宋_GB2312" w:hAnsi="宋体" w:eastAsia="仿宋_GB2312"/>
          <w:b/>
          <w:sz w:val="28"/>
          <w:szCs w:val="21"/>
        </w:rPr>
      </w:pPr>
      <w:r>
        <w:rPr>
          <w:rFonts w:hint="eastAsia" w:ascii="仿宋_GB2312" w:hAnsi="宋体" w:eastAsia="仿宋_GB2312"/>
          <w:b/>
          <w:sz w:val="28"/>
          <w:szCs w:val="21"/>
        </w:rPr>
        <w:t>（一）磋商程序</w:t>
      </w:r>
    </w:p>
    <w:p w14:paraId="1BBF441F">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1.磋商小组将按照竞争性磋商文件的规定对响应文件进行有效性、完整性和响应程度审查，以确定响应文件的实质性响应。</w:t>
      </w:r>
    </w:p>
    <w:p w14:paraId="1FE448F8">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2.出现下列情形之一的，视为对竞争性磋商文件未做出实质性响应，按照无效报价处理。</w:t>
      </w:r>
    </w:p>
    <w:p w14:paraId="15FD6213">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详见《响应须知前附表》-《实质性条款一览表》</w:t>
      </w:r>
    </w:p>
    <w:p w14:paraId="121ED50B">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3.属于无效报价的，报价供应商不能通过修正或撤消响应文件中不符合之处而成为实质性响应的报价，采购代理将通知报价供应商，并说明无效报价理由。属于有效响应文件的，将进行下一轮此的询标和澄清。</w:t>
      </w:r>
    </w:p>
    <w:p w14:paraId="4B5C36C6">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4.澄清、说明或者补正</w:t>
      </w:r>
    </w:p>
    <w:p w14:paraId="07217350">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对有效响应文件中含义不明确、同类问题前后表述不一致或者有明显文字和计算错误的内容，磋商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2F0CE42C">
      <w:pPr>
        <w:spacing w:line="520" w:lineRule="exact"/>
        <w:ind w:firstLine="560" w:firstLineChars="200"/>
        <w:rPr>
          <w:rFonts w:ascii="宋体" w:hAnsi="宋体"/>
          <w:sz w:val="24"/>
          <w:szCs w:val="21"/>
        </w:rPr>
      </w:pPr>
      <w:r>
        <w:rPr>
          <w:rFonts w:hint="eastAsia" w:ascii="仿宋_GB2312" w:hAnsi="宋体" w:eastAsia="仿宋_GB2312"/>
          <w:sz w:val="28"/>
          <w:szCs w:val="21"/>
        </w:rPr>
        <w:t>（2）报价供应商依据评审要求进行澄清、说明或者补正的内容构成响应文件的组成部分。</w:t>
      </w:r>
    </w:p>
    <w:p w14:paraId="35145940">
      <w:pPr>
        <w:spacing w:before="156" w:beforeLines="50" w:line="520" w:lineRule="exact"/>
        <w:rPr>
          <w:rFonts w:ascii="仿宋_GB2312" w:hAnsi="宋体" w:eastAsia="仿宋_GB2312"/>
          <w:b/>
          <w:sz w:val="28"/>
          <w:szCs w:val="21"/>
        </w:rPr>
      </w:pPr>
      <w:r>
        <w:rPr>
          <w:rFonts w:hint="eastAsia" w:ascii="仿宋_GB2312" w:hAnsi="宋体" w:eastAsia="仿宋_GB2312"/>
          <w:b/>
          <w:sz w:val="28"/>
          <w:szCs w:val="21"/>
        </w:rPr>
        <w:t>（二）磋商、优化方案</w:t>
      </w:r>
    </w:p>
    <w:p w14:paraId="441E6909">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（1）磋商小组所有成员应当集中与单一供应商分别进行磋商，并给予所有参加磋商的供应商平等的磋商机会。</w:t>
      </w:r>
    </w:p>
    <w:p w14:paraId="226B38D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（2）磋商小组可以根据磋商文件和磋商情况实质性变动采购需求中的技术、服务要求以及合同草案条款，但不得变动磋商文件中的其他内容。实质性变动的内容，须经采购人代表确认。</w:t>
      </w:r>
    </w:p>
    <w:p w14:paraId="43447CC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（3）对磋商文件作出的实质性变动是磋商文件的有效组成部分，磋商小组应当及时以书面形式同时通知所有参加磋商的供应商。</w:t>
      </w:r>
    </w:p>
    <w:p w14:paraId="6EA0F52E">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（4）供应商应当按照磋商文件的变动情况和磋商小组的要求重新提交响应文件，并由其法定代表人或被授权人签字或者加盖公章。</w:t>
      </w:r>
    </w:p>
    <w:p w14:paraId="55203E2F">
      <w:pPr>
        <w:spacing w:before="156" w:beforeLines="50" w:line="520" w:lineRule="exact"/>
        <w:rPr>
          <w:rFonts w:ascii="仿宋_GB2312" w:hAnsi="宋体" w:eastAsia="仿宋_GB2312"/>
          <w:b/>
          <w:sz w:val="28"/>
          <w:szCs w:val="21"/>
        </w:rPr>
      </w:pPr>
      <w:r>
        <w:rPr>
          <w:rFonts w:hint="eastAsia" w:ascii="仿宋_GB2312" w:hAnsi="宋体" w:eastAsia="仿宋_GB2312"/>
          <w:b/>
          <w:sz w:val="28"/>
          <w:szCs w:val="21"/>
        </w:rPr>
        <w:t>（三）最后报价</w:t>
      </w:r>
    </w:p>
    <w:p w14:paraId="1F49EC9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（1）磋商文件能够详细列明采购标的的技术、服务要求的，磋商结束后，磋商小组应当要求所有实质性响应的报价供应商在规定时间内提交最终报价。</w:t>
      </w:r>
    </w:p>
    <w:p w14:paraId="2B152A8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（2）最终报价是报价供应商响应文件的有效组成部分。</w:t>
      </w:r>
    </w:p>
    <w:p w14:paraId="7A32B9F2">
      <w:pPr>
        <w:spacing w:line="720" w:lineRule="auto"/>
        <w:ind w:firstLine="562" w:firstLineChars="200"/>
        <w:rPr>
          <w:rFonts w:ascii="楷体_GB2312" w:eastAsia="楷体_GB2312"/>
          <w:b/>
          <w:sz w:val="28"/>
          <w:szCs w:val="28"/>
        </w:rPr>
      </w:pPr>
      <w:r>
        <w:rPr>
          <w:rFonts w:hint="eastAsia" w:ascii="楷体_GB2312" w:eastAsia="楷体_GB2312"/>
          <w:b/>
          <w:sz w:val="28"/>
          <w:szCs w:val="28"/>
        </w:rPr>
        <w:t>三、评审方法</w:t>
      </w:r>
    </w:p>
    <w:p w14:paraId="0A686B2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（1）评审方法：综合评分法，即报价供应商的响应文件满足磋商文件全部实质性要求，且按评审因素的量化指标评审得分最高的供应商为成交候选供应商的评审方法。</w:t>
      </w:r>
    </w:p>
    <w:p w14:paraId="5FFFB41E">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（2）评审细则：</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559"/>
        <w:gridCol w:w="653"/>
        <w:gridCol w:w="1512"/>
        <w:gridCol w:w="5467"/>
        <w:gridCol w:w="899"/>
        <w:gridCol w:w="649"/>
      </w:tblGrid>
      <w:tr w14:paraId="230D8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shd w:val="clear" w:color="auto" w:fill="D9D9D9"/>
            <w:vAlign w:val="center"/>
          </w:tcPr>
          <w:p w14:paraId="021EDC16">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编号</w:t>
            </w:r>
          </w:p>
        </w:tc>
        <w:tc>
          <w:tcPr>
            <w:tcW w:w="653" w:type="dxa"/>
            <w:shd w:val="clear" w:color="auto" w:fill="D9D9D9"/>
            <w:vAlign w:val="center"/>
          </w:tcPr>
          <w:p w14:paraId="58F473E9">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类型</w:t>
            </w:r>
          </w:p>
        </w:tc>
        <w:tc>
          <w:tcPr>
            <w:tcW w:w="1512" w:type="dxa"/>
            <w:shd w:val="clear" w:color="auto" w:fill="D9D9D9"/>
            <w:vAlign w:val="center"/>
          </w:tcPr>
          <w:p w14:paraId="1EE193B3">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评分标题</w:t>
            </w:r>
          </w:p>
        </w:tc>
        <w:tc>
          <w:tcPr>
            <w:tcW w:w="5467" w:type="dxa"/>
            <w:shd w:val="clear" w:color="auto" w:fill="D9D9D9"/>
            <w:vAlign w:val="center"/>
          </w:tcPr>
          <w:p w14:paraId="2F34F7FA">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评分标准</w:t>
            </w:r>
          </w:p>
        </w:tc>
        <w:tc>
          <w:tcPr>
            <w:tcW w:w="899" w:type="dxa"/>
            <w:shd w:val="clear" w:color="auto" w:fill="D9D9D9"/>
            <w:vAlign w:val="center"/>
          </w:tcPr>
          <w:p w14:paraId="0AE071A4">
            <w:pPr>
              <w:pStyle w:val="11"/>
              <w:ind w:firstLine="0"/>
              <w:jc w:val="center"/>
              <w:rPr>
                <w:rFonts w:ascii="仿宋_GB2312" w:hAnsi="宋体" w:eastAsia="仿宋_GB2312"/>
                <w:b/>
                <w:sz w:val="24"/>
                <w:szCs w:val="24"/>
              </w:rPr>
            </w:pPr>
            <w:r>
              <w:rPr>
                <w:rFonts w:hint="eastAsia" w:ascii="仿宋_GB2312" w:hAnsi="宋体" w:eastAsia="仿宋_GB2312"/>
                <w:b/>
                <w:sz w:val="24"/>
                <w:szCs w:val="24"/>
              </w:rPr>
              <w:t>性质</w:t>
            </w:r>
          </w:p>
        </w:tc>
        <w:tc>
          <w:tcPr>
            <w:tcW w:w="649" w:type="dxa"/>
            <w:shd w:val="clear" w:color="auto" w:fill="D9D9D9"/>
            <w:vAlign w:val="center"/>
          </w:tcPr>
          <w:p w14:paraId="58E85BA3">
            <w:pPr>
              <w:pStyle w:val="11"/>
              <w:ind w:firstLine="0"/>
              <w:jc w:val="center"/>
              <w:rPr>
                <w:rFonts w:ascii="仿宋_GB2312" w:hAnsi="宋体" w:eastAsia="仿宋_GB2312"/>
                <w:b/>
                <w:sz w:val="24"/>
                <w:szCs w:val="24"/>
              </w:rPr>
            </w:pPr>
            <w:r>
              <w:rPr>
                <w:rFonts w:hint="eastAsia" w:ascii="仿宋_GB2312" w:hAnsi="宋体" w:eastAsia="仿宋_GB2312"/>
                <w:b/>
                <w:sz w:val="24"/>
                <w:szCs w:val="24"/>
              </w:rPr>
              <w:t>分数</w:t>
            </w:r>
          </w:p>
        </w:tc>
      </w:tr>
      <w:tr w14:paraId="27DED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593781D7">
            <w:pPr>
              <w:pStyle w:val="11"/>
              <w:ind w:firstLine="0"/>
              <w:jc w:val="center"/>
              <w:rPr>
                <w:rFonts w:ascii="仿宋_GB2312" w:hAnsi="宋体" w:eastAsia="仿宋_GB2312"/>
                <w:sz w:val="24"/>
                <w:szCs w:val="24"/>
              </w:rPr>
            </w:pPr>
            <w:r>
              <w:rPr>
                <w:rFonts w:ascii="仿宋_GB2312" w:hAnsi="宋体" w:eastAsia="仿宋_GB2312"/>
                <w:sz w:val="24"/>
                <w:szCs w:val="24"/>
              </w:rPr>
              <w:t>1</w:t>
            </w:r>
          </w:p>
        </w:tc>
        <w:tc>
          <w:tcPr>
            <w:tcW w:w="653" w:type="dxa"/>
            <w:vAlign w:val="center"/>
          </w:tcPr>
          <w:p w14:paraId="68C0F7B3">
            <w:pPr>
              <w:pStyle w:val="11"/>
              <w:ind w:firstLine="0"/>
              <w:jc w:val="center"/>
              <w:rPr>
                <w:rFonts w:ascii="仿宋_GB2312" w:hAnsi="宋体" w:eastAsia="仿宋_GB2312"/>
                <w:sz w:val="24"/>
                <w:szCs w:val="24"/>
              </w:rPr>
            </w:pPr>
            <w:r>
              <w:rPr>
                <w:rFonts w:hint="eastAsia" w:ascii="仿宋_GB2312" w:hAnsi="宋体" w:eastAsia="仿宋_GB2312"/>
                <w:sz w:val="24"/>
                <w:szCs w:val="24"/>
              </w:rPr>
              <w:t>价格</w:t>
            </w:r>
          </w:p>
        </w:tc>
        <w:tc>
          <w:tcPr>
            <w:tcW w:w="1512" w:type="dxa"/>
            <w:vAlign w:val="center"/>
          </w:tcPr>
          <w:p w14:paraId="4598E0D0">
            <w:pPr>
              <w:pStyle w:val="11"/>
              <w:ind w:firstLine="0"/>
              <w:jc w:val="center"/>
              <w:rPr>
                <w:rFonts w:ascii="仿宋_GB2312" w:hAnsi="宋体" w:eastAsia="仿宋_GB2312"/>
                <w:sz w:val="24"/>
                <w:szCs w:val="24"/>
              </w:rPr>
            </w:pPr>
            <w:r>
              <w:rPr>
                <w:rFonts w:hint="eastAsia" w:ascii="仿宋_GB2312" w:hAnsi="宋体" w:eastAsia="仿宋_GB2312"/>
                <w:sz w:val="24"/>
                <w:szCs w:val="24"/>
              </w:rPr>
              <w:t>报价</w:t>
            </w:r>
          </w:p>
        </w:tc>
        <w:tc>
          <w:tcPr>
            <w:tcW w:w="5467" w:type="dxa"/>
            <w:vAlign w:val="center"/>
          </w:tcPr>
          <w:p w14:paraId="5E539C9C">
            <w:pPr>
              <w:pStyle w:val="11"/>
              <w:ind w:firstLine="0"/>
              <w:rPr>
                <w:rFonts w:ascii="仿宋_GB2312" w:hAnsi="宋体" w:eastAsia="仿宋_GB2312"/>
                <w:sz w:val="24"/>
                <w:szCs w:val="24"/>
              </w:rPr>
            </w:pPr>
            <w:r>
              <w:rPr>
                <w:rFonts w:hint="eastAsia" w:ascii="仿宋_GB2312" w:hAnsi="宋体" w:eastAsia="仿宋_GB2312"/>
                <w:sz w:val="24"/>
                <w:szCs w:val="24"/>
              </w:rPr>
              <w:t>1）当报价单位所报投标报价超出采购预算，按无效报价处理。</w:t>
            </w:r>
          </w:p>
          <w:p w14:paraId="2DDFBD6E">
            <w:pPr>
              <w:pStyle w:val="11"/>
              <w:ind w:firstLine="0"/>
              <w:rPr>
                <w:rFonts w:ascii="仿宋_GB2312" w:hAnsi="宋体" w:eastAsia="仿宋_GB2312"/>
                <w:sz w:val="24"/>
                <w:szCs w:val="24"/>
              </w:rPr>
            </w:pPr>
            <w:r>
              <w:rPr>
                <w:rFonts w:hint="eastAsia" w:ascii="仿宋_GB2312" w:hAnsi="宋体" w:eastAsia="仿宋_GB2312"/>
                <w:sz w:val="24"/>
                <w:szCs w:val="24"/>
              </w:rPr>
              <w:t>2）以所有通过符合性审查的供应商最终报价最低的报价为评标基准价。</w:t>
            </w:r>
          </w:p>
          <w:p w14:paraId="7F9899CD">
            <w:pPr>
              <w:pStyle w:val="11"/>
              <w:ind w:firstLine="0"/>
              <w:rPr>
                <w:rFonts w:ascii="仿宋_GB2312" w:hAnsi="宋体" w:eastAsia="仿宋_GB2312"/>
                <w:sz w:val="24"/>
                <w:szCs w:val="24"/>
              </w:rPr>
            </w:pPr>
            <w:r>
              <w:rPr>
                <w:rFonts w:hint="eastAsia" w:ascii="仿宋_GB2312" w:hAnsi="宋体" w:eastAsia="仿宋_GB2312"/>
                <w:sz w:val="24"/>
                <w:szCs w:val="24"/>
              </w:rPr>
              <w:t>各供应商的报价得分计算方式为：报价得分=评标基准价/最终投标报价×10</w:t>
            </w:r>
          </w:p>
        </w:tc>
        <w:tc>
          <w:tcPr>
            <w:tcW w:w="899" w:type="dxa"/>
            <w:vAlign w:val="center"/>
          </w:tcPr>
          <w:p w14:paraId="08B14F89">
            <w:pPr>
              <w:pStyle w:val="11"/>
              <w:ind w:firstLine="0"/>
              <w:jc w:val="center"/>
              <w:rPr>
                <w:rFonts w:ascii="仿宋_GB2312" w:hAnsi="宋体" w:eastAsia="仿宋_GB2312"/>
                <w:sz w:val="24"/>
                <w:szCs w:val="24"/>
              </w:rPr>
            </w:pPr>
            <w:r>
              <w:rPr>
                <w:rFonts w:hint="eastAsia" w:ascii="仿宋_GB2312" w:hAnsi="宋体" w:eastAsia="仿宋_GB2312"/>
                <w:sz w:val="24"/>
                <w:szCs w:val="24"/>
              </w:rPr>
              <w:t>系统分</w:t>
            </w:r>
          </w:p>
        </w:tc>
        <w:tc>
          <w:tcPr>
            <w:tcW w:w="649" w:type="dxa"/>
            <w:vAlign w:val="center"/>
          </w:tcPr>
          <w:p w14:paraId="0D42C99E">
            <w:pPr>
              <w:pStyle w:val="11"/>
              <w:ind w:firstLine="0"/>
              <w:jc w:val="center"/>
              <w:rPr>
                <w:rFonts w:ascii="仿宋_GB2312" w:hAnsi="宋体" w:eastAsia="仿宋_GB2312"/>
                <w:sz w:val="24"/>
                <w:szCs w:val="24"/>
              </w:rPr>
            </w:pPr>
            <w:r>
              <w:rPr>
                <w:rFonts w:hint="eastAsia" w:ascii="仿宋_GB2312" w:hAnsi="宋体" w:eastAsia="仿宋_GB2312"/>
                <w:sz w:val="24"/>
                <w:szCs w:val="24"/>
              </w:rPr>
              <w:t>10</w:t>
            </w:r>
          </w:p>
        </w:tc>
      </w:tr>
      <w:tr w14:paraId="00641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4628D112">
            <w:pPr>
              <w:pStyle w:val="11"/>
              <w:ind w:firstLine="0"/>
              <w:jc w:val="center"/>
              <w:rPr>
                <w:rFonts w:ascii="仿宋_GB2312" w:hAnsi="宋体" w:eastAsia="仿宋_GB2312"/>
                <w:sz w:val="24"/>
                <w:szCs w:val="24"/>
              </w:rPr>
            </w:pPr>
            <w:r>
              <w:rPr>
                <w:rFonts w:ascii="仿宋_GB2312" w:hAnsi="宋体" w:eastAsia="仿宋_GB2312"/>
                <w:sz w:val="24"/>
                <w:szCs w:val="24"/>
              </w:rPr>
              <w:t>2</w:t>
            </w:r>
          </w:p>
        </w:tc>
        <w:tc>
          <w:tcPr>
            <w:tcW w:w="653" w:type="dxa"/>
            <w:vAlign w:val="center"/>
          </w:tcPr>
          <w:p w14:paraId="4C2092E9">
            <w:pPr>
              <w:pStyle w:val="11"/>
              <w:ind w:firstLine="0"/>
              <w:jc w:val="center"/>
              <w:rPr>
                <w:rFonts w:ascii="仿宋_GB2312" w:hAnsi="宋体" w:eastAsia="仿宋_GB2312"/>
                <w:sz w:val="24"/>
                <w:szCs w:val="24"/>
              </w:rPr>
            </w:pPr>
            <w:r>
              <w:rPr>
                <w:rFonts w:hint="eastAsia" w:ascii="仿宋_GB2312" w:hAnsi="宋体" w:eastAsia="仿宋_GB2312"/>
                <w:sz w:val="24"/>
                <w:szCs w:val="24"/>
              </w:rPr>
              <w:t>商务</w:t>
            </w:r>
          </w:p>
        </w:tc>
        <w:tc>
          <w:tcPr>
            <w:tcW w:w="1512" w:type="dxa"/>
            <w:vAlign w:val="center"/>
          </w:tcPr>
          <w:p w14:paraId="77D9E5A1">
            <w:pPr>
              <w:pStyle w:val="11"/>
              <w:ind w:firstLine="0"/>
              <w:jc w:val="center"/>
              <w:rPr>
                <w:rFonts w:ascii="仿宋_GB2312" w:hAnsi="宋体" w:eastAsia="仿宋_GB2312"/>
                <w:sz w:val="24"/>
                <w:szCs w:val="24"/>
              </w:rPr>
            </w:pPr>
            <w:r>
              <w:rPr>
                <w:rFonts w:hint="eastAsia" w:ascii="仿宋_GB2312" w:hAnsi="宋体" w:eastAsia="仿宋_GB2312"/>
                <w:sz w:val="24"/>
                <w:szCs w:val="24"/>
              </w:rPr>
              <w:t>业绩</w:t>
            </w:r>
          </w:p>
        </w:tc>
        <w:tc>
          <w:tcPr>
            <w:tcW w:w="5467" w:type="dxa"/>
            <w:vAlign w:val="center"/>
          </w:tcPr>
          <w:p w14:paraId="7928D2FD">
            <w:pPr>
              <w:pStyle w:val="11"/>
              <w:ind w:firstLine="0"/>
              <w:rPr>
                <w:rFonts w:ascii="仿宋_GB2312" w:hAnsi="宋体" w:eastAsia="仿宋_GB2312"/>
                <w:sz w:val="24"/>
                <w:szCs w:val="24"/>
              </w:rPr>
            </w:pPr>
            <w:r>
              <w:rPr>
                <w:rFonts w:ascii="仿宋_GB2312" w:hAnsi="宋体" w:eastAsia="仿宋_GB2312"/>
                <w:sz w:val="24"/>
                <w:szCs w:val="24"/>
              </w:rPr>
              <w:t>供应商自2019年1月1日以来（以合同签订时间为准）完成过类似项目的合同，每提供一份类似业绩得2分，最多得6分。（响应文件中</w:t>
            </w:r>
            <w:r>
              <w:rPr>
                <w:rFonts w:hint="eastAsia" w:ascii="仿宋_GB2312" w:hAnsi="宋体" w:eastAsia="仿宋_GB2312"/>
                <w:sz w:val="24"/>
                <w:szCs w:val="24"/>
              </w:rPr>
              <w:t>附</w:t>
            </w:r>
            <w:r>
              <w:rPr>
                <w:rFonts w:ascii="仿宋_GB2312" w:hAnsi="宋体" w:eastAsia="仿宋_GB2312"/>
                <w:sz w:val="24"/>
                <w:szCs w:val="24"/>
              </w:rPr>
              <w:t>合同</w:t>
            </w:r>
            <w:r>
              <w:rPr>
                <w:rFonts w:hint="eastAsia" w:ascii="仿宋_GB2312" w:hAnsi="宋体" w:eastAsia="仿宋_GB2312"/>
                <w:sz w:val="24"/>
                <w:szCs w:val="24"/>
              </w:rPr>
              <w:t>扫描件，否则不予计分</w:t>
            </w:r>
            <w:r>
              <w:rPr>
                <w:rFonts w:ascii="仿宋_GB2312" w:hAnsi="宋体" w:eastAsia="仿宋_GB2312"/>
                <w:sz w:val="24"/>
                <w:szCs w:val="24"/>
              </w:rPr>
              <w:t>）</w:t>
            </w:r>
          </w:p>
        </w:tc>
        <w:tc>
          <w:tcPr>
            <w:tcW w:w="899" w:type="dxa"/>
            <w:vAlign w:val="center"/>
          </w:tcPr>
          <w:p w14:paraId="12F99638">
            <w:pPr>
              <w:pStyle w:val="11"/>
              <w:ind w:firstLine="0"/>
              <w:jc w:val="center"/>
              <w:rPr>
                <w:rFonts w:ascii="仿宋_GB2312" w:hAnsi="宋体" w:eastAsia="仿宋_GB2312"/>
                <w:sz w:val="24"/>
                <w:szCs w:val="24"/>
              </w:rPr>
            </w:pPr>
            <w:r>
              <w:rPr>
                <w:rFonts w:hint="eastAsia" w:ascii="仿宋_GB2312" w:hAnsi="宋体" w:eastAsia="仿宋_GB2312"/>
                <w:sz w:val="24"/>
                <w:szCs w:val="24"/>
              </w:rPr>
              <w:t>客观分</w:t>
            </w:r>
          </w:p>
        </w:tc>
        <w:tc>
          <w:tcPr>
            <w:tcW w:w="649" w:type="dxa"/>
            <w:vAlign w:val="center"/>
          </w:tcPr>
          <w:p w14:paraId="6F8130E6">
            <w:pPr>
              <w:pStyle w:val="11"/>
              <w:ind w:firstLine="0"/>
              <w:jc w:val="center"/>
              <w:rPr>
                <w:rFonts w:ascii="仿宋_GB2312" w:hAnsi="宋体" w:eastAsia="仿宋_GB2312"/>
                <w:sz w:val="24"/>
                <w:szCs w:val="24"/>
              </w:rPr>
            </w:pPr>
            <w:r>
              <w:rPr>
                <w:rFonts w:hint="eastAsia" w:ascii="仿宋_GB2312" w:hAnsi="宋体" w:eastAsia="仿宋_GB2312"/>
                <w:sz w:val="24"/>
                <w:szCs w:val="24"/>
              </w:rPr>
              <w:t>6</w:t>
            </w:r>
          </w:p>
        </w:tc>
      </w:tr>
      <w:tr w14:paraId="7933E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4BC0E564">
            <w:pPr>
              <w:pStyle w:val="11"/>
              <w:ind w:firstLine="0"/>
              <w:jc w:val="center"/>
              <w:rPr>
                <w:rFonts w:ascii="仿宋_GB2312" w:hAnsi="宋体" w:eastAsia="仿宋_GB2312"/>
                <w:sz w:val="24"/>
                <w:szCs w:val="24"/>
              </w:rPr>
            </w:pPr>
            <w:r>
              <w:rPr>
                <w:rFonts w:hint="eastAsia" w:ascii="仿宋_GB2312" w:hAnsi="宋体" w:eastAsia="仿宋_GB2312"/>
                <w:sz w:val="24"/>
                <w:szCs w:val="24"/>
              </w:rPr>
              <w:t>3</w:t>
            </w:r>
          </w:p>
        </w:tc>
        <w:tc>
          <w:tcPr>
            <w:tcW w:w="653" w:type="dxa"/>
            <w:vMerge w:val="restart"/>
            <w:vAlign w:val="center"/>
          </w:tcPr>
          <w:p w14:paraId="4946826B">
            <w:pPr>
              <w:pStyle w:val="11"/>
              <w:ind w:firstLine="0"/>
              <w:jc w:val="center"/>
              <w:rPr>
                <w:rFonts w:ascii="仿宋_GB2312" w:hAnsi="宋体" w:eastAsia="仿宋_GB2312"/>
                <w:sz w:val="24"/>
                <w:szCs w:val="24"/>
              </w:rPr>
            </w:pPr>
            <w:r>
              <w:rPr>
                <w:rFonts w:hint="eastAsia" w:ascii="仿宋_GB2312" w:hAnsi="宋体" w:eastAsia="仿宋_GB2312"/>
                <w:sz w:val="24"/>
                <w:szCs w:val="24"/>
              </w:rPr>
              <w:t>技术</w:t>
            </w:r>
          </w:p>
        </w:tc>
        <w:tc>
          <w:tcPr>
            <w:tcW w:w="1512" w:type="dxa"/>
            <w:vAlign w:val="center"/>
          </w:tcPr>
          <w:p w14:paraId="50AE10C9">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项目管理机构</w:t>
            </w:r>
          </w:p>
        </w:tc>
        <w:tc>
          <w:tcPr>
            <w:tcW w:w="5467" w:type="dxa"/>
            <w:vAlign w:val="center"/>
          </w:tcPr>
          <w:p w14:paraId="61C70C3A">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人员配备齐全、职责分工明确，专业结构合理、专业水平高，能够满足项目要求的，得9-10分；</w:t>
            </w:r>
          </w:p>
          <w:p w14:paraId="0ECEA827">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人员配备齐全、职责分工明确，专业结构较为合理、专业水平一般，但能够满足项目要求的，得7-8分；</w:t>
            </w:r>
          </w:p>
          <w:p w14:paraId="20A670D5">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人员配备齐全、职责分工不明确，专业结构不合理或专业水平低，基本满足项目要求的，得4-6分；</w:t>
            </w:r>
          </w:p>
          <w:p w14:paraId="0B26DA7E">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评委根据各报价企业配备情况以1分为单位进行打分。</w:t>
            </w:r>
          </w:p>
        </w:tc>
        <w:tc>
          <w:tcPr>
            <w:tcW w:w="899" w:type="dxa"/>
            <w:vAlign w:val="center"/>
          </w:tcPr>
          <w:p w14:paraId="7C186692">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70A5205E">
            <w:pPr>
              <w:pStyle w:val="11"/>
              <w:ind w:firstLine="0"/>
              <w:jc w:val="center"/>
              <w:rPr>
                <w:rFonts w:ascii="仿宋_GB2312" w:hAnsi="宋体" w:eastAsia="仿宋_GB2312"/>
                <w:sz w:val="24"/>
                <w:szCs w:val="24"/>
              </w:rPr>
            </w:pPr>
            <w:r>
              <w:rPr>
                <w:rFonts w:hint="eastAsia" w:ascii="仿宋_GB2312" w:hAnsi="宋体" w:eastAsia="仿宋_GB2312"/>
                <w:sz w:val="24"/>
                <w:szCs w:val="24"/>
              </w:rPr>
              <w:t>10</w:t>
            </w:r>
          </w:p>
        </w:tc>
      </w:tr>
      <w:tr w14:paraId="4FD99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6B74DF94">
            <w:pPr>
              <w:pStyle w:val="11"/>
              <w:ind w:firstLine="0"/>
              <w:jc w:val="center"/>
              <w:rPr>
                <w:rFonts w:ascii="仿宋_GB2312" w:hAnsi="宋体" w:eastAsia="仿宋_GB2312"/>
                <w:sz w:val="24"/>
                <w:szCs w:val="24"/>
              </w:rPr>
            </w:pPr>
            <w:r>
              <w:rPr>
                <w:rFonts w:hint="eastAsia" w:ascii="仿宋_GB2312" w:hAnsi="宋体" w:eastAsia="仿宋_GB2312"/>
                <w:sz w:val="24"/>
                <w:szCs w:val="24"/>
              </w:rPr>
              <w:t>4</w:t>
            </w:r>
          </w:p>
        </w:tc>
        <w:tc>
          <w:tcPr>
            <w:tcW w:w="653" w:type="dxa"/>
            <w:vMerge w:val="continue"/>
            <w:vAlign w:val="center"/>
          </w:tcPr>
          <w:p w14:paraId="6E8E4347">
            <w:pPr>
              <w:pStyle w:val="11"/>
              <w:ind w:firstLine="0"/>
              <w:jc w:val="center"/>
              <w:rPr>
                <w:rFonts w:ascii="仿宋_GB2312" w:hAnsi="宋体" w:eastAsia="仿宋_GB2312"/>
                <w:sz w:val="24"/>
                <w:szCs w:val="24"/>
              </w:rPr>
            </w:pPr>
          </w:p>
        </w:tc>
        <w:tc>
          <w:tcPr>
            <w:tcW w:w="1512" w:type="dxa"/>
            <w:vAlign w:val="center"/>
          </w:tcPr>
          <w:p w14:paraId="35C47D78">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项目说明</w:t>
            </w:r>
          </w:p>
        </w:tc>
        <w:tc>
          <w:tcPr>
            <w:tcW w:w="5467" w:type="dxa"/>
          </w:tcPr>
          <w:p w14:paraId="52EF9B0E">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设计思路及目标清晰明确，方案和实施方法满足磋商文件要求，切合实际、针对性和可操作性强，得25-30分；</w:t>
            </w:r>
          </w:p>
          <w:p w14:paraId="3F6F7AC6">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设计思路及目标较清晰，方案和实施方法基本满足磋商文件要求，切合实际、针对性和可操作性较强，得20-25分；</w:t>
            </w:r>
          </w:p>
          <w:p w14:paraId="0C3F6A67">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设计思路及目标模糊，方案和实施方法不能满足磋商文件要求，偏离实际、针对性和可操作性差，得15-20分；</w:t>
            </w:r>
          </w:p>
          <w:p w14:paraId="43A379C6">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缺项不得分。</w:t>
            </w:r>
          </w:p>
          <w:p w14:paraId="50508B0D">
            <w:pPr>
              <w:adjustRightInd w:val="0"/>
              <w:snapToGrid w:val="0"/>
              <w:spacing w:line="320" w:lineRule="atLeast"/>
              <w:jc w:val="left"/>
            </w:pPr>
            <w:r>
              <w:rPr>
                <w:rFonts w:hint="eastAsia" w:ascii="仿宋_GB2312" w:hAnsi="仿宋_GB2312" w:eastAsia="仿宋_GB2312" w:cs="仿宋_GB2312"/>
                <w:sz w:val="22"/>
              </w:rPr>
              <w:t>评委根据各报价企业描述情况以1分为单位进行打分。</w:t>
            </w:r>
          </w:p>
        </w:tc>
        <w:tc>
          <w:tcPr>
            <w:tcW w:w="899" w:type="dxa"/>
            <w:vAlign w:val="center"/>
          </w:tcPr>
          <w:p w14:paraId="3F8B0F25">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5D49EBD0">
            <w:pPr>
              <w:pStyle w:val="11"/>
              <w:ind w:firstLine="0"/>
              <w:jc w:val="center"/>
              <w:rPr>
                <w:rFonts w:ascii="仿宋_GB2312" w:hAnsi="宋体" w:eastAsia="仿宋_GB2312"/>
                <w:sz w:val="24"/>
                <w:szCs w:val="24"/>
              </w:rPr>
            </w:pPr>
            <w:r>
              <w:rPr>
                <w:rFonts w:hint="eastAsia" w:ascii="仿宋_GB2312" w:hAnsi="宋体" w:eastAsia="仿宋_GB2312"/>
                <w:sz w:val="24"/>
                <w:szCs w:val="24"/>
              </w:rPr>
              <w:t>30</w:t>
            </w:r>
          </w:p>
        </w:tc>
      </w:tr>
      <w:tr w14:paraId="11648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5DC3ED64">
            <w:pPr>
              <w:pStyle w:val="11"/>
              <w:ind w:firstLine="0"/>
              <w:jc w:val="center"/>
              <w:rPr>
                <w:rFonts w:ascii="仿宋_GB2312" w:hAnsi="宋体" w:eastAsia="仿宋_GB2312"/>
                <w:sz w:val="24"/>
                <w:szCs w:val="24"/>
              </w:rPr>
            </w:pPr>
            <w:r>
              <w:rPr>
                <w:rFonts w:hint="eastAsia" w:ascii="仿宋_GB2312" w:hAnsi="宋体" w:eastAsia="仿宋_GB2312"/>
                <w:sz w:val="24"/>
                <w:szCs w:val="24"/>
              </w:rPr>
              <w:t>5</w:t>
            </w:r>
          </w:p>
        </w:tc>
        <w:tc>
          <w:tcPr>
            <w:tcW w:w="653" w:type="dxa"/>
            <w:vMerge w:val="continue"/>
            <w:vAlign w:val="center"/>
          </w:tcPr>
          <w:p w14:paraId="7634D8B2">
            <w:pPr>
              <w:pStyle w:val="11"/>
              <w:ind w:firstLine="0"/>
              <w:jc w:val="center"/>
              <w:rPr>
                <w:rFonts w:ascii="仿宋_GB2312" w:hAnsi="宋体" w:eastAsia="仿宋_GB2312"/>
                <w:sz w:val="24"/>
                <w:szCs w:val="24"/>
              </w:rPr>
            </w:pPr>
          </w:p>
        </w:tc>
        <w:tc>
          <w:tcPr>
            <w:tcW w:w="1512" w:type="dxa"/>
            <w:vAlign w:val="center"/>
          </w:tcPr>
          <w:p w14:paraId="143E1E12">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进度计划安排</w:t>
            </w:r>
          </w:p>
        </w:tc>
        <w:tc>
          <w:tcPr>
            <w:tcW w:w="5467" w:type="dxa"/>
            <w:vAlign w:val="center"/>
          </w:tcPr>
          <w:p w14:paraId="226141FD">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评委根据各报价企业总服务周期满足要求，各分项工作计划合理、时间均衡等以1分为单位给予1-6分的打分。</w:t>
            </w:r>
          </w:p>
        </w:tc>
        <w:tc>
          <w:tcPr>
            <w:tcW w:w="899" w:type="dxa"/>
            <w:vAlign w:val="center"/>
          </w:tcPr>
          <w:p w14:paraId="17A59282">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75386A87">
            <w:pPr>
              <w:pStyle w:val="11"/>
              <w:ind w:firstLine="0"/>
              <w:jc w:val="center"/>
              <w:rPr>
                <w:rFonts w:ascii="仿宋_GB2312" w:hAnsi="宋体" w:eastAsia="仿宋_GB2312"/>
                <w:sz w:val="24"/>
                <w:szCs w:val="24"/>
              </w:rPr>
            </w:pPr>
            <w:r>
              <w:rPr>
                <w:rFonts w:hint="eastAsia" w:ascii="仿宋_GB2312" w:hAnsi="宋体" w:eastAsia="仿宋_GB2312"/>
                <w:sz w:val="24"/>
                <w:szCs w:val="24"/>
              </w:rPr>
              <w:t>6</w:t>
            </w:r>
          </w:p>
        </w:tc>
      </w:tr>
      <w:tr w14:paraId="21FD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6181D2B6">
            <w:pPr>
              <w:pStyle w:val="11"/>
              <w:ind w:firstLine="0"/>
              <w:jc w:val="center"/>
              <w:rPr>
                <w:rFonts w:ascii="仿宋_GB2312" w:hAnsi="宋体" w:eastAsia="仿宋_GB2312"/>
                <w:sz w:val="24"/>
                <w:szCs w:val="24"/>
              </w:rPr>
            </w:pPr>
            <w:r>
              <w:rPr>
                <w:rFonts w:hint="eastAsia" w:ascii="仿宋_GB2312" w:hAnsi="宋体" w:eastAsia="仿宋_GB2312"/>
                <w:sz w:val="24"/>
                <w:szCs w:val="24"/>
              </w:rPr>
              <w:t>6</w:t>
            </w:r>
          </w:p>
        </w:tc>
        <w:tc>
          <w:tcPr>
            <w:tcW w:w="653" w:type="dxa"/>
            <w:vMerge w:val="continue"/>
            <w:vAlign w:val="center"/>
          </w:tcPr>
          <w:p w14:paraId="5F66FC96">
            <w:pPr>
              <w:pStyle w:val="11"/>
              <w:ind w:firstLine="0"/>
              <w:jc w:val="center"/>
              <w:rPr>
                <w:rFonts w:ascii="仿宋_GB2312" w:hAnsi="宋体" w:eastAsia="仿宋_GB2312"/>
                <w:sz w:val="24"/>
                <w:szCs w:val="24"/>
              </w:rPr>
            </w:pPr>
          </w:p>
        </w:tc>
        <w:tc>
          <w:tcPr>
            <w:tcW w:w="1512" w:type="dxa"/>
            <w:vAlign w:val="center"/>
          </w:tcPr>
          <w:p w14:paraId="48780F64">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保证进度、环境保护、文明勘察等技术措施</w:t>
            </w:r>
          </w:p>
        </w:tc>
        <w:tc>
          <w:tcPr>
            <w:tcW w:w="5467" w:type="dxa"/>
          </w:tcPr>
          <w:p w14:paraId="48AE01BB">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技术措施表述具体完善、切实可行、针对性强，得15-19分；</w:t>
            </w:r>
          </w:p>
          <w:p w14:paraId="2B2A96E6">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内容具体却不完善，切实可行，针对性强，得11-14分；</w:t>
            </w:r>
          </w:p>
          <w:p w14:paraId="5EA1108D">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内容具体却不完善，可行性差，针对性差，得7-10分；</w:t>
            </w:r>
          </w:p>
          <w:p w14:paraId="143685D4">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评委根据各报价企业描述情况以1分为单位进行打分。</w:t>
            </w:r>
          </w:p>
        </w:tc>
        <w:tc>
          <w:tcPr>
            <w:tcW w:w="899" w:type="dxa"/>
            <w:vAlign w:val="center"/>
          </w:tcPr>
          <w:p w14:paraId="3D7597FB">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33ADE071">
            <w:pPr>
              <w:pStyle w:val="11"/>
              <w:ind w:firstLine="0"/>
              <w:jc w:val="center"/>
              <w:rPr>
                <w:rFonts w:ascii="仿宋_GB2312" w:hAnsi="宋体" w:eastAsia="仿宋_GB2312"/>
                <w:sz w:val="24"/>
                <w:szCs w:val="24"/>
              </w:rPr>
            </w:pPr>
            <w:r>
              <w:rPr>
                <w:rFonts w:hint="eastAsia" w:ascii="仿宋_GB2312" w:hAnsi="宋体" w:eastAsia="仿宋_GB2312"/>
                <w:sz w:val="24"/>
                <w:szCs w:val="24"/>
              </w:rPr>
              <w:t>19</w:t>
            </w:r>
          </w:p>
        </w:tc>
      </w:tr>
      <w:tr w14:paraId="6F0B9B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789A3F37">
            <w:pPr>
              <w:pStyle w:val="11"/>
              <w:ind w:firstLine="0"/>
              <w:jc w:val="center"/>
              <w:rPr>
                <w:rFonts w:ascii="仿宋_GB2312" w:hAnsi="宋体" w:eastAsia="仿宋_GB2312"/>
                <w:sz w:val="24"/>
                <w:szCs w:val="24"/>
              </w:rPr>
            </w:pPr>
            <w:r>
              <w:rPr>
                <w:rFonts w:hint="eastAsia" w:ascii="仿宋_GB2312" w:hAnsi="宋体" w:eastAsia="仿宋_GB2312"/>
                <w:sz w:val="24"/>
                <w:szCs w:val="24"/>
              </w:rPr>
              <w:t>7</w:t>
            </w:r>
          </w:p>
        </w:tc>
        <w:tc>
          <w:tcPr>
            <w:tcW w:w="653" w:type="dxa"/>
            <w:vMerge w:val="continue"/>
            <w:vAlign w:val="center"/>
          </w:tcPr>
          <w:p w14:paraId="1C0F7420">
            <w:pPr>
              <w:pStyle w:val="11"/>
              <w:ind w:firstLine="0"/>
              <w:jc w:val="center"/>
              <w:rPr>
                <w:rFonts w:ascii="仿宋_GB2312" w:hAnsi="宋体" w:eastAsia="仿宋_GB2312"/>
                <w:sz w:val="24"/>
                <w:szCs w:val="24"/>
              </w:rPr>
            </w:pPr>
          </w:p>
        </w:tc>
        <w:tc>
          <w:tcPr>
            <w:tcW w:w="1512" w:type="dxa"/>
            <w:vAlign w:val="center"/>
          </w:tcPr>
          <w:p w14:paraId="6D0B91E0">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后期跟踪服务中需提供的工作内容</w:t>
            </w:r>
          </w:p>
        </w:tc>
        <w:tc>
          <w:tcPr>
            <w:tcW w:w="5467" w:type="dxa"/>
            <w:vAlign w:val="center"/>
          </w:tcPr>
          <w:p w14:paraId="6D73ED63">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后续服务内容可行、周密可延伸持续优化，得10-13分；</w:t>
            </w:r>
          </w:p>
          <w:p w14:paraId="7F65D09A">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后续服务内容可行、持续有效，得6-9分；</w:t>
            </w:r>
          </w:p>
          <w:p w14:paraId="4C2B7FC4">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后续服务内容可行、周密、响应及时，满足基本要求，得1-5分。</w:t>
            </w:r>
          </w:p>
          <w:p w14:paraId="5AD4D1C8">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评委根据各报价企业描述情况以1分为单位进行打分。</w:t>
            </w:r>
          </w:p>
        </w:tc>
        <w:tc>
          <w:tcPr>
            <w:tcW w:w="899" w:type="dxa"/>
            <w:vAlign w:val="center"/>
          </w:tcPr>
          <w:p w14:paraId="7462F6ED">
            <w:pPr>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4B18D9AD">
            <w:pPr>
              <w:pStyle w:val="11"/>
              <w:ind w:firstLine="0"/>
              <w:jc w:val="center"/>
              <w:rPr>
                <w:rFonts w:ascii="仿宋_GB2312" w:hAnsi="宋体" w:eastAsia="仿宋_GB2312"/>
                <w:sz w:val="24"/>
                <w:szCs w:val="24"/>
              </w:rPr>
            </w:pPr>
            <w:r>
              <w:rPr>
                <w:rFonts w:hint="eastAsia" w:ascii="仿宋_GB2312" w:hAnsi="宋体" w:eastAsia="仿宋_GB2312"/>
                <w:sz w:val="24"/>
                <w:szCs w:val="24"/>
              </w:rPr>
              <w:t>13</w:t>
            </w:r>
          </w:p>
        </w:tc>
      </w:tr>
      <w:tr w14:paraId="669A7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559" w:type="dxa"/>
            <w:vAlign w:val="center"/>
          </w:tcPr>
          <w:p w14:paraId="1C99804C">
            <w:pPr>
              <w:pStyle w:val="11"/>
              <w:ind w:firstLine="0"/>
              <w:jc w:val="center"/>
              <w:rPr>
                <w:rFonts w:ascii="仿宋_GB2312" w:hAnsi="宋体" w:eastAsia="仿宋_GB2312"/>
                <w:sz w:val="24"/>
                <w:szCs w:val="24"/>
              </w:rPr>
            </w:pPr>
            <w:r>
              <w:rPr>
                <w:rFonts w:hint="eastAsia" w:ascii="仿宋_GB2312" w:hAnsi="宋体" w:eastAsia="仿宋_GB2312"/>
                <w:sz w:val="24"/>
                <w:szCs w:val="24"/>
              </w:rPr>
              <w:t>8</w:t>
            </w:r>
          </w:p>
        </w:tc>
        <w:tc>
          <w:tcPr>
            <w:tcW w:w="653" w:type="dxa"/>
            <w:vMerge w:val="continue"/>
            <w:vAlign w:val="center"/>
          </w:tcPr>
          <w:p w14:paraId="116B4E78">
            <w:pPr>
              <w:pStyle w:val="11"/>
              <w:ind w:firstLine="0"/>
              <w:rPr>
                <w:rFonts w:ascii="仿宋_GB2312" w:hAnsi="宋体" w:eastAsia="仿宋_GB2312"/>
                <w:sz w:val="24"/>
                <w:szCs w:val="24"/>
              </w:rPr>
            </w:pPr>
          </w:p>
        </w:tc>
        <w:tc>
          <w:tcPr>
            <w:tcW w:w="1512" w:type="dxa"/>
            <w:vAlign w:val="center"/>
          </w:tcPr>
          <w:p w14:paraId="23A56AAB">
            <w:pPr>
              <w:pStyle w:val="30"/>
              <w:adjustRightInd w:val="0"/>
              <w:snapToGrid w:val="0"/>
              <w:spacing w:line="320" w:lineRule="atLeast"/>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服务承诺及合理化建议</w:t>
            </w:r>
          </w:p>
        </w:tc>
        <w:tc>
          <w:tcPr>
            <w:tcW w:w="5467" w:type="dxa"/>
            <w:vAlign w:val="center"/>
          </w:tcPr>
          <w:p w14:paraId="60F0BEC8">
            <w:pPr>
              <w:adjustRightInd w:val="0"/>
              <w:snapToGrid w:val="0"/>
              <w:spacing w:line="320" w:lineRule="atLeast"/>
              <w:jc w:val="left"/>
              <w:rPr>
                <w:rFonts w:ascii="仿宋_GB2312" w:hAnsi="仿宋_GB2312" w:eastAsia="仿宋_GB2312" w:cs="仿宋_GB2312"/>
                <w:sz w:val="22"/>
              </w:rPr>
            </w:pPr>
            <w:r>
              <w:rPr>
                <w:rFonts w:hint="eastAsia" w:ascii="仿宋_GB2312" w:hAnsi="仿宋_GB2312" w:eastAsia="仿宋_GB2312" w:cs="仿宋_GB2312"/>
                <w:sz w:val="22"/>
              </w:rPr>
              <w:t>评委根据各报价企业</w:t>
            </w:r>
            <w:r>
              <w:rPr>
                <w:rFonts w:hint="eastAsia" w:ascii="仿宋" w:hAnsi="仿宋" w:eastAsia="仿宋" w:cs="宋体"/>
                <w:bCs/>
              </w:rPr>
              <w:t>提供具有针对性且切实可行的服务承诺或合理化建议</w:t>
            </w:r>
            <w:r>
              <w:rPr>
                <w:rFonts w:hint="eastAsia" w:ascii="仿宋_GB2312" w:hAnsi="仿宋_GB2312" w:eastAsia="仿宋_GB2312" w:cs="仿宋_GB2312"/>
                <w:sz w:val="22"/>
              </w:rPr>
              <w:t>以1分为单位给予1-6分的打分</w:t>
            </w:r>
            <w:r>
              <w:rPr>
                <w:rFonts w:hint="eastAsia" w:ascii="仿宋" w:hAnsi="仿宋" w:eastAsia="仿宋" w:cs="宋体"/>
                <w:bCs/>
              </w:rPr>
              <w:t>。</w:t>
            </w:r>
          </w:p>
        </w:tc>
        <w:tc>
          <w:tcPr>
            <w:tcW w:w="899" w:type="dxa"/>
            <w:vAlign w:val="center"/>
          </w:tcPr>
          <w:p w14:paraId="5C3FE062">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649" w:type="dxa"/>
            <w:vAlign w:val="center"/>
          </w:tcPr>
          <w:p w14:paraId="50FA08B6">
            <w:pPr>
              <w:pStyle w:val="11"/>
              <w:ind w:firstLine="0"/>
              <w:jc w:val="center"/>
              <w:rPr>
                <w:rFonts w:ascii="仿宋_GB2312" w:hAnsi="宋体" w:eastAsia="仿宋_GB2312"/>
                <w:sz w:val="24"/>
                <w:szCs w:val="24"/>
              </w:rPr>
            </w:pPr>
            <w:r>
              <w:rPr>
                <w:rFonts w:hint="eastAsia" w:ascii="仿宋_GB2312" w:hAnsi="宋体" w:eastAsia="仿宋_GB2312"/>
                <w:sz w:val="24"/>
                <w:szCs w:val="24"/>
              </w:rPr>
              <w:t>6</w:t>
            </w:r>
          </w:p>
        </w:tc>
      </w:tr>
    </w:tbl>
    <w:p w14:paraId="61AB9861">
      <w:pPr>
        <w:spacing w:line="520" w:lineRule="exact"/>
        <w:ind w:firstLine="560" w:firstLineChars="200"/>
        <w:rPr>
          <w:rFonts w:ascii="仿宋_GB2312" w:hAnsi="宋体" w:eastAsia="仿宋_GB2312"/>
          <w:sz w:val="28"/>
          <w:szCs w:val="21"/>
        </w:rPr>
      </w:pPr>
    </w:p>
    <w:p w14:paraId="434C2692">
      <w:pPr>
        <w:widowControl/>
        <w:spacing w:line="360" w:lineRule="auto"/>
        <w:rPr>
          <w:rFonts w:ascii="宋体" w:hAnsi="宋体"/>
          <w:sz w:val="24"/>
        </w:rPr>
        <w:sectPr>
          <w:pgSz w:w="11906" w:h="16838"/>
          <w:pgMar w:top="1440" w:right="1080" w:bottom="1440" w:left="1080" w:header="851" w:footer="992" w:gutter="0"/>
          <w:cols w:space="720" w:num="1"/>
          <w:docGrid w:type="lines" w:linePitch="312" w:charSpace="0"/>
        </w:sectPr>
      </w:pPr>
    </w:p>
    <w:p w14:paraId="3987700B">
      <w:pPr>
        <w:spacing w:before="100" w:beforeAutospacing="1" w:after="100" w:afterAutospacing="1" w:line="415" w:lineRule="auto"/>
        <w:ind w:left="720"/>
        <w:jc w:val="center"/>
        <w:outlineLvl w:val="0"/>
        <w:rPr>
          <w:rFonts w:ascii="楷体_GB2312" w:hAnsi="宋体" w:eastAsia="楷体_GB2312" w:cs="宋体"/>
          <w:b/>
          <w:bCs/>
          <w:sz w:val="44"/>
          <w:szCs w:val="44"/>
        </w:rPr>
        <w:sectPr>
          <w:headerReference r:id="rId17" w:type="default"/>
          <w:footerReference r:id="rId18" w:type="default"/>
          <w:pgSz w:w="11906" w:h="16838"/>
          <w:pgMar w:top="1440" w:right="1077" w:bottom="1440" w:left="1077" w:header="851" w:footer="992" w:gutter="0"/>
          <w:cols w:space="720" w:num="1"/>
          <w:docGrid w:type="linesAndChars" w:linePitch="312" w:charSpace="0"/>
        </w:sectPr>
      </w:pPr>
      <w:r>
        <w:rPr>
          <w:rFonts w:hint="eastAsia" w:ascii="楷体_GB2312" w:hAnsi="宋体" w:eastAsia="楷体_GB2312" w:cs="宋体"/>
          <w:b/>
          <w:bCs/>
          <w:sz w:val="44"/>
          <w:szCs w:val="44"/>
        </w:rPr>
        <w:t>第五章 投标（响应）文件格式</w:t>
      </w:r>
    </w:p>
    <w:p w14:paraId="4F116B01">
      <w:pPr>
        <w:jc w:val="left"/>
        <w:rPr>
          <w:rFonts w:ascii="仿宋" w:hAnsi="仿宋" w:eastAsia="仿宋"/>
          <w:sz w:val="52"/>
        </w:rPr>
      </w:pPr>
    </w:p>
    <w:p w14:paraId="34261ECE">
      <w:pPr>
        <w:rPr>
          <w:rFonts w:ascii="方正小标宋简体" w:hAnsi="仿宋" w:eastAsia="方正小标宋简体"/>
          <w:bCs/>
          <w:sz w:val="84"/>
        </w:rPr>
      </w:pPr>
    </w:p>
    <w:p w14:paraId="41ADAE1A">
      <w:pPr>
        <w:jc w:val="center"/>
        <w:rPr>
          <w:rFonts w:ascii="方正小标宋简体" w:hAnsi="仿宋" w:eastAsia="方正小标宋简体"/>
          <w:bCs/>
          <w:sz w:val="84"/>
        </w:rPr>
      </w:pPr>
      <w:r>
        <w:rPr>
          <w:rFonts w:hint="eastAsia" w:ascii="方正小标宋简体" w:hAnsi="仿宋" w:eastAsia="方正小标宋简体"/>
          <w:bCs/>
          <w:sz w:val="84"/>
        </w:rPr>
        <w:t>响 应 文 件</w:t>
      </w:r>
    </w:p>
    <w:p w14:paraId="520BFFC4">
      <w:pPr>
        <w:jc w:val="center"/>
        <w:rPr>
          <w:rFonts w:ascii="仿宋" w:hAnsi="仿宋" w:eastAsia="仿宋"/>
          <w:sz w:val="72"/>
        </w:rPr>
      </w:pPr>
      <w:r>
        <w:rPr>
          <w:rFonts w:hint="eastAsia" w:ascii="仿宋" w:hAnsi="仿宋" w:eastAsia="仿宋" w:cs="Calibri"/>
          <w:sz w:val="72"/>
        </w:rPr>
        <w:t>（第一册）</w:t>
      </w:r>
    </w:p>
    <w:p w14:paraId="2B32111C">
      <w:pPr>
        <w:jc w:val="center"/>
        <w:rPr>
          <w:rFonts w:ascii="仿宋" w:hAnsi="仿宋" w:eastAsia="仿宋"/>
          <w:sz w:val="72"/>
        </w:rPr>
      </w:pPr>
    </w:p>
    <w:p w14:paraId="5F31AAA3">
      <w:pPr>
        <w:jc w:val="left"/>
        <w:rPr>
          <w:rFonts w:ascii="仿宋" w:hAnsi="仿宋" w:eastAsia="黑体"/>
          <w:sz w:val="36"/>
          <w:szCs w:val="36"/>
        </w:rPr>
      </w:pPr>
      <w:r>
        <w:rPr>
          <w:rFonts w:hint="eastAsia" w:ascii="黑体" w:hAnsi="黑体" w:eastAsia="黑体"/>
          <w:bCs/>
          <w:sz w:val="36"/>
          <w:szCs w:val="36"/>
        </w:rPr>
        <w:t>采购项目：</w:t>
      </w:r>
      <w:r>
        <w:rPr>
          <w:rFonts w:hint="eastAsia" w:ascii="仿宋" w:hAnsi="仿宋" w:eastAsia="仿宋"/>
          <w:bCs/>
          <w:sz w:val="36"/>
          <w:szCs w:val="36"/>
        </w:rPr>
        <w:t>乳山市500MW/1000MWh电化学储能项目可研报告及电力接入系统论证报告</w:t>
      </w:r>
    </w:p>
    <w:p w14:paraId="7E4742C3">
      <w:pPr>
        <w:jc w:val="left"/>
        <w:rPr>
          <w:rFonts w:ascii="仿宋" w:hAnsi="仿宋" w:eastAsia="仿宋"/>
          <w:b/>
          <w:sz w:val="36"/>
        </w:rPr>
      </w:pPr>
      <w:r>
        <w:rPr>
          <w:rFonts w:hint="eastAsia" w:ascii="黑体" w:hAnsi="黑体" w:eastAsia="黑体"/>
          <w:bCs/>
          <w:sz w:val="36"/>
          <w:szCs w:val="36"/>
        </w:rPr>
        <w:t>采购编号</w:t>
      </w:r>
      <w:r>
        <w:rPr>
          <w:rFonts w:hint="eastAsia" w:ascii="仿宋" w:hAnsi="仿宋" w:eastAsia="仿宋"/>
          <w:bCs/>
          <w:sz w:val="36"/>
          <w:szCs w:val="36"/>
        </w:rPr>
        <w:t>：</w:t>
      </w:r>
      <w:r>
        <w:rPr>
          <w:rFonts w:hint="eastAsia" w:ascii="仿宋" w:hAnsi="仿宋" w:eastAsia="仿宋"/>
          <w:sz w:val="36"/>
          <w:szCs w:val="36"/>
        </w:rPr>
        <w:t>SDHZ2024-028</w:t>
      </w:r>
    </w:p>
    <w:p w14:paraId="5404B837">
      <w:pPr>
        <w:jc w:val="left"/>
        <w:rPr>
          <w:rFonts w:ascii="黑体" w:hAnsi="黑体" w:eastAsia="黑体"/>
          <w:bCs/>
          <w:sz w:val="36"/>
          <w:szCs w:val="36"/>
        </w:rPr>
      </w:pPr>
      <w:r>
        <w:rPr>
          <w:rFonts w:hint="eastAsia" w:ascii="黑体" w:hAnsi="黑体" w:eastAsia="黑体"/>
          <w:bCs/>
          <w:sz w:val="36"/>
          <w:szCs w:val="36"/>
        </w:rPr>
        <w:t>所投包号：</w:t>
      </w:r>
      <w:r>
        <w:rPr>
          <w:rFonts w:ascii="黑体" w:hAnsi="黑体" w:eastAsia="黑体"/>
          <w:bCs/>
          <w:sz w:val="36"/>
          <w:szCs w:val="36"/>
        </w:rPr>
        <w:t>A</w:t>
      </w:r>
    </w:p>
    <w:p w14:paraId="5415E8C5">
      <w:pPr>
        <w:jc w:val="left"/>
        <w:rPr>
          <w:rFonts w:ascii="仿宋" w:hAnsi="仿宋" w:eastAsia="仿宋"/>
          <w:sz w:val="36"/>
        </w:rPr>
      </w:pPr>
    </w:p>
    <w:p w14:paraId="1977BDD3">
      <w:pPr>
        <w:tabs>
          <w:tab w:val="left" w:pos="580"/>
        </w:tabs>
        <w:ind w:left="185" w:leftChars="88" w:firstLine="1800" w:firstLineChars="500"/>
        <w:rPr>
          <w:rFonts w:ascii="仿宋" w:hAnsi="仿宋" w:eastAsia="仿宋"/>
          <w:sz w:val="36"/>
          <w:szCs w:val="21"/>
        </w:rPr>
      </w:pPr>
    </w:p>
    <w:p w14:paraId="33D4C149">
      <w:pPr>
        <w:tabs>
          <w:tab w:val="left" w:pos="580"/>
        </w:tabs>
        <w:ind w:left="185" w:leftChars="88" w:firstLine="1800" w:firstLineChars="500"/>
        <w:rPr>
          <w:rFonts w:ascii="仿宋_GB2312" w:hAnsi="仿宋" w:eastAsia="仿宋_GB2312"/>
          <w:sz w:val="36"/>
          <w:szCs w:val="36"/>
        </w:rPr>
      </w:pPr>
    </w:p>
    <w:p w14:paraId="12013EE6">
      <w:pPr>
        <w:tabs>
          <w:tab w:val="left" w:pos="580"/>
        </w:tabs>
        <w:ind w:firstLine="1800" w:firstLineChars="500"/>
        <w:rPr>
          <w:rFonts w:ascii="仿宋_GB2312" w:hAnsi="仿宋" w:eastAsia="仿宋_GB2312"/>
          <w:sz w:val="36"/>
          <w:szCs w:val="36"/>
        </w:rPr>
      </w:pPr>
      <w:r>
        <w:rPr>
          <w:rFonts w:hint="eastAsia" w:ascii="仿宋_GB2312" w:hAnsi="仿宋" w:eastAsia="仿宋_GB2312"/>
          <w:sz w:val="36"/>
          <w:szCs w:val="36"/>
        </w:rPr>
        <w:t>供应商名称：***有限公司</w:t>
      </w:r>
    </w:p>
    <w:p w14:paraId="0B830DAF">
      <w:pPr>
        <w:tabs>
          <w:tab w:val="left" w:pos="580"/>
        </w:tabs>
        <w:ind w:firstLine="1800" w:firstLineChars="500"/>
        <w:rPr>
          <w:rFonts w:ascii="仿宋_GB2312" w:hAnsi="仿宋" w:eastAsia="仿宋_GB2312"/>
          <w:sz w:val="36"/>
          <w:szCs w:val="36"/>
        </w:rPr>
      </w:pPr>
      <w:r>
        <w:rPr>
          <w:rFonts w:hint="eastAsia" w:ascii="仿宋_GB2312" w:hAnsi="仿宋" w:eastAsia="仿宋_GB2312"/>
          <w:sz w:val="36"/>
          <w:szCs w:val="36"/>
        </w:rPr>
        <w:t>日      期：</w:t>
      </w:r>
      <w:r>
        <w:rPr>
          <w:rFonts w:ascii="仿宋_GB2312" w:hAnsi="仿宋" w:eastAsia="仿宋_GB2312"/>
          <w:sz w:val="36"/>
          <w:szCs w:val="36"/>
        </w:rPr>
        <w:t xml:space="preserve">   </w:t>
      </w:r>
      <w:r>
        <w:rPr>
          <w:rFonts w:hint="eastAsia" w:ascii="仿宋_GB2312" w:hAnsi="仿宋" w:eastAsia="仿宋_GB2312"/>
          <w:sz w:val="36"/>
          <w:szCs w:val="36"/>
        </w:rPr>
        <w:t>年  月  日</w:t>
      </w:r>
    </w:p>
    <w:p w14:paraId="15F3D48F">
      <w:pPr>
        <w:widowControl/>
        <w:jc w:val="center"/>
      </w:pPr>
      <w:r>
        <w:rPr>
          <w:rFonts w:ascii="仿宋_GB2312" w:hAnsi="仿宋" w:eastAsia="仿宋_GB2312"/>
          <w:sz w:val="36"/>
          <w:szCs w:val="36"/>
        </w:rPr>
        <w:br w:type="page"/>
      </w:r>
      <w:r>
        <w:rPr>
          <w:rFonts w:ascii="黑体" w:hAnsi="黑体" w:eastAsia="黑体"/>
          <w:sz w:val="44"/>
          <w:szCs w:val="44"/>
        </w:rPr>
        <w:t>目录</w:t>
      </w:r>
    </w:p>
    <w:p w14:paraId="601F5D47">
      <w:pPr>
        <w:tabs>
          <w:tab w:val="right" w:leader="dot" w:pos="8296"/>
        </w:tabs>
        <w:jc w:val="center"/>
        <w:rPr>
          <w:rFonts w:ascii="仿宋_GB2312" w:eastAsia="仿宋_GB2312"/>
          <w:szCs w:val="21"/>
        </w:rPr>
      </w:pPr>
      <w:r>
        <w:rPr>
          <w:rFonts w:hint="eastAsia" w:ascii="仿宋_GB2312" w:eastAsia="仿宋_GB2312"/>
          <w:sz w:val="32"/>
          <w:szCs w:val="21"/>
        </w:rPr>
        <w:t>（由供应商自行编制）</w:t>
      </w:r>
    </w:p>
    <w:p w14:paraId="0C38349D">
      <w:pPr>
        <w:keepNext/>
        <w:keepLines/>
        <w:spacing w:before="120" w:after="120" w:line="560" w:lineRule="exact"/>
        <w:jc w:val="center"/>
        <w:outlineLvl w:val="1"/>
        <w:rPr>
          <w:rFonts w:ascii="Arial" w:hAnsi="Arial" w:eastAsia="黑体"/>
          <w:bCs/>
          <w:sz w:val="44"/>
          <w:szCs w:val="32"/>
        </w:rPr>
      </w:pPr>
      <w:r>
        <w:rPr>
          <w:rFonts w:ascii="仿宋_GB2312" w:hAnsi="宋体" w:eastAsia="仿宋_GB2312"/>
          <w:b/>
          <w:bCs/>
          <w:sz w:val="30"/>
          <w:szCs w:val="30"/>
        </w:rPr>
        <w:br w:type="page"/>
      </w:r>
      <w:r>
        <w:rPr>
          <w:rFonts w:hint="eastAsia" w:ascii="Arial" w:hAnsi="Arial" w:eastAsia="黑体"/>
          <w:bCs/>
          <w:sz w:val="44"/>
          <w:szCs w:val="32"/>
        </w:rPr>
        <w:t>报价承诺函</w:t>
      </w:r>
    </w:p>
    <w:p w14:paraId="58F48D7D">
      <w:pPr>
        <w:spacing w:line="560" w:lineRule="exact"/>
        <w:rPr>
          <w:rFonts w:ascii="仿宋_GB2312" w:hAnsi="仿宋" w:eastAsia="仿宋_GB2312"/>
          <w:sz w:val="30"/>
          <w:szCs w:val="30"/>
        </w:rPr>
      </w:pPr>
      <w:r>
        <w:rPr>
          <w:rFonts w:hint="eastAsia" w:ascii="仿宋_GB2312" w:hAnsi="仿宋" w:eastAsia="仿宋_GB2312"/>
          <w:sz w:val="30"/>
          <w:szCs w:val="30"/>
        </w:rPr>
        <w:t>山东华正建筑设计咨询有限公司：</w:t>
      </w:r>
    </w:p>
    <w:p w14:paraId="2A39ABCA">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我方根据项目名称为乳山市500MW/1000MWh电化学储能项目可研报告及电力接入系统论证报告</w:t>
      </w:r>
      <w:r>
        <w:rPr>
          <w:rFonts w:hint="eastAsia" w:ascii="仿宋_GB2312" w:hAnsi="宋体" w:eastAsia="仿宋_GB2312" w:cs="宋体"/>
          <w:sz w:val="30"/>
          <w:szCs w:val="30"/>
        </w:rPr>
        <w:t>（编号为:</w:t>
      </w:r>
      <w:r>
        <w:rPr>
          <w:rFonts w:ascii="仿宋_GB2312" w:hAnsi="宋体" w:eastAsia="仿宋_GB2312" w:cs="宋体"/>
          <w:sz w:val="30"/>
          <w:szCs w:val="30"/>
        </w:rPr>
        <w:t xml:space="preserve"> </w:t>
      </w:r>
      <w:r>
        <w:rPr>
          <w:rFonts w:hint="eastAsia" w:ascii="仿宋_GB2312" w:hAnsi="仿宋" w:eastAsia="仿宋_GB2312"/>
          <w:sz w:val="30"/>
          <w:szCs w:val="30"/>
        </w:rPr>
        <w:t>SDHZ2024-028</w:t>
      </w:r>
      <w:r>
        <w:rPr>
          <w:rFonts w:ascii="仿宋_GB2312" w:hAnsi="宋体" w:eastAsia="仿宋_GB2312" w:cs="宋体"/>
          <w:sz w:val="30"/>
          <w:szCs w:val="30"/>
        </w:rPr>
        <w:t>，包号为：</w:t>
      </w:r>
      <w:r>
        <w:rPr>
          <w:rFonts w:ascii="仿宋_GB2312" w:hAnsi="宋体" w:eastAsia="仿宋_GB2312"/>
          <w:sz w:val="28"/>
          <w:szCs w:val="28"/>
        </w:rPr>
        <w:t>A</w:t>
      </w:r>
      <w:r>
        <w:rPr>
          <w:rFonts w:hint="eastAsia" w:ascii="仿宋_GB2312" w:hAnsi="宋体" w:eastAsia="仿宋_GB2312" w:cs="宋体"/>
          <w:sz w:val="30"/>
          <w:szCs w:val="30"/>
        </w:rPr>
        <w:t>）</w:t>
      </w:r>
      <w:r>
        <w:rPr>
          <w:rFonts w:hint="eastAsia" w:ascii="仿宋_GB2312" w:hAnsi="仿宋" w:eastAsia="仿宋_GB2312"/>
          <w:sz w:val="30"/>
          <w:szCs w:val="30"/>
        </w:rPr>
        <w:t>的磋商文件的要求，经详细研究决定参加响应。</w:t>
      </w:r>
    </w:p>
    <w:p w14:paraId="3C055A6D">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 我方接受本采购文件中关于电子招投标的各项规定，遵守《中华人民共和国电子签名法》关于电子签名的各项规定。我方愿意按照磋商文件的规定和要求提供服务，报价详见《开标（报价）一览表》。</w:t>
      </w:r>
    </w:p>
    <w:p w14:paraId="1304DD3F">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2.我方同意</w:t>
      </w:r>
      <w:r>
        <w:rPr>
          <w:rFonts w:hint="eastAsia" w:ascii="仿宋_GB2312" w:hAnsi="宋体" w:eastAsia="仿宋_GB2312" w:cs="宋体"/>
          <w:sz w:val="30"/>
          <w:szCs w:val="30"/>
        </w:rPr>
        <w:t>90天</w:t>
      </w:r>
      <w:r>
        <w:rPr>
          <w:rFonts w:hint="eastAsia" w:ascii="仿宋_GB2312" w:hAnsi="仿宋" w:eastAsia="仿宋_GB2312"/>
          <w:sz w:val="30"/>
          <w:szCs w:val="30"/>
        </w:rPr>
        <w:t>的报价有效期，严格遵守响应文件的各项承诺。在此期限届满之前，本响应文件始终对我方具有约束力，并随时接受成交。我方承诺在报价有效期内不修改、撤销响应文件。</w:t>
      </w:r>
    </w:p>
    <w:p w14:paraId="4FC0658C">
      <w:pPr>
        <w:spacing w:line="560" w:lineRule="exact"/>
        <w:ind w:firstLine="600" w:firstLineChars="200"/>
        <w:rPr>
          <w:rFonts w:ascii="仿宋_GB2312" w:hAnsi="仿宋" w:eastAsia="仿宋_GB2312"/>
          <w:strike/>
          <w:sz w:val="30"/>
          <w:szCs w:val="30"/>
        </w:rPr>
      </w:pPr>
      <w:r>
        <w:rPr>
          <w:rFonts w:hint="eastAsia" w:ascii="仿宋_GB2312" w:hAnsi="仿宋" w:eastAsia="仿宋_GB2312"/>
          <w:sz w:val="30"/>
          <w:szCs w:val="30"/>
        </w:rPr>
        <w:t>3. 我方愿意遵守本采购文件的规定和要求并提供磋商文件中要求的所有资料，若响应文件中存在虚假资料的，则视为我方隐瞒真实情况、提供虚假资料，我方愿意接受主管部门做出的行政处罚。</w:t>
      </w:r>
    </w:p>
    <w:p w14:paraId="1D358AD1">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4.我方同意最低价是成交的主要选择标准，但不是唯一的选择标准。</w:t>
      </w:r>
    </w:p>
    <w:p w14:paraId="33306231">
      <w:pPr>
        <w:spacing w:line="560" w:lineRule="exact"/>
        <w:ind w:firstLine="450" w:firstLineChars="150"/>
        <w:rPr>
          <w:rFonts w:ascii="仿宋_GB2312" w:hAnsi="仿宋" w:eastAsia="仿宋_GB2312"/>
          <w:sz w:val="30"/>
          <w:szCs w:val="30"/>
        </w:rPr>
      </w:pPr>
      <w:r>
        <w:rPr>
          <w:rFonts w:hint="eastAsia" w:ascii="仿宋_GB2312" w:hAnsi="仿宋" w:eastAsia="仿宋_GB2312"/>
          <w:sz w:val="30"/>
          <w:szCs w:val="30"/>
        </w:rPr>
        <w:t xml:space="preserve"> 5.如果我方成交：</w:t>
      </w:r>
    </w:p>
    <w:p w14:paraId="53757711">
      <w:pPr>
        <w:spacing w:line="560" w:lineRule="exact"/>
        <w:ind w:firstLine="450" w:firstLineChars="150"/>
        <w:rPr>
          <w:rFonts w:ascii="仿宋_GB2312" w:hAnsi="仿宋" w:eastAsia="仿宋_GB2312"/>
          <w:sz w:val="30"/>
          <w:szCs w:val="30"/>
        </w:rPr>
      </w:pPr>
      <w:r>
        <w:rPr>
          <w:rFonts w:hint="eastAsia" w:ascii="仿宋_GB2312" w:hAnsi="仿宋" w:eastAsia="仿宋_GB2312"/>
          <w:sz w:val="30"/>
          <w:szCs w:val="30"/>
        </w:rPr>
        <w:t>（1）我方承诺在成交通知书发出后，在规定期限内与采购人签订合同；</w:t>
      </w:r>
    </w:p>
    <w:p w14:paraId="21440EC7">
      <w:pPr>
        <w:spacing w:line="560" w:lineRule="exact"/>
        <w:ind w:firstLine="450" w:firstLineChars="150"/>
        <w:rPr>
          <w:rFonts w:ascii="仿宋_GB2312" w:hAnsi="仿宋" w:eastAsia="仿宋_GB2312"/>
          <w:sz w:val="30"/>
          <w:szCs w:val="30"/>
        </w:rPr>
      </w:pPr>
      <w:r>
        <w:rPr>
          <w:rFonts w:hint="eastAsia" w:ascii="仿宋_GB2312" w:hAnsi="仿宋" w:eastAsia="仿宋_GB2312"/>
          <w:sz w:val="30"/>
          <w:szCs w:val="30"/>
        </w:rPr>
        <w:t>（2）我方承诺在合同约定的期限内，按期、保质、保量完成服务任务；</w:t>
      </w:r>
    </w:p>
    <w:p w14:paraId="0AAAB3C9">
      <w:pPr>
        <w:spacing w:line="560" w:lineRule="exact"/>
        <w:ind w:firstLine="450" w:firstLineChars="150"/>
        <w:rPr>
          <w:rFonts w:ascii="仿宋_GB2312" w:hAnsi="仿宋" w:eastAsia="仿宋_GB2312"/>
          <w:sz w:val="30"/>
          <w:szCs w:val="30"/>
        </w:rPr>
      </w:pPr>
      <w:r>
        <w:rPr>
          <w:rFonts w:hint="eastAsia" w:ascii="仿宋_GB2312" w:hAnsi="仿宋" w:eastAsia="仿宋_GB2312"/>
          <w:sz w:val="30"/>
          <w:szCs w:val="30"/>
        </w:rPr>
        <w:t>（3）我方承诺将按照磋商文件的规定全额交纳代理服务费。</w:t>
      </w:r>
    </w:p>
    <w:p w14:paraId="0CD52938">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6.所有有关本报价的函电，请按下列地址联系：</w:t>
      </w:r>
    </w:p>
    <w:p w14:paraId="7C0A5B4D">
      <w:pPr>
        <w:spacing w:line="560" w:lineRule="exact"/>
        <w:ind w:firstLine="640"/>
        <w:rPr>
          <w:rFonts w:ascii="仿宋_GB2312" w:hAnsi="仿宋" w:eastAsia="仿宋_GB2312"/>
          <w:sz w:val="30"/>
          <w:szCs w:val="30"/>
        </w:rPr>
      </w:pPr>
      <w:r>
        <w:rPr>
          <w:rFonts w:hint="eastAsia" w:ascii="仿宋_GB2312" w:hAnsi="仿宋" w:eastAsia="仿宋_GB2312"/>
          <w:sz w:val="30"/>
          <w:szCs w:val="30"/>
        </w:rPr>
        <w:t>单    位：                     邮政编码：</w:t>
      </w:r>
    </w:p>
    <w:p w14:paraId="59FE21FC">
      <w:pPr>
        <w:spacing w:line="560" w:lineRule="exact"/>
        <w:ind w:firstLine="640"/>
        <w:rPr>
          <w:rFonts w:ascii="仿宋_GB2312" w:hAnsi="仿宋" w:eastAsia="仿宋_GB2312"/>
          <w:sz w:val="30"/>
          <w:szCs w:val="30"/>
        </w:rPr>
      </w:pPr>
      <w:r>
        <w:rPr>
          <w:rFonts w:hint="eastAsia" w:ascii="仿宋_GB2312" w:hAnsi="仿宋" w:eastAsia="仿宋_GB2312"/>
          <w:sz w:val="30"/>
          <w:szCs w:val="30"/>
        </w:rPr>
        <w:t>地    址：                     联 系 人：</w:t>
      </w:r>
    </w:p>
    <w:p w14:paraId="3CBF061A">
      <w:pPr>
        <w:spacing w:line="560" w:lineRule="exact"/>
        <w:ind w:firstLine="640"/>
        <w:rPr>
          <w:rFonts w:ascii="仿宋_GB2312" w:hAnsi="仿宋" w:eastAsia="仿宋_GB2312"/>
          <w:sz w:val="30"/>
          <w:szCs w:val="30"/>
        </w:rPr>
      </w:pPr>
      <w:r>
        <w:rPr>
          <w:rFonts w:hint="eastAsia" w:ascii="仿宋_GB2312" w:hAnsi="仿宋" w:eastAsia="仿宋_GB2312"/>
          <w:sz w:val="30"/>
          <w:szCs w:val="30"/>
        </w:rPr>
        <w:t>电    话：                     传    真：</w:t>
      </w:r>
    </w:p>
    <w:p w14:paraId="1EC8EF27">
      <w:pPr>
        <w:spacing w:line="560" w:lineRule="exact"/>
        <w:ind w:firstLine="640"/>
        <w:rPr>
          <w:rFonts w:ascii="仿宋_GB2312" w:hAnsi="仿宋" w:eastAsia="仿宋_GB2312"/>
          <w:sz w:val="30"/>
          <w:szCs w:val="30"/>
        </w:rPr>
      </w:pPr>
      <w:r>
        <w:rPr>
          <w:rFonts w:hint="eastAsia" w:ascii="仿宋_GB2312" w:hAnsi="仿宋" w:eastAsia="仿宋_GB2312"/>
          <w:sz w:val="30"/>
          <w:szCs w:val="30"/>
        </w:rPr>
        <w:t>开户名称：</w:t>
      </w:r>
    </w:p>
    <w:p w14:paraId="1B2546F1">
      <w:pPr>
        <w:spacing w:line="560" w:lineRule="exact"/>
        <w:ind w:firstLine="640"/>
        <w:rPr>
          <w:rFonts w:ascii="仿宋_GB2312" w:hAnsi="仿宋" w:eastAsia="仿宋_GB2312"/>
          <w:sz w:val="30"/>
          <w:szCs w:val="30"/>
        </w:rPr>
      </w:pPr>
      <w:r>
        <w:rPr>
          <w:rFonts w:hint="eastAsia" w:ascii="仿宋_GB2312" w:hAnsi="仿宋" w:eastAsia="仿宋_GB2312"/>
          <w:sz w:val="30"/>
          <w:szCs w:val="30"/>
        </w:rPr>
        <w:t>开户银行：</w:t>
      </w:r>
    </w:p>
    <w:p w14:paraId="05ACD88A">
      <w:pPr>
        <w:spacing w:line="560" w:lineRule="exact"/>
        <w:ind w:firstLine="640"/>
        <w:rPr>
          <w:rFonts w:ascii="仿宋_GB2312" w:hAnsi="仿宋" w:eastAsia="仿宋_GB2312"/>
          <w:sz w:val="30"/>
          <w:szCs w:val="30"/>
        </w:rPr>
      </w:pPr>
      <w:r>
        <w:rPr>
          <w:rFonts w:hint="eastAsia" w:ascii="仿宋_GB2312" w:hAnsi="仿宋" w:eastAsia="仿宋_GB2312"/>
          <w:sz w:val="30"/>
          <w:szCs w:val="30"/>
        </w:rPr>
        <w:t>开户账号：</w:t>
      </w:r>
    </w:p>
    <w:p w14:paraId="2152F64E">
      <w:pPr>
        <w:spacing w:line="560" w:lineRule="exact"/>
        <w:ind w:firstLine="640"/>
        <w:rPr>
          <w:rFonts w:ascii="仿宋_GB2312" w:hAnsi="仿宋" w:eastAsia="仿宋_GB2312"/>
          <w:sz w:val="30"/>
          <w:szCs w:val="30"/>
        </w:rPr>
      </w:pPr>
      <w:r>
        <w:rPr>
          <w:rFonts w:hint="eastAsia" w:ascii="仿宋_GB2312" w:hAnsi="仿宋" w:eastAsia="仿宋_GB2312"/>
          <w:sz w:val="30"/>
          <w:szCs w:val="30"/>
        </w:rPr>
        <w:t xml:space="preserve">供应商（盖章）： </w:t>
      </w:r>
    </w:p>
    <w:p w14:paraId="6BBD075A">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法定代表人（依法登记的负责人）或授权代表（签字或签章）：</w:t>
      </w:r>
    </w:p>
    <w:p w14:paraId="4FFE716C">
      <w:pPr>
        <w:spacing w:line="560" w:lineRule="exact"/>
        <w:ind w:firstLine="640"/>
        <w:rPr>
          <w:rFonts w:ascii="仿宋_GB2312" w:hAnsi="仿宋" w:eastAsia="仿宋_GB2312"/>
          <w:sz w:val="30"/>
          <w:szCs w:val="30"/>
        </w:rPr>
      </w:pPr>
      <w:r>
        <w:rPr>
          <w:rFonts w:hint="eastAsia" w:ascii="仿宋_GB2312" w:hAnsi="仿宋" w:eastAsia="仿宋_GB2312"/>
          <w:sz w:val="30"/>
          <w:szCs w:val="30"/>
        </w:rPr>
        <w:t>报价日期：××年××月××日</w:t>
      </w:r>
    </w:p>
    <w:p w14:paraId="180DD70C">
      <w:pPr>
        <w:spacing w:line="560" w:lineRule="exact"/>
        <w:ind w:firstLine="640"/>
        <w:rPr>
          <w:rFonts w:ascii="仿宋_GB2312" w:hAnsi="仿宋" w:eastAsia="仿宋_GB2312"/>
          <w:sz w:val="30"/>
          <w:szCs w:val="30"/>
        </w:rPr>
      </w:pPr>
      <w:r>
        <w:rPr>
          <w:rFonts w:hint="eastAsia" w:ascii="仿宋_GB2312" w:hAnsi="仿宋" w:eastAsia="仿宋_GB2312"/>
          <w:sz w:val="30"/>
          <w:szCs w:val="30"/>
        </w:rPr>
        <w:t xml:space="preserve">    </w:t>
      </w:r>
    </w:p>
    <w:p w14:paraId="12102BFF">
      <w:pPr>
        <w:keepNext/>
        <w:keepLines/>
        <w:spacing w:before="120" w:after="120" w:line="560" w:lineRule="exact"/>
        <w:jc w:val="center"/>
        <w:outlineLvl w:val="1"/>
        <w:rPr>
          <w:rFonts w:ascii="Arial" w:hAnsi="Arial" w:eastAsia="黑体"/>
          <w:bCs/>
          <w:sz w:val="44"/>
          <w:szCs w:val="32"/>
        </w:rPr>
      </w:pPr>
      <w:r>
        <w:rPr>
          <w:rFonts w:ascii="仿宋_GB2312" w:hAnsi="仿宋" w:eastAsia="仿宋_GB2312"/>
          <w:bCs/>
          <w:sz w:val="30"/>
          <w:szCs w:val="30"/>
        </w:rPr>
        <w:br w:type="page"/>
      </w:r>
      <w:r>
        <w:rPr>
          <w:rFonts w:hint="eastAsia" w:ascii="Arial" w:hAnsi="Arial" w:eastAsia="黑体"/>
          <w:bCs/>
          <w:sz w:val="44"/>
          <w:szCs w:val="32"/>
        </w:rPr>
        <w:t>供应商资格证明文件</w:t>
      </w:r>
    </w:p>
    <w:p w14:paraId="711DD134">
      <w:pPr>
        <w:keepNext/>
        <w:keepLines/>
        <w:spacing w:before="120" w:after="120" w:line="560" w:lineRule="exact"/>
        <w:jc w:val="center"/>
        <w:outlineLvl w:val="2"/>
        <w:rPr>
          <w:rFonts w:eastAsia="黑体"/>
          <w:bCs/>
          <w:sz w:val="32"/>
          <w:szCs w:val="32"/>
        </w:rPr>
      </w:pPr>
      <w:r>
        <w:rPr>
          <w:rFonts w:hint="eastAsia" w:eastAsia="黑体"/>
          <w:bCs/>
          <w:sz w:val="32"/>
          <w:szCs w:val="32"/>
        </w:rPr>
        <w:t>法人或其他组织的营业执照等证明文件扫描件</w:t>
      </w:r>
    </w:p>
    <w:p w14:paraId="7B422FB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hint="eastAsia" w:eastAsia="黑体"/>
          <w:bCs/>
          <w:sz w:val="32"/>
          <w:szCs w:val="32"/>
        </w:rPr>
        <w:t>法定代表人或负责人身份证明书</w:t>
      </w:r>
    </w:p>
    <w:p w14:paraId="5E493706">
      <w:pPr>
        <w:ind w:right="840"/>
        <w:jc w:val="center"/>
        <w:rPr>
          <w:rFonts w:hAnsi="宋体"/>
        </w:rPr>
      </w:pPr>
    </w:p>
    <w:p w14:paraId="27E96169">
      <w:pPr>
        <w:spacing w:line="560" w:lineRule="exact"/>
        <w:rPr>
          <w:rFonts w:ascii="仿宋_GB2312" w:hAnsi="仿宋" w:eastAsia="仿宋_GB2312"/>
          <w:sz w:val="30"/>
          <w:szCs w:val="30"/>
        </w:rPr>
      </w:pPr>
      <w:r>
        <w:rPr>
          <w:rFonts w:hint="eastAsia" w:ascii="仿宋_GB2312" w:hAnsi="仿宋" w:eastAsia="仿宋_GB2312"/>
          <w:sz w:val="32"/>
          <w:szCs w:val="32"/>
        </w:rPr>
        <w:t>致</w:t>
      </w:r>
      <w:r>
        <w:rPr>
          <w:rFonts w:hint="eastAsia" w:ascii="仿宋_GB2312" w:hAnsi="仿宋" w:eastAsia="仿宋_GB2312"/>
          <w:sz w:val="30"/>
          <w:szCs w:val="30"/>
        </w:rPr>
        <w:t>山东华正建筑设计咨询有限公司：</w:t>
      </w:r>
    </w:p>
    <w:p w14:paraId="64A09157">
      <w:pPr>
        <w:tabs>
          <w:tab w:val="left" w:pos="5580"/>
        </w:tabs>
        <w:spacing w:line="600" w:lineRule="exact"/>
        <w:ind w:left="1100" w:leftChars="-29" w:hanging="1161"/>
        <w:rPr>
          <w:rFonts w:ascii="仿宋_GB2312" w:hAnsi="仿宋" w:eastAsia="仿宋_GB2312"/>
          <w:sz w:val="32"/>
          <w:szCs w:val="32"/>
        </w:rPr>
      </w:pPr>
    </w:p>
    <w:p w14:paraId="40966358">
      <w:pPr>
        <w:tabs>
          <w:tab w:val="left" w:pos="5580"/>
        </w:tabs>
        <w:spacing w:line="600" w:lineRule="exact"/>
        <w:ind w:left="-113" w:leftChars="-54" w:firstLine="640" w:firstLineChars="200"/>
        <w:rPr>
          <w:rFonts w:ascii="仿宋_GB2312" w:hAnsi="仿宋" w:eastAsia="仿宋_GB2312"/>
          <w:sz w:val="32"/>
          <w:szCs w:val="32"/>
        </w:rPr>
      </w:pPr>
      <w:r>
        <w:rPr>
          <w:rFonts w:hint="eastAsia" w:ascii="仿宋_GB2312" w:hAnsi="仿宋" w:eastAsia="仿宋_GB2312"/>
          <w:sz w:val="32"/>
          <w:szCs w:val="32"/>
        </w:rPr>
        <w:t xml:space="preserve">（姓名、性别、年龄、身份证号码）在我单位任 </w:t>
      </w:r>
      <w:r>
        <w:rPr>
          <w:rFonts w:ascii="仿宋_GB2312" w:hAnsi="仿宋" w:eastAsia="仿宋_GB2312"/>
          <w:sz w:val="32"/>
          <w:szCs w:val="32"/>
        </w:rPr>
        <w:t xml:space="preserve">      </w:t>
      </w:r>
      <w:r>
        <w:rPr>
          <w:rFonts w:hint="eastAsia" w:ascii="仿宋_GB2312" w:hAnsi="仿宋" w:eastAsia="仿宋_GB2312"/>
          <w:sz w:val="32"/>
          <w:szCs w:val="32"/>
        </w:rPr>
        <w:t>（董事长、总经理等）职务，是我单位的法定代表人（依法登记的负责人）。</w:t>
      </w:r>
    </w:p>
    <w:p w14:paraId="4E39E994">
      <w:pPr>
        <w:tabs>
          <w:tab w:val="left" w:pos="5580"/>
        </w:tabs>
        <w:spacing w:line="600" w:lineRule="exact"/>
        <w:rPr>
          <w:rFonts w:ascii="仿宋_GB2312" w:hAnsi="仿宋" w:eastAsia="仿宋_GB2312"/>
          <w:sz w:val="32"/>
          <w:szCs w:val="32"/>
        </w:rPr>
      </w:pPr>
    </w:p>
    <w:p w14:paraId="30A3EF06">
      <w:pPr>
        <w:tabs>
          <w:tab w:val="left" w:pos="5580"/>
        </w:tabs>
        <w:spacing w:line="600" w:lineRule="exact"/>
        <w:ind w:left="1080" w:leftChars="257" w:hanging="540"/>
        <w:rPr>
          <w:rFonts w:ascii="仿宋_GB2312" w:hAnsi="仿宋" w:eastAsia="仿宋_GB2312"/>
          <w:sz w:val="32"/>
          <w:szCs w:val="32"/>
        </w:rPr>
      </w:pPr>
      <w:r>
        <w:rPr>
          <w:rFonts w:hint="eastAsia" w:ascii="仿宋_GB2312" w:hAnsi="仿宋" w:eastAsia="仿宋_GB2312"/>
          <w:sz w:val="32"/>
          <w:szCs w:val="32"/>
        </w:rPr>
        <w:t>特此证明。</w:t>
      </w:r>
    </w:p>
    <w:p w14:paraId="2A23C219">
      <w:pPr>
        <w:spacing w:line="600" w:lineRule="exact"/>
        <w:rPr>
          <w:rFonts w:ascii="仿宋_GB2312" w:hAnsi="仿宋" w:eastAsia="仿宋_GB2312"/>
          <w:sz w:val="32"/>
          <w:szCs w:val="32"/>
        </w:rPr>
      </w:pPr>
    </w:p>
    <w:p w14:paraId="071AC652">
      <w:pPr>
        <w:tabs>
          <w:tab w:val="left" w:pos="5580"/>
        </w:tabs>
        <w:spacing w:line="600" w:lineRule="exact"/>
        <w:ind w:left="-540" w:leftChars="-257" w:right="960" w:firstLine="1200" w:firstLineChars="375"/>
        <w:jc w:val="right"/>
        <w:rPr>
          <w:rFonts w:ascii="仿宋_GB2312" w:hAnsi="仿宋" w:eastAsia="仿宋_GB2312"/>
          <w:sz w:val="32"/>
          <w:szCs w:val="32"/>
        </w:rPr>
      </w:pPr>
      <w:r>
        <w:rPr>
          <w:rFonts w:hint="eastAsia" w:ascii="仿宋_GB2312" w:hAnsi="仿宋" w:eastAsia="仿宋_GB2312"/>
          <w:sz w:val="32"/>
          <w:szCs w:val="32"/>
        </w:rPr>
        <w:t>供应商名称（公</w:t>
      </w:r>
      <w:r>
        <w:rPr>
          <w:rFonts w:ascii="仿宋_GB2312" w:hAnsi="仿宋" w:eastAsia="仿宋_GB2312"/>
          <w:sz w:val="32"/>
          <w:szCs w:val="32"/>
        </w:rPr>
        <w:t>章）：</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23AA5B8F">
      <w:pPr>
        <w:keepNext/>
        <w:keepLines/>
        <w:spacing w:before="120" w:after="120" w:line="560" w:lineRule="exact"/>
        <w:jc w:val="center"/>
        <w:outlineLvl w:val="2"/>
        <w:rPr>
          <w:rFonts w:eastAsia="黑体"/>
          <w:bCs/>
          <w:sz w:val="44"/>
          <w:szCs w:val="32"/>
        </w:rPr>
      </w:pPr>
      <w:r>
        <w:br w:type="page"/>
      </w:r>
      <w:r>
        <w:rPr>
          <w:rFonts w:hint="eastAsia" w:eastAsia="黑体"/>
          <w:bCs/>
          <w:sz w:val="32"/>
          <w:szCs w:val="32"/>
        </w:rPr>
        <w:t>法人授权委托书</w:t>
      </w:r>
    </w:p>
    <w:p w14:paraId="2180C818">
      <w:pPr>
        <w:spacing w:line="480" w:lineRule="exact"/>
        <w:ind w:firstLine="640" w:firstLineChars="200"/>
      </w:pPr>
      <w:r>
        <w:rPr>
          <w:rFonts w:hint="eastAsia" w:ascii="仿宋_GB2312" w:hAnsi="仿宋" w:eastAsia="仿宋_GB2312"/>
          <w:sz w:val="32"/>
          <w:szCs w:val="32"/>
        </w:rPr>
        <w:t>本授权书声明：注册于</w:t>
      </w:r>
      <w:r>
        <w:rPr>
          <w:rFonts w:hint="eastAsia" w:ascii="仿宋_GB2312" w:hAnsi="仿宋" w:eastAsia="仿宋_GB2312"/>
          <w:sz w:val="32"/>
          <w:szCs w:val="32"/>
          <w:u w:val="single"/>
        </w:rPr>
        <w:t xml:space="preserve">   （国家或地区的名称）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（公司名称）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（法人代表姓名、职务）  （</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），代表本公司授权</w:t>
      </w:r>
      <w:r>
        <w:rPr>
          <w:rFonts w:hint="eastAsia" w:ascii="仿宋_GB2312" w:hAnsi="仿宋" w:eastAsia="仿宋_GB2312"/>
          <w:sz w:val="32"/>
          <w:szCs w:val="32"/>
          <w:u w:val="single"/>
        </w:rPr>
        <w:t xml:space="preserve">  （被授权单位名称）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（被授权人的姓名、职务）（</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）为本公司的合法代理人，参加编号为：SDHZ2024-028，</w:t>
      </w:r>
      <w:r>
        <w:rPr>
          <w:rFonts w:ascii="仿宋_GB2312" w:hAnsi="仿宋" w:eastAsia="仿宋_GB2312"/>
          <w:sz w:val="32"/>
          <w:szCs w:val="32"/>
        </w:rPr>
        <w:t>包号为：</w:t>
      </w:r>
      <w:r>
        <w:rPr>
          <w:rFonts w:ascii="仿宋_GB2312" w:hAnsi="宋体" w:eastAsia="仿宋_GB2312"/>
          <w:sz w:val="32"/>
          <w:szCs w:val="32"/>
        </w:rPr>
        <w:t>A</w:t>
      </w:r>
      <w:r>
        <w:rPr>
          <w:rFonts w:hint="eastAsia" w:ascii="仿宋_GB2312" w:hAnsi="仿宋" w:eastAsia="仿宋_GB2312"/>
          <w:sz w:val="32"/>
          <w:szCs w:val="32"/>
        </w:rPr>
        <w:t>的竞争性磋商采购活动，以本公司名义处理一切与之有关的事宜。</w:t>
      </w:r>
    </w:p>
    <w:p w14:paraId="7A9CCF8A">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如果本公司在此次采购活动中成交，被授权人有权代表本公司签署政府采购合同。</w:t>
      </w:r>
    </w:p>
    <w:p w14:paraId="54D051BA">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本授权书于</w:t>
      </w:r>
      <w:r>
        <w:rPr>
          <w:rFonts w:hint="eastAsia" w:ascii="仿宋_GB2312" w:hAnsi="仿宋" w:eastAsia="仿宋_GB2312"/>
          <w:sz w:val="32"/>
          <w:szCs w:val="32"/>
          <w:u w:val="single"/>
        </w:rPr>
        <w:t xml:space="preserve">      </w:t>
      </w:r>
      <w:r>
        <w:rPr>
          <w:rFonts w:hint="eastAsia" w:ascii="仿宋_GB2312" w:hAnsi="仿宋" w:eastAsia="仿宋_GB2312"/>
          <w:sz w:val="32"/>
          <w:szCs w:val="32"/>
        </w:rPr>
        <w:t>年</w:t>
      </w:r>
      <w:r>
        <w:rPr>
          <w:rFonts w:hint="eastAsia" w:ascii="仿宋_GB2312" w:hAnsi="仿宋" w:eastAsia="仿宋_GB2312"/>
          <w:sz w:val="32"/>
          <w:szCs w:val="32"/>
          <w:u w:val="single"/>
        </w:rPr>
        <w:t xml:space="preserve">    </w:t>
      </w:r>
      <w:r>
        <w:rPr>
          <w:rFonts w:hint="eastAsia" w:ascii="仿宋_GB2312" w:hAnsi="仿宋" w:eastAsia="仿宋_GB2312"/>
          <w:sz w:val="32"/>
          <w:szCs w:val="32"/>
        </w:rPr>
        <w:t>月</w:t>
      </w:r>
      <w:r>
        <w:rPr>
          <w:rFonts w:hint="eastAsia" w:ascii="仿宋_GB2312" w:hAnsi="仿宋" w:eastAsia="仿宋_GB2312"/>
          <w:sz w:val="32"/>
          <w:szCs w:val="32"/>
          <w:u w:val="single"/>
        </w:rPr>
        <w:t xml:space="preserve">    </w:t>
      </w:r>
      <w:r>
        <w:rPr>
          <w:rFonts w:hint="eastAsia" w:ascii="仿宋_GB2312" w:hAnsi="仿宋" w:eastAsia="仿宋_GB2312"/>
          <w:sz w:val="32"/>
          <w:szCs w:val="32"/>
        </w:rPr>
        <w:t>日由本单位法定代表人（依法登记的负责人）签字或盖章并由被授权人签字、单位盖章生效，特此声明。</w:t>
      </w:r>
    </w:p>
    <w:p w14:paraId="681C3A2A">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被授权人无转委托权。</w:t>
      </w:r>
    </w:p>
    <w:p w14:paraId="2132F4E8">
      <w:pPr>
        <w:spacing w:line="48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法定代表人（依法登记的负责人）签字或签章：</w:t>
      </w:r>
    </w:p>
    <w:p w14:paraId="08FD5C42">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被授权人签字：</w:t>
      </w:r>
    </w:p>
    <w:p w14:paraId="500A87F8">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供应商（公章）:</w:t>
      </w:r>
    </w:p>
    <w:p w14:paraId="427DC550">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详细通讯地址：</w:t>
      </w:r>
    </w:p>
    <w:p w14:paraId="417E8FAF">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邮 政 编 码 ：</w:t>
      </w:r>
    </w:p>
    <w:p w14:paraId="732B9EE1">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传 </w:t>
      </w:r>
      <w:r>
        <w:rPr>
          <w:rFonts w:ascii="仿宋_GB2312" w:hAnsi="仿宋" w:eastAsia="仿宋_GB2312"/>
          <w:sz w:val="32"/>
          <w:szCs w:val="32"/>
        </w:rPr>
        <w:t xml:space="preserve">     </w:t>
      </w:r>
      <w:r>
        <w:rPr>
          <w:rFonts w:hint="eastAsia" w:ascii="仿宋_GB2312" w:hAnsi="仿宋" w:eastAsia="仿宋_GB2312"/>
          <w:sz w:val="32"/>
          <w:szCs w:val="32"/>
        </w:rPr>
        <w:t>真：</w:t>
      </w:r>
    </w:p>
    <w:p w14:paraId="055189DA">
      <w:pPr>
        <w:spacing w:line="52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电 </w:t>
      </w:r>
      <w:r>
        <w:rPr>
          <w:rFonts w:ascii="仿宋_GB2312" w:hAnsi="仿宋" w:eastAsia="仿宋_GB2312"/>
          <w:sz w:val="32"/>
          <w:szCs w:val="32"/>
        </w:rPr>
        <w:t xml:space="preserve">     </w:t>
      </w:r>
      <w:r>
        <w:rPr>
          <w:rFonts w:hint="eastAsia" w:ascii="仿宋_GB2312" w:hAnsi="仿宋" w:eastAsia="仿宋_GB2312"/>
          <w:sz w:val="32"/>
          <w:szCs w:val="32"/>
        </w:rPr>
        <w:t>话：</w:t>
      </w:r>
      <w:r>
        <w:rPr>
          <w:rFonts w:ascii="仿宋_GB2312" w:hAnsi="仿宋" w:eastAsia="仿宋_GB2312"/>
          <w:sz w:val="32"/>
          <w:szCs w:val="32"/>
        </w:rPr>
        <w:t xml:space="preserve"> </w:t>
      </w:r>
    </w:p>
    <w:tbl>
      <w:tblPr>
        <w:tblStyle w:val="33"/>
        <w:tblpPr w:leftFromText="180" w:rightFromText="180" w:vertAnchor="text" w:horzAnchor="margin"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786"/>
        <w:gridCol w:w="4786"/>
      </w:tblGrid>
      <w:tr w14:paraId="0884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2" w:hRule="atLeast"/>
        </w:trPr>
        <w:tc>
          <w:tcPr>
            <w:tcW w:w="4786" w:type="dxa"/>
            <w:vAlign w:val="center"/>
          </w:tcPr>
          <w:p w14:paraId="18EE8EC8">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（被授权人身份证扫描件反面）</w:t>
            </w:r>
          </w:p>
        </w:tc>
        <w:tc>
          <w:tcPr>
            <w:tcW w:w="4786" w:type="dxa"/>
            <w:vAlign w:val="center"/>
          </w:tcPr>
          <w:p w14:paraId="000A39D4">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（被授权人身份证扫描件正面）</w:t>
            </w:r>
          </w:p>
        </w:tc>
      </w:tr>
    </w:tbl>
    <w:p w14:paraId="15DE5508">
      <w:pPr>
        <w:keepNext/>
        <w:keepLines/>
        <w:spacing w:before="120" w:after="120" w:line="560" w:lineRule="exact"/>
        <w:jc w:val="center"/>
        <w:outlineLvl w:val="2"/>
        <w:rPr>
          <w:rFonts w:eastAsia="黑体"/>
          <w:bCs/>
          <w:sz w:val="32"/>
          <w:szCs w:val="32"/>
        </w:rPr>
      </w:pPr>
      <w:r>
        <w:rPr>
          <w:rFonts w:hint="eastAsia" w:ascii="仿宋_GB2312" w:hAnsi="仿宋" w:eastAsia="仿宋_GB2312"/>
          <w:b/>
          <w:bCs/>
          <w:sz w:val="28"/>
          <w:szCs w:val="28"/>
        </w:rPr>
        <w:br w:type="page"/>
      </w:r>
      <w:r>
        <w:rPr>
          <w:rFonts w:hint="eastAsia" w:eastAsia="黑体"/>
          <w:bCs/>
          <w:sz w:val="32"/>
          <w:szCs w:val="32"/>
        </w:rPr>
        <w:t>依法缴纳税收和社会保障资金的声明</w:t>
      </w:r>
    </w:p>
    <w:p w14:paraId="7A35F633">
      <w:pPr>
        <w:ind w:firstLine="560"/>
        <w:jc w:val="center"/>
        <w:rPr>
          <w:rFonts w:ascii="仿宋" w:hAnsi="仿宋" w:eastAsia="仿宋" w:cs="仿宋"/>
          <w:sz w:val="28"/>
          <w:szCs w:val="28"/>
        </w:rPr>
      </w:pPr>
      <w:r>
        <w:rPr>
          <w:rFonts w:hint="eastAsia" w:ascii="仿宋" w:hAnsi="仿宋" w:eastAsia="仿宋" w:cs="仿宋"/>
          <w:sz w:val="28"/>
          <w:szCs w:val="28"/>
        </w:rPr>
        <w:t>（格式自拟，加盖供应商公章）</w:t>
      </w:r>
    </w:p>
    <w:p w14:paraId="6F861BB9">
      <w:pPr>
        <w:keepNext/>
        <w:keepLines/>
        <w:spacing w:before="120" w:after="120" w:line="560" w:lineRule="exact"/>
        <w:jc w:val="center"/>
        <w:outlineLvl w:val="2"/>
        <w:rPr>
          <w:rFonts w:eastAsia="黑体"/>
          <w:sz w:val="32"/>
          <w:szCs w:val="32"/>
        </w:rPr>
      </w:pPr>
      <w:r>
        <w:rPr>
          <w:rFonts w:ascii="Arial" w:hAnsi="Arial" w:eastAsia="黑体"/>
          <w:b/>
          <w:bCs/>
          <w:sz w:val="32"/>
          <w:szCs w:val="32"/>
        </w:rPr>
        <w:br w:type="page"/>
      </w:r>
      <w:r>
        <w:rPr>
          <w:rFonts w:hint="eastAsia" w:eastAsia="黑体"/>
          <w:sz w:val="32"/>
          <w:szCs w:val="32"/>
        </w:rPr>
        <w:t>供应商近期的完税凭证及缴纳社保资金凭证扫描件</w:t>
      </w:r>
    </w:p>
    <w:p w14:paraId="66C082CE">
      <w:pPr>
        <w:jc w:val="center"/>
        <w:rPr>
          <w:rFonts w:ascii="仿宋_GB2312" w:eastAsia="仿宋_GB2312"/>
          <w:sz w:val="28"/>
          <w:szCs w:val="28"/>
        </w:rPr>
      </w:pPr>
      <w:r>
        <w:rPr>
          <w:rFonts w:hint="eastAsia" w:ascii="仿宋_GB2312" w:eastAsia="仿宋_GB2312"/>
          <w:sz w:val="28"/>
          <w:szCs w:val="28"/>
        </w:rPr>
        <w:t>（加盖供应商公章）</w:t>
      </w:r>
    </w:p>
    <w:p w14:paraId="5BBB5168">
      <w:pPr>
        <w:keepNext/>
        <w:keepLines/>
        <w:spacing w:before="120" w:after="120" w:line="560" w:lineRule="exact"/>
        <w:jc w:val="center"/>
        <w:outlineLvl w:val="2"/>
        <w:rPr>
          <w:rFonts w:eastAsia="黑体"/>
          <w:bCs/>
          <w:sz w:val="32"/>
          <w:szCs w:val="32"/>
        </w:rPr>
      </w:pPr>
      <w:r>
        <w:br w:type="page"/>
      </w:r>
      <w:r>
        <w:rPr>
          <w:rFonts w:hint="eastAsia" w:eastAsia="黑体"/>
          <w:bCs/>
          <w:sz w:val="32"/>
          <w:szCs w:val="32"/>
        </w:rPr>
        <w:t>无重大违法记录声明</w:t>
      </w:r>
    </w:p>
    <w:p w14:paraId="3E6263B6">
      <w:pPr>
        <w:spacing w:line="460" w:lineRule="exact"/>
        <w:ind w:left="1747" w:leftChars="832"/>
        <w:jc w:val="center"/>
        <w:rPr>
          <w:rFonts w:ascii="仿宋_GB2312" w:hAnsi="仿宋" w:eastAsia="仿宋_GB2312"/>
          <w:b/>
          <w:bCs/>
          <w:sz w:val="28"/>
          <w:szCs w:val="28"/>
        </w:rPr>
      </w:pPr>
    </w:p>
    <w:p w14:paraId="741025E6">
      <w:pPr>
        <w:spacing w:line="480" w:lineRule="auto"/>
        <w:rPr>
          <w:rFonts w:ascii="仿宋_GB2312" w:hAnsi="仿宋" w:eastAsia="仿宋_GB2312"/>
          <w:bCs/>
          <w:sz w:val="28"/>
          <w:szCs w:val="28"/>
        </w:rPr>
      </w:pPr>
      <w:r>
        <w:rPr>
          <w:rFonts w:hint="eastAsia" w:ascii="仿宋_GB2312" w:hAnsi="仿宋" w:eastAsia="仿宋_GB2312"/>
          <w:bCs/>
          <w:sz w:val="28"/>
          <w:szCs w:val="28"/>
        </w:rPr>
        <w:t>本单位郑重声明：</w:t>
      </w:r>
    </w:p>
    <w:p w14:paraId="42E0437A">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我单位在参加采购活动前三年内在经营活动中没有《中华人民共和国政府采购法》第二十二条第一款第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47A7FED6">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我单位未因经营活动中的违法行为受到刑事处罚或者责令停产停业、吊销许可证或者执照、较大数额罚款等行政处罚。</w:t>
      </w:r>
    </w:p>
    <w:p w14:paraId="597F501C">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3C1F78CD">
      <w:pPr>
        <w:spacing w:line="480" w:lineRule="auto"/>
        <w:rPr>
          <w:rFonts w:ascii="仿宋_GB2312" w:hAnsi="仿宋" w:eastAsia="仿宋_GB2312"/>
          <w:bCs/>
          <w:sz w:val="28"/>
          <w:szCs w:val="28"/>
        </w:rPr>
      </w:pPr>
      <w:r>
        <w:rPr>
          <w:rFonts w:hint="eastAsia" w:ascii="仿宋_GB2312" w:hAnsi="仿宋" w:eastAsia="仿宋_GB2312"/>
          <w:bCs/>
          <w:sz w:val="28"/>
          <w:szCs w:val="28"/>
        </w:rPr>
        <w:t>特此声明！</w:t>
      </w:r>
    </w:p>
    <w:p w14:paraId="632F4F71">
      <w:pPr>
        <w:spacing w:line="480" w:lineRule="auto"/>
        <w:rPr>
          <w:rFonts w:ascii="仿宋_GB2312" w:hAnsi="仿宋" w:eastAsia="仿宋_GB2312"/>
          <w:bCs/>
          <w:sz w:val="28"/>
          <w:szCs w:val="28"/>
        </w:rPr>
      </w:pPr>
    </w:p>
    <w:p w14:paraId="615FA5AE">
      <w:pPr>
        <w:spacing w:line="480" w:lineRule="auto"/>
        <w:rPr>
          <w:rFonts w:ascii="仿宋_GB2312" w:hAnsi="仿宋" w:eastAsia="仿宋_GB2312"/>
          <w:bCs/>
          <w:sz w:val="28"/>
          <w:szCs w:val="28"/>
        </w:rPr>
      </w:pPr>
    </w:p>
    <w:p w14:paraId="38999B1C">
      <w:pPr>
        <w:spacing w:line="480" w:lineRule="auto"/>
        <w:rPr>
          <w:rFonts w:ascii="仿宋_GB2312" w:hAnsi="仿宋" w:eastAsia="仿宋_GB2312"/>
          <w:bCs/>
          <w:sz w:val="28"/>
          <w:szCs w:val="28"/>
        </w:rPr>
      </w:pPr>
    </w:p>
    <w:p w14:paraId="440A37D4">
      <w:pPr>
        <w:tabs>
          <w:tab w:val="left" w:pos="5580"/>
        </w:tabs>
        <w:wordWrap w:val="0"/>
        <w:spacing w:line="360" w:lineRule="auto"/>
        <w:jc w:val="right"/>
        <w:rPr>
          <w:rFonts w:ascii="仿宋_GB2312" w:hAnsi="宋体" w:eastAsia="仿宋_GB2312"/>
          <w:sz w:val="28"/>
          <w:szCs w:val="28"/>
        </w:rPr>
      </w:pPr>
      <w:r>
        <w:rPr>
          <w:rFonts w:hint="eastAsia" w:ascii="仿宋_GB2312" w:eastAsia="仿宋_GB2312"/>
          <w:sz w:val="28"/>
          <w:szCs w:val="28"/>
        </w:rPr>
        <w:t xml:space="preserve">供应商全称（公章）：          </w:t>
      </w:r>
    </w:p>
    <w:p w14:paraId="05C4E315">
      <w:pPr>
        <w:tabs>
          <w:tab w:val="left" w:pos="5580"/>
        </w:tabs>
        <w:spacing w:line="360" w:lineRule="auto"/>
        <w:ind w:firstLine="4132" w:firstLineChars="1476"/>
        <w:jc w:val="right"/>
        <w:rPr>
          <w:rFonts w:ascii="仿宋_GB2312" w:eastAsia="仿宋_GB2312"/>
          <w:sz w:val="28"/>
          <w:szCs w:val="28"/>
        </w:rPr>
      </w:pPr>
    </w:p>
    <w:p w14:paraId="273F609B">
      <w:pPr>
        <w:tabs>
          <w:tab w:val="left" w:pos="5580"/>
        </w:tabs>
        <w:wordWrap w:val="0"/>
        <w:spacing w:line="360" w:lineRule="auto"/>
        <w:jc w:val="right"/>
        <w:rPr>
          <w:rFonts w:ascii="仿宋_GB2312" w:eastAsia="仿宋_GB2312"/>
          <w:sz w:val="28"/>
          <w:szCs w:val="28"/>
        </w:rPr>
      </w:pPr>
      <w:r>
        <w:rPr>
          <w:rFonts w:hint="eastAsia" w:ascii="仿宋_GB2312" w:hAnsi="仿宋" w:eastAsia="仿宋_GB2312"/>
          <w:bCs/>
          <w:sz w:val="28"/>
          <w:szCs w:val="28"/>
        </w:rPr>
        <w:t xml:space="preserve">法定代表人签章：         </w:t>
      </w:r>
    </w:p>
    <w:p w14:paraId="61AE8C92">
      <w:pPr>
        <w:tabs>
          <w:tab w:val="left" w:pos="5580"/>
        </w:tabs>
        <w:spacing w:line="360" w:lineRule="auto"/>
        <w:ind w:firstLine="4132" w:firstLineChars="1476"/>
        <w:rPr>
          <w:rFonts w:ascii="仿宋_GB2312" w:eastAsia="仿宋_GB2312"/>
          <w:sz w:val="28"/>
          <w:szCs w:val="28"/>
        </w:rPr>
      </w:pPr>
    </w:p>
    <w:p w14:paraId="21E93361">
      <w:pPr>
        <w:widowControl/>
        <w:jc w:val="right"/>
        <w:rPr>
          <w:rFonts w:ascii="仿宋_GB2312" w:eastAsia="仿宋_GB2312"/>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p w14:paraId="4602623B">
      <w:pPr>
        <w:widowControl/>
        <w:jc w:val="right"/>
        <w:rPr>
          <w:rFonts w:ascii="宋体" w:hAnsi="宋体"/>
          <w:sz w:val="28"/>
          <w:szCs w:val="28"/>
        </w:rPr>
      </w:pPr>
      <w:r>
        <w:rPr>
          <w:rFonts w:ascii="仿宋_GB2312" w:eastAsia="仿宋_GB2312"/>
          <w:sz w:val="28"/>
          <w:szCs w:val="28"/>
        </w:rPr>
        <w:br w:type="page"/>
      </w:r>
    </w:p>
    <w:p w14:paraId="74FFB7E4">
      <w:pPr>
        <w:widowControl/>
        <w:jc w:val="right"/>
        <w:rPr>
          <w:rFonts w:ascii="宋体" w:hAnsi="宋体"/>
          <w:sz w:val="28"/>
          <w:szCs w:val="28"/>
        </w:rPr>
      </w:pPr>
    </w:p>
    <w:p w14:paraId="71A66085">
      <w:pPr>
        <w:keepNext/>
        <w:keepLines/>
        <w:spacing w:before="120" w:after="120" w:line="560" w:lineRule="exact"/>
        <w:jc w:val="center"/>
        <w:outlineLvl w:val="2"/>
        <w:rPr>
          <w:rFonts w:eastAsia="黑体"/>
          <w:bCs/>
          <w:sz w:val="32"/>
          <w:szCs w:val="32"/>
        </w:rPr>
      </w:pPr>
      <w:r>
        <w:rPr>
          <w:rFonts w:hint="eastAsia" w:eastAsia="黑体"/>
          <w:bCs/>
          <w:sz w:val="32"/>
          <w:szCs w:val="32"/>
        </w:rPr>
        <w:t>财务状况报告等相关材料</w:t>
      </w:r>
    </w:p>
    <w:p w14:paraId="2464D40F">
      <w:pPr>
        <w:jc w:val="center"/>
        <w:rPr>
          <w:rFonts w:ascii="仿宋_GB2312" w:eastAsia="仿宋_GB2312"/>
          <w:sz w:val="28"/>
          <w:szCs w:val="28"/>
        </w:rPr>
      </w:pPr>
      <w:r>
        <w:rPr>
          <w:rFonts w:hint="eastAsia" w:ascii="仿宋_GB2312" w:eastAsia="仿宋_GB2312"/>
          <w:sz w:val="28"/>
          <w:szCs w:val="28"/>
        </w:rPr>
        <w:t>（加盖供应商公章）</w:t>
      </w:r>
    </w:p>
    <w:p w14:paraId="2470DA85">
      <w:pPr>
        <w:keepNext/>
        <w:keepLines/>
        <w:spacing w:before="120" w:after="120" w:line="560" w:lineRule="exact"/>
        <w:jc w:val="center"/>
        <w:outlineLvl w:val="2"/>
        <w:rPr>
          <w:rFonts w:eastAsia="黑体"/>
          <w:bCs/>
          <w:sz w:val="32"/>
          <w:szCs w:val="32"/>
        </w:rPr>
      </w:pPr>
      <w:r>
        <w:br w:type="page"/>
      </w:r>
      <w:r>
        <w:rPr>
          <w:rFonts w:hint="eastAsia" w:eastAsia="黑体"/>
          <w:bCs/>
          <w:sz w:val="32"/>
          <w:szCs w:val="32"/>
        </w:rPr>
        <w:t>供应商具有履行合同所必需的设备和专业技术能力承诺函</w:t>
      </w:r>
    </w:p>
    <w:p w14:paraId="29478106">
      <w:pPr>
        <w:jc w:val="center"/>
        <w:rPr>
          <w:rFonts w:ascii="宋体" w:hAnsi="宋体"/>
          <w:sz w:val="28"/>
          <w:szCs w:val="28"/>
        </w:rPr>
      </w:pPr>
      <w:r>
        <w:rPr>
          <w:rFonts w:hint="eastAsia" w:ascii="仿宋_GB2312" w:eastAsia="仿宋_GB2312"/>
          <w:sz w:val="28"/>
          <w:szCs w:val="28"/>
        </w:rPr>
        <w:t>（格式自拟，加盖供应商公章）</w:t>
      </w:r>
    </w:p>
    <w:p w14:paraId="177C11DE">
      <w:pPr>
        <w:jc w:val="center"/>
        <w:rPr>
          <w:rFonts w:ascii="黑体" w:hAnsi="黑体" w:eastAsia="黑体"/>
          <w:sz w:val="32"/>
          <w:szCs w:val="32"/>
        </w:rPr>
      </w:pPr>
      <w:r>
        <w:rPr>
          <w:rFonts w:ascii="宋体" w:hAnsi="宋体" w:eastAsia="黑体"/>
          <w:bCs/>
          <w:sz w:val="28"/>
          <w:szCs w:val="28"/>
        </w:rPr>
        <w:br w:type="page"/>
      </w:r>
      <w:r>
        <w:rPr>
          <w:rFonts w:hint="eastAsia" w:ascii="黑体" w:hAnsi="黑体" w:eastAsia="黑体"/>
          <w:sz w:val="32"/>
          <w:szCs w:val="32"/>
        </w:rPr>
        <w:t>其他资质资格文件</w:t>
      </w:r>
    </w:p>
    <w:p w14:paraId="323930DB">
      <w:pPr>
        <w:jc w:val="center"/>
      </w:pPr>
      <w:r>
        <w:rPr>
          <w:rFonts w:hint="eastAsia" w:ascii="仿宋_GB2312" w:eastAsia="仿宋_GB2312"/>
          <w:sz w:val="28"/>
          <w:szCs w:val="28"/>
        </w:rPr>
        <w:t>（加盖供应商公章）</w:t>
      </w:r>
    </w:p>
    <w:p w14:paraId="37BA65E7">
      <w:pPr>
        <w:widowControl/>
        <w:jc w:val="center"/>
        <w:rPr>
          <w:rFonts w:ascii="黑体" w:hAnsi="黑体" w:eastAsia="黑体"/>
          <w:sz w:val="44"/>
          <w:szCs w:val="44"/>
        </w:rPr>
      </w:pPr>
      <w:r>
        <w:br w:type="page"/>
      </w:r>
      <w:r>
        <w:rPr>
          <w:rFonts w:hint="eastAsia" w:ascii="黑体" w:hAnsi="黑体" w:eastAsia="黑体"/>
          <w:sz w:val="44"/>
          <w:szCs w:val="44"/>
        </w:rPr>
        <w:t>供应商基本情况表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6A75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AF2462C">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01809139">
            <w:pPr>
              <w:spacing w:line="440" w:lineRule="exact"/>
              <w:jc w:val="center"/>
              <w:rPr>
                <w:rFonts w:ascii="仿宋_GB2312" w:hAnsi="仿宋" w:eastAsia="仿宋_GB2312"/>
                <w:sz w:val="28"/>
                <w:szCs w:val="28"/>
              </w:rPr>
            </w:pPr>
          </w:p>
        </w:tc>
        <w:tc>
          <w:tcPr>
            <w:tcW w:w="2106" w:type="dxa"/>
            <w:gridSpan w:val="3"/>
            <w:vAlign w:val="center"/>
          </w:tcPr>
          <w:p w14:paraId="0B3E7890">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2E4D3B0D">
            <w:pPr>
              <w:spacing w:line="440" w:lineRule="exact"/>
              <w:jc w:val="center"/>
              <w:rPr>
                <w:rFonts w:ascii="仿宋_GB2312" w:hAnsi="仿宋" w:eastAsia="仿宋_GB2312"/>
                <w:sz w:val="28"/>
                <w:szCs w:val="28"/>
              </w:rPr>
            </w:pPr>
          </w:p>
        </w:tc>
      </w:tr>
      <w:tr w14:paraId="6F7B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659BE8D">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00F4FC3C">
            <w:pPr>
              <w:spacing w:line="440" w:lineRule="exact"/>
              <w:jc w:val="center"/>
              <w:rPr>
                <w:rFonts w:ascii="仿宋_GB2312" w:hAnsi="仿宋" w:eastAsia="仿宋_GB2312"/>
                <w:sz w:val="28"/>
                <w:szCs w:val="28"/>
              </w:rPr>
            </w:pPr>
          </w:p>
        </w:tc>
        <w:tc>
          <w:tcPr>
            <w:tcW w:w="2106" w:type="dxa"/>
            <w:gridSpan w:val="3"/>
            <w:vAlign w:val="center"/>
          </w:tcPr>
          <w:p w14:paraId="1DA42B2A">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1E7F0FDE">
            <w:pPr>
              <w:spacing w:line="440" w:lineRule="exact"/>
              <w:jc w:val="center"/>
              <w:rPr>
                <w:rFonts w:ascii="仿宋_GB2312" w:hAnsi="仿宋" w:eastAsia="仿宋_GB2312"/>
                <w:sz w:val="28"/>
                <w:szCs w:val="28"/>
              </w:rPr>
            </w:pPr>
          </w:p>
        </w:tc>
      </w:tr>
      <w:tr w14:paraId="7D01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71C58C1">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30C1CDEF">
            <w:pPr>
              <w:spacing w:line="440" w:lineRule="exact"/>
              <w:jc w:val="center"/>
              <w:rPr>
                <w:rFonts w:ascii="仿宋_GB2312" w:hAnsi="仿宋" w:eastAsia="仿宋_GB2312"/>
                <w:sz w:val="28"/>
                <w:szCs w:val="28"/>
              </w:rPr>
            </w:pPr>
          </w:p>
        </w:tc>
      </w:tr>
      <w:tr w14:paraId="324EA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B7191A2">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3510402E">
            <w:pPr>
              <w:spacing w:line="440" w:lineRule="exact"/>
              <w:jc w:val="center"/>
              <w:rPr>
                <w:rFonts w:ascii="仿宋_GB2312" w:hAnsi="仿宋" w:eastAsia="仿宋_GB2312"/>
                <w:sz w:val="28"/>
                <w:szCs w:val="28"/>
              </w:rPr>
            </w:pPr>
          </w:p>
        </w:tc>
        <w:tc>
          <w:tcPr>
            <w:tcW w:w="2827" w:type="dxa"/>
            <w:gridSpan w:val="4"/>
            <w:vAlign w:val="center"/>
          </w:tcPr>
          <w:p w14:paraId="286E3F68">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0ED0F211">
            <w:pPr>
              <w:spacing w:line="440" w:lineRule="exact"/>
              <w:jc w:val="center"/>
              <w:rPr>
                <w:rFonts w:ascii="仿宋_GB2312" w:hAnsi="仿宋" w:eastAsia="仿宋_GB2312"/>
                <w:sz w:val="28"/>
                <w:szCs w:val="28"/>
              </w:rPr>
            </w:pPr>
          </w:p>
        </w:tc>
      </w:tr>
      <w:tr w14:paraId="5239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567" w:type="dxa"/>
            <w:vMerge w:val="restart"/>
            <w:vAlign w:val="center"/>
          </w:tcPr>
          <w:p w14:paraId="24138E8A">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6C406AE1">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6AE84BE1">
            <w:pPr>
              <w:spacing w:line="440" w:lineRule="exact"/>
              <w:jc w:val="center"/>
              <w:rPr>
                <w:rFonts w:ascii="仿宋_GB2312" w:hAnsi="仿宋" w:eastAsia="仿宋_GB2312"/>
                <w:sz w:val="28"/>
                <w:szCs w:val="28"/>
              </w:rPr>
            </w:pPr>
          </w:p>
        </w:tc>
      </w:tr>
      <w:tr w14:paraId="4D46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4DD585D3">
            <w:pPr>
              <w:spacing w:line="440" w:lineRule="exact"/>
              <w:jc w:val="center"/>
              <w:rPr>
                <w:rFonts w:ascii="仿宋_GB2312" w:hAnsi="仿宋" w:eastAsia="仿宋_GB2312"/>
                <w:sz w:val="28"/>
                <w:szCs w:val="28"/>
              </w:rPr>
            </w:pPr>
          </w:p>
        </w:tc>
        <w:tc>
          <w:tcPr>
            <w:tcW w:w="2214" w:type="dxa"/>
            <w:gridSpan w:val="2"/>
            <w:vAlign w:val="center"/>
          </w:tcPr>
          <w:p w14:paraId="03CA6D26">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1309DEBF">
            <w:pPr>
              <w:spacing w:line="440" w:lineRule="exact"/>
              <w:jc w:val="center"/>
              <w:rPr>
                <w:rFonts w:ascii="仿宋_GB2312" w:hAnsi="仿宋" w:eastAsia="仿宋_GB2312"/>
                <w:sz w:val="28"/>
                <w:szCs w:val="28"/>
              </w:rPr>
            </w:pPr>
          </w:p>
        </w:tc>
      </w:tr>
      <w:tr w14:paraId="0887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567" w:type="dxa"/>
            <w:vMerge w:val="continue"/>
            <w:textDirection w:val="tbRlV"/>
            <w:vAlign w:val="center"/>
          </w:tcPr>
          <w:p w14:paraId="201CD57D">
            <w:pPr>
              <w:spacing w:line="440" w:lineRule="exact"/>
              <w:jc w:val="center"/>
              <w:rPr>
                <w:rFonts w:ascii="仿宋_GB2312" w:hAnsi="仿宋" w:eastAsia="仿宋_GB2312"/>
                <w:sz w:val="28"/>
                <w:szCs w:val="28"/>
              </w:rPr>
            </w:pPr>
          </w:p>
        </w:tc>
        <w:tc>
          <w:tcPr>
            <w:tcW w:w="2214" w:type="dxa"/>
            <w:gridSpan w:val="2"/>
            <w:vAlign w:val="center"/>
          </w:tcPr>
          <w:p w14:paraId="54A6D592">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法定代表人（依法登记的负责人）</w:t>
            </w:r>
          </w:p>
        </w:tc>
        <w:tc>
          <w:tcPr>
            <w:tcW w:w="1665" w:type="dxa"/>
            <w:gridSpan w:val="2"/>
            <w:vAlign w:val="center"/>
          </w:tcPr>
          <w:p w14:paraId="3592F5DE">
            <w:pPr>
              <w:spacing w:line="440" w:lineRule="exact"/>
              <w:jc w:val="center"/>
              <w:rPr>
                <w:rFonts w:ascii="仿宋_GB2312" w:hAnsi="仿宋" w:eastAsia="仿宋_GB2312"/>
                <w:sz w:val="28"/>
                <w:szCs w:val="28"/>
              </w:rPr>
            </w:pPr>
          </w:p>
        </w:tc>
        <w:tc>
          <w:tcPr>
            <w:tcW w:w="2214" w:type="dxa"/>
            <w:gridSpan w:val="2"/>
            <w:vAlign w:val="center"/>
          </w:tcPr>
          <w:p w14:paraId="5AF6552C">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7F5521F1">
            <w:pPr>
              <w:spacing w:line="440" w:lineRule="exact"/>
              <w:jc w:val="center"/>
              <w:rPr>
                <w:rFonts w:ascii="仿宋_GB2312" w:hAnsi="仿宋" w:eastAsia="仿宋_GB2312"/>
                <w:sz w:val="28"/>
                <w:szCs w:val="28"/>
              </w:rPr>
            </w:pPr>
          </w:p>
        </w:tc>
      </w:tr>
      <w:tr w14:paraId="03A3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7578239">
            <w:pPr>
              <w:spacing w:line="440" w:lineRule="exact"/>
              <w:jc w:val="center"/>
              <w:rPr>
                <w:rFonts w:ascii="仿宋_GB2312" w:hAnsi="仿宋" w:eastAsia="仿宋_GB2312"/>
                <w:sz w:val="28"/>
                <w:szCs w:val="28"/>
              </w:rPr>
            </w:pPr>
          </w:p>
        </w:tc>
        <w:tc>
          <w:tcPr>
            <w:tcW w:w="2214" w:type="dxa"/>
            <w:gridSpan w:val="2"/>
            <w:vAlign w:val="center"/>
          </w:tcPr>
          <w:p w14:paraId="0917A73F">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28644046">
            <w:pPr>
              <w:spacing w:line="440" w:lineRule="exact"/>
              <w:jc w:val="center"/>
              <w:rPr>
                <w:rFonts w:ascii="仿宋_GB2312" w:hAnsi="仿宋" w:eastAsia="仿宋_GB2312"/>
                <w:sz w:val="28"/>
                <w:szCs w:val="28"/>
              </w:rPr>
            </w:pPr>
          </w:p>
        </w:tc>
        <w:tc>
          <w:tcPr>
            <w:tcW w:w="2214" w:type="dxa"/>
            <w:gridSpan w:val="2"/>
            <w:vAlign w:val="center"/>
          </w:tcPr>
          <w:p w14:paraId="3AF80097">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24651A65">
            <w:pPr>
              <w:spacing w:line="440" w:lineRule="exact"/>
              <w:jc w:val="center"/>
              <w:rPr>
                <w:rFonts w:ascii="仿宋_GB2312" w:hAnsi="仿宋" w:eastAsia="仿宋_GB2312"/>
                <w:sz w:val="28"/>
                <w:szCs w:val="28"/>
              </w:rPr>
            </w:pPr>
          </w:p>
        </w:tc>
      </w:tr>
      <w:tr w14:paraId="3B4B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567" w:type="dxa"/>
            <w:vMerge w:val="continue"/>
            <w:textDirection w:val="tbRlV"/>
            <w:vAlign w:val="center"/>
          </w:tcPr>
          <w:p w14:paraId="5E689A93">
            <w:pPr>
              <w:spacing w:line="440" w:lineRule="exact"/>
              <w:jc w:val="center"/>
              <w:rPr>
                <w:rFonts w:ascii="仿宋_GB2312" w:hAnsi="仿宋" w:eastAsia="仿宋_GB2312"/>
                <w:sz w:val="28"/>
                <w:szCs w:val="28"/>
              </w:rPr>
            </w:pPr>
          </w:p>
        </w:tc>
        <w:tc>
          <w:tcPr>
            <w:tcW w:w="2214" w:type="dxa"/>
            <w:gridSpan w:val="2"/>
            <w:vAlign w:val="center"/>
          </w:tcPr>
          <w:p w14:paraId="6C1394C8">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3D64BF78">
            <w:pPr>
              <w:spacing w:line="440" w:lineRule="exact"/>
              <w:jc w:val="center"/>
              <w:rPr>
                <w:rFonts w:ascii="仿宋_GB2312" w:hAnsi="仿宋" w:eastAsia="仿宋_GB2312"/>
                <w:sz w:val="28"/>
                <w:szCs w:val="28"/>
              </w:rPr>
            </w:pPr>
            <w:r>
              <w:rPr>
                <w:rFonts w:ascii="仿宋_GB2312" w:hAnsi="仿宋" w:eastAsia="仿宋_GB2312"/>
                <w:sz w:val="28"/>
                <w:szCs w:val="28"/>
              </w:rPr>
              <w:t xml:space="preserve">  </w:t>
            </w:r>
          </w:p>
        </w:tc>
      </w:tr>
      <w:tr w14:paraId="386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623A800A">
            <w:pPr>
              <w:spacing w:line="440" w:lineRule="exact"/>
              <w:jc w:val="center"/>
              <w:rPr>
                <w:rFonts w:ascii="仿宋_GB2312" w:hAnsi="仿宋" w:eastAsia="仿宋_GB2312"/>
                <w:sz w:val="28"/>
                <w:szCs w:val="28"/>
              </w:rPr>
            </w:pPr>
            <w:r>
              <w:rPr>
                <w:rFonts w:hint="eastAsia" w:ascii="仿宋_GB2312" w:hAnsi="仿宋" w:eastAsia="仿宋_GB2312"/>
                <w:sz w:val="28"/>
                <w:szCs w:val="28"/>
              </w:rPr>
              <w:t>报价供应商情况简介</w:t>
            </w:r>
          </w:p>
        </w:tc>
      </w:tr>
      <w:tr w14:paraId="5F7C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5441DCA4">
            <w:pPr>
              <w:spacing w:line="440" w:lineRule="exact"/>
              <w:rPr>
                <w:rFonts w:ascii="仿宋_GB2312" w:hAnsi="仿宋" w:eastAsia="仿宋_GB2312"/>
                <w:sz w:val="28"/>
                <w:szCs w:val="28"/>
              </w:rPr>
            </w:pPr>
            <w:r>
              <w:rPr>
                <w:rFonts w:ascii="仿宋_GB2312" w:hAnsi="仿宋" w:eastAsia="仿宋_GB2312"/>
                <w:sz w:val="28"/>
                <w:szCs w:val="28"/>
              </w:rPr>
              <w:t xml:space="preserve">  </w:t>
            </w:r>
          </w:p>
        </w:tc>
      </w:tr>
    </w:tbl>
    <w:p w14:paraId="645DEF03">
      <w:pPr>
        <w:rPr>
          <w:rFonts w:ascii="仿宋_GB2312" w:hAnsi="仿宋" w:eastAsia="仿宋_GB2312"/>
          <w:b/>
          <w:sz w:val="44"/>
          <w:szCs w:val="44"/>
        </w:rPr>
      </w:pPr>
    </w:p>
    <w:p w14:paraId="3CA96ADC">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 xml:space="preserve">报价供应商（盖章）： </w:t>
      </w:r>
      <w:r>
        <w:rPr>
          <w:rFonts w:ascii="仿宋_GB2312" w:hAnsi="仿宋" w:eastAsia="仿宋_GB2312"/>
          <w:sz w:val="28"/>
          <w:szCs w:val="28"/>
        </w:rPr>
        <w:t xml:space="preserve">  </w:t>
      </w:r>
      <w:r>
        <w:rPr>
          <w:rFonts w:hint="eastAsia" w:ascii="仿宋_GB2312" w:hAnsi="仿宋" w:eastAsia="仿宋_GB2312"/>
          <w:sz w:val="32"/>
          <w:szCs w:val="32"/>
        </w:rPr>
        <w:t xml:space="preserve">  </w:t>
      </w:r>
    </w:p>
    <w:p w14:paraId="2FA93393">
      <w:pPr>
        <w:wordWrap w:val="0"/>
        <w:spacing w:line="560" w:lineRule="exact"/>
        <w:jc w:val="right"/>
        <w:rPr>
          <w:rFonts w:ascii="仿宋_GB2312" w:hAnsi="仿宋" w:eastAsia="仿宋_GB2312"/>
          <w:b/>
          <w:bCs/>
          <w:sz w:val="30"/>
          <w:szCs w:val="30"/>
        </w:rPr>
      </w:pPr>
      <w:r>
        <w:rPr>
          <w:rFonts w:hint="eastAsia" w:ascii="仿宋_GB2312" w:hAnsi="仿宋" w:eastAsia="仿宋_GB2312"/>
          <w:sz w:val="32"/>
          <w:szCs w:val="32"/>
        </w:rPr>
        <w:t xml:space="preserve">法定代表人签章： </w:t>
      </w:r>
      <w:r>
        <w:rPr>
          <w:rFonts w:ascii="仿宋_GB2312" w:hAnsi="仿宋" w:eastAsia="仿宋_GB2312"/>
          <w:sz w:val="28"/>
          <w:szCs w:val="28"/>
        </w:rPr>
        <w:t xml:space="preserve">  </w:t>
      </w:r>
      <w:r>
        <w:rPr>
          <w:rFonts w:hint="eastAsia" w:ascii="仿宋_GB2312" w:hAnsi="仿宋" w:eastAsia="仿宋_GB2312"/>
          <w:sz w:val="32"/>
          <w:szCs w:val="32"/>
        </w:rPr>
        <w:t xml:space="preserve">  </w:t>
      </w:r>
    </w:p>
    <w:p w14:paraId="6F40C833">
      <w:pPr>
        <w:jc w:val="center"/>
        <w:rPr>
          <w:rFonts w:ascii="黑体" w:hAnsi="黑体" w:eastAsia="黑体"/>
          <w:sz w:val="32"/>
          <w:szCs w:val="32"/>
        </w:rPr>
      </w:pPr>
      <w:r>
        <w:rPr>
          <w:rFonts w:ascii="仿宋_GB2312" w:hAnsi="仿宋" w:eastAsia="仿宋_GB2312"/>
          <w:sz w:val="30"/>
          <w:szCs w:val="30"/>
          <w:u w:val="single"/>
        </w:rPr>
        <w:br w:type="page"/>
      </w:r>
      <w:r>
        <w:rPr>
          <w:rFonts w:hint="eastAsia" w:ascii="黑体" w:hAnsi="黑体" w:eastAsia="黑体"/>
          <w:sz w:val="32"/>
          <w:szCs w:val="32"/>
        </w:rPr>
        <w:t>项目负责人及拟派主要人员情况表</w:t>
      </w:r>
    </w:p>
    <w:tbl>
      <w:tblPr>
        <w:tblStyle w:val="33"/>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246"/>
        <w:gridCol w:w="1254"/>
        <w:gridCol w:w="164"/>
        <w:gridCol w:w="2091"/>
      </w:tblGrid>
      <w:tr w14:paraId="5894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4EE7F303">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5F02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48B0954D">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2C4E7EE1">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r>
              <w:rPr>
                <w:rFonts w:ascii="仿宋_GB2312" w:hAnsi="仿宋" w:eastAsia="仿宋_GB2312"/>
                <w:sz w:val="30"/>
                <w:szCs w:val="30"/>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4D3187F3">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3B51E191">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260C7714">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2F818A6">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r>
      <w:tr w14:paraId="569D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3D06BC5C">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3CBCD493">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5FDD1FA">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EC5061D">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r>
      <w:tr w14:paraId="53B73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6A637243">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2FA380C2">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06258D0A">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5674EEB">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r>
      <w:tr w14:paraId="135E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03EFD3CB">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235882F3">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0FDE44C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932F73C">
            <w:pPr>
              <w:spacing w:line="460" w:lineRule="exact"/>
              <w:jc w:val="center"/>
              <w:rPr>
                <w:rFonts w:ascii="仿宋_GB2312" w:hAnsi="仿宋" w:eastAsia="仿宋_GB2312"/>
                <w:sz w:val="30"/>
                <w:szCs w:val="30"/>
              </w:rPr>
            </w:pPr>
            <w:r>
              <w:rPr>
                <w:rFonts w:hint="eastAsia" w:ascii="仿宋_GB2312" w:hAnsi="仿宋" w:eastAsia="仿宋_GB2312"/>
                <w:sz w:val="30"/>
                <w:szCs w:val="30"/>
              </w:rPr>
              <w:t xml:space="preserve">  </w:t>
            </w:r>
          </w:p>
        </w:tc>
      </w:tr>
      <w:tr w14:paraId="71E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5C3A174A">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1046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0EC41C0">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AB3EC78">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DC0C316">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4032D32">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56840F88">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373F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6E5E3D5">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4AE9C31">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D056690">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8586239">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8F804EE">
            <w:pPr>
              <w:spacing w:line="460" w:lineRule="exact"/>
              <w:jc w:val="center"/>
              <w:rPr>
                <w:rFonts w:ascii="仿宋_GB2312" w:hAnsi="仿宋" w:eastAsia="仿宋_GB2312"/>
                <w:sz w:val="30"/>
                <w:szCs w:val="30"/>
              </w:rPr>
            </w:pPr>
          </w:p>
        </w:tc>
      </w:tr>
      <w:tr w14:paraId="448B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07DDF3E">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749D637">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9EF6E8A">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0513F2">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60B7E2C0">
            <w:pPr>
              <w:spacing w:line="460" w:lineRule="exact"/>
              <w:jc w:val="center"/>
              <w:rPr>
                <w:rFonts w:ascii="仿宋_GB2312" w:hAnsi="仿宋" w:eastAsia="仿宋_GB2312"/>
                <w:sz w:val="30"/>
                <w:szCs w:val="30"/>
              </w:rPr>
            </w:pPr>
          </w:p>
        </w:tc>
      </w:tr>
      <w:tr w14:paraId="3125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FC126BD">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6BD13E0">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9786668">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71879A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1224DBA0">
            <w:pPr>
              <w:spacing w:line="460" w:lineRule="exact"/>
              <w:jc w:val="center"/>
              <w:rPr>
                <w:rFonts w:ascii="仿宋_GB2312" w:hAnsi="仿宋" w:eastAsia="仿宋_GB2312"/>
                <w:sz w:val="30"/>
                <w:szCs w:val="30"/>
              </w:rPr>
            </w:pPr>
          </w:p>
        </w:tc>
      </w:tr>
      <w:tr w14:paraId="6CB8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312E0193">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7411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25D1794">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F088D0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EAEB625">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056FA8C">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34CD2DF1">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6F4349E8">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51E2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F95ABE0">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251AADF">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B99C61A">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178155B">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62D63383">
            <w:pPr>
              <w:spacing w:line="460" w:lineRule="exact"/>
              <w:jc w:val="center"/>
              <w:rPr>
                <w:rFonts w:ascii="仿宋_GB2312" w:hAnsi="仿宋" w:eastAsia="仿宋_GB2312"/>
                <w:sz w:val="30"/>
                <w:szCs w:val="30"/>
              </w:rPr>
            </w:pPr>
          </w:p>
        </w:tc>
      </w:tr>
      <w:tr w14:paraId="2B77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D448241">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8D45732">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4229003">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EFBB01C">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6525980C">
            <w:pPr>
              <w:spacing w:line="460" w:lineRule="exact"/>
              <w:jc w:val="center"/>
              <w:rPr>
                <w:rFonts w:ascii="仿宋_GB2312" w:hAnsi="仿宋" w:eastAsia="仿宋_GB2312"/>
                <w:sz w:val="30"/>
                <w:szCs w:val="30"/>
              </w:rPr>
            </w:pPr>
          </w:p>
        </w:tc>
      </w:tr>
      <w:tr w14:paraId="2CEA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5E845DA">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211B3F1">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F41C645">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F413A1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88A5827">
            <w:pPr>
              <w:spacing w:line="460" w:lineRule="exact"/>
              <w:jc w:val="center"/>
              <w:rPr>
                <w:rFonts w:ascii="仿宋_GB2312" w:hAnsi="仿宋" w:eastAsia="仿宋_GB2312"/>
                <w:sz w:val="30"/>
                <w:szCs w:val="30"/>
              </w:rPr>
            </w:pPr>
          </w:p>
        </w:tc>
      </w:tr>
      <w:tr w14:paraId="136A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815BD0A">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A553D38">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F004151">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7315AB">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400E52E4">
            <w:pPr>
              <w:spacing w:line="460" w:lineRule="exact"/>
              <w:jc w:val="center"/>
              <w:rPr>
                <w:rFonts w:ascii="仿宋_GB2312" w:hAnsi="仿宋" w:eastAsia="仿宋_GB2312"/>
                <w:sz w:val="30"/>
                <w:szCs w:val="30"/>
              </w:rPr>
            </w:pPr>
          </w:p>
        </w:tc>
      </w:tr>
    </w:tbl>
    <w:p w14:paraId="2BDC310D">
      <w:pPr>
        <w:spacing w:line="460" w:lineRule="exact"/>
        <w:ind w:firstLine="240" w:firstLineChars="100"/>
        <w:rPr>
          <w:rFonts w:ascii="仿宋_GB2312" w:hAnsi="仿宋" w:eastAsia="仿宋_GB2312"/>
          <w:sz w:val="24"/>
        </w:rPr>
      </w:pPr>
      <w:r>
        <w:rPr>
          <w:rFonts w:hint="eastAsia" w:ascii="仿宋_GB2312" w:hAnsi="仿宋" w:eastAsia="仿宋_GB2312"/>
          <w:sz w:val="24"/>
        </w:rPr>
        <w:t>注：1、本表可由供应商根据实际情况自行扩展。</w:t>
      </w:r>
    </w:p>
    <w:p w14:paraId="1F570452">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2、表后附拟派人员职业/职称、资格证书等相关证书扫描件。</w:t>
      </w:r>
    </w:p>
    <w:p w14:paraId="738F8A71">
      <w:pPr>
        <w:spacing w:line="460" w:lineRule="exact"/>
        <w:ind w:firstLine="420" w:firstLineChars="200"/>
        <w:rPr>
          <w:rFonts w:ascii="仿宋_GB2312" w:hAnsi="宋体" w:eastAsia="仿宋_GB2312"/>
        </w:rPr>
      </w:pPr>
    </w:p>
    <w:p w14:paraId="6FED9F34">
      <w:pPr>
        <w:wordWrap w:val="0"/>
        <w:spacing w:line="520" w:lineRule="exact"/>
        <w:ind w:firstLine="3900" w:firstLineChars="1300"/>
        <w:jc w:val="right"/>
        <w:rPr>
          <w:rFonts w:ascii="仿宋_GB2312" w:hAnsi="仿宋" w:eastAsia="仿宋_GB2312"/>
          <w:sz w:val="30"/>
          <w:szCs w:val="30"/>
        </w:rPr>
      </w:pPr>
      <w:r>
        <w:rPr>
          <w:rFonts w:hint="eastAsia" w:ascii="仿宋_GB2312" w:hAnsi="仿宋" w:eastAsia="仿宋_GB2312"/>
          <w:sz w:val="30"/>
          <w:szCs w:val="30"/>
        </w:rPr>
        <w:t xml:space="preserve">供应商名称(盖章):     </w:t>
      </w:r>
    </w:p>
    <w:p w14:paraId="5D2BD298">
      <w:pPr>
        <w:jc w:val="center"/>
        <w:rPr>
          <w:rFonts w:ascii="Arial" w:hAnsi="Arial" w:eastAsia="黑体"/>
          <w:b/>
          <w:bCs/>
          <w:sz w:val="44"/>
          <w:szCs w:val="32"/>
        </w:rPr>
      </w:pPr>
      <w:r>
        <w:rPr>
          <w:rFonts w:hint="eastAsia" w:ascii="仿宋_GB2312" w:hAnsi="仿宋" w:eastAsia="仿宋_GB2312"/>
          <w:sz w:val="30"/>
          <w:szCs w:val="30"/>
        </w:rPr>
        <w:t xml:space="preserve">                                       法定代表人签章：     </w:t>
      </w:r>
      <w:r>
        <w:rPr>
          <w:rFonts w:ascii="仿宋_GB2312" w:hAnsi="仿宋" w:eastAsia="仿宋_GB2312"/>
          <w:sz w:val="30"/>
          <w:szCs w:val="30"/>
        </w:rPr>
        <w:br w:type="page"/>
      </w:r>
      <w:r>
        <w:rPr>
          <w:rFonts w:hint="eastAsia" w:ascii="黑体" w:hAnsi="黑体" w:eastAsia="黑体"/>
          <w:sz w:val="44"/>
          <w:szCs w:val="44"/>
        </w:rPr>
        <w:t>技术文件</w:t>
      </w:r>
    </w:p>
    <w:p w14:paraId="37D5D19D">
      <w:pPr>
        <w:widowControl/>
        <w:jc w:val="center"/>
        <w:rPr>
          <w:rFonts w:ascii="仿宋" w:hAnsi="仿宋" w:eastAsia="仿宋"/>
        </w:rPr>
      </w:pPr>
    </w:p>
    <w:p w14:paraId="3FED2E8A">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供应商应提交证明文件，证明标的的合格性、技术文件符合采购文件的规定、报价内容符合采购文件规定。该证明文件是响应文件的一部分，可以是文字资料、图纸和数据，不包括对采购文件相关部分的文字、图标的复制等</w:t>
      </w:r>
    </w:p>
    <w:p w14:paraId="0A7B1C32">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①项目说明；</w:t>
      </w:r>
    </w:p>
    <w:p w14:paraId="4459951A">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②进度计划安排；</w:t>
      </w:r>
    </w:p>
    <w:p w14:paraId="12B8EE9C">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③保证进度、环境保护、文明勘察等技术措施；</w:t>
      </w:r>
    </w:p>
    <w:p w14:paraId="4A1D15DC">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④后期跟踪服务中需提供的工作内容；</w:t>
      </w:r>
    </w:p>
    <w:p w14:paraId="7163139A">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⑤服务承诺及合理化建议。</w:t>
      </w:r>
    </w:p>
    <w:p w14:paraId="7AC9F8B1">
      <w:pPr>
        <w:rPr>
          <w:rFonts w:ascii="仿宋_GB2312" w:hAnsi="仿宋" w:eastAsia="仿宋_GB2312" w:cs="Arial"/>
          <w:sz w:val="32"/>
          <w:szCs w:val="32"/>
        </w:rPr>
      </w:pPr>
    </w:p>
    <w:p w14:paraId="78D928D6">
      <w:pPr>
        <w:widowControl/>
        <w:jc w:val="center"/>
        <w:rPr>
          <w:rFonts w:ascii="黑体" w:hAnsi="黑体" w:eastAsia="黑体"/>
          <w:sz w:val="44"/>
          <w:szCs w:val="44"/>
        </w:rPr>
      </w:pPr>
    </w:p>
    <w:p w14:paraId="4B43EE32">
      <w:pPr>
        <w:widowControl/>
        <w:jc w:val="center"/>
        <w:rPr>
          <w:rFonts w:ascii="黑体" w:hAnsi="黑体" w:eastAsia="黑体"/>
          <w:sz w:val="44"/>
          <w:szCs w:val="44"/>
        </w:rPr>
      </w:pPr>
    </w:p>
    <w:p w14:paraId="20B42738">
      <w:pPr>
        <w:widowControl/>
        <w:jc w:val="center"/>
        <w:rPr>
          <w:rFonts w:ascii="黑体" w:hAnsi="黑体" w:eastAsia="黑体"/>
          <w:sz w:val="44"/>
          <w:szCs w:val="44"/>
        </w:rPr>
      </w:pPr>
    </w:p>
    <w:p w14:paraId="672AE9D1">
      <w:pPr>
        <w:widowControl/>
        <w:jc w:val="center"/>
        <w:rPr>
          <w:rFonts w:ascii="黑体" w:hAnsi="黑体" w:eastAsia="黑体"/>
          <w:sz w:val="44"/>
          <w:szCs w:val="44"/>
        </w:rPr>
      </w:pPr>
    </w:p>
    <w:p w14:paraId="2EE13872">
      <w:pPr>
        <w:widowControl/>
        <w:jc w:val="center"/>
        <w:rPr>
          <w:rFonts w:ascii="黑体" w:hAnsi="黑体" w:eastAsia="黑体"/>
          <w:sz w:val="44"/>
          <w:szCs w:val="44"/>
        </w:rPr>
      </w:pPr>
    </w:p>
    <w:p w14:paraId="30C0BC98">
      <w:pPr>
        <w:widowControl/>
        <w:jc w:val="center"/>
        <w:rPr>
          <w:rFonts w:ascii="黑体" w:hAnsi="黑体" w:eastAsia="黑体"/>
          <w:sz w:val="44"/>
          <w:szCs w:val="44"/>
        </w:rPr>
      </w:pPr>
    </w:p>
    <w:p w14:paraId="0A0D632D">
      <w:pPr>
        <w:widowControl/>
        <w:jc w:val="center"/>
        <w:rPr>
          <w:rFonts w:ascii="黑体" w:hAnsi="黑体" w:eastAsia="黑体"/>
          <w:sz w:val="44"/>
          <w:szCs w:val="44"/>
        </w:rPr>
      </w:pPr>
    </w:p>
    <w:p w14:paraId="72FCA158">
      <w:pPr>
        <w:widowControl/>
        <w:jc w:val="center"/>
        <w:rPr>
          <w:rFonts w:ascii="黑体" w:hAnsi="黑体" w:eastAsia="黑体"/>
          <w:sz w:val="44"/>
          <w:szCs w:val="44"/>
        </w:rPr>
      </w:pPr>
    </w:p>
    <w:p w14:paraId="0647B5AB">
      <w:pPr>
        <w:widowControl/>
        <w:jc w:val="center"/>
        <w:rPr>
          <w:rFonts w:ascii="黑体" w:hAnsi="黑体" w:eastAsia="黑体"/>
          <w:sz w:val="44"/>
          <w:szCs w:val="44"/>
        </w:rPr>
      </w:pPr>
    </w:p>
    <w:p w14:paraId="56A4E61D">
      <w:pPr>
        <w:widowControl/>
        <w:jc w:val="center"/>
        <w:rPr>
          <w:rFonts w:ascii="黑体" w:hAnsi="黑体" w:eastAsia="黑体"/>
          <w:sz w:val="44"/>
          <w:szCs w:val="44"/>
        </w:rPr>
      </w:pPr>
    </w:p>
    <w:p w14:paraId="69E79A72">
      <w:pPr>
        <w:widowControl/>
        <w:jc w:val="center"/>
        <w:rPr>
          <w:rFonts w:ascii="黑体" w:hAnsi="黑体" w:eastAsia="黑体"/>
          <w:sz w:val="44"/>
          <w:szCs w:val="44"/>
        </w:rPr>
      </w:pPr>
    </w:p>
    <w:p w14:paraId="32524F37">
      <w:pPr>
        <w:widowControl/>
        <w:jc w:val="center"/>
        <w:rPr>
          <w:rFonts w:ascii="黑体" w:hAnsi="黑体" w:eastAsia="黑体"/>
          <w:sz w:val="44"/>
          <w:szCs w:val="44"/>
        </w:rPr>
      </w:pPr>
    </w:p>
    <w:p w14:paraId="16225C06">
      <w:pPr>
        <w:rPr>
          <w:rFonts w:ascii="仿宋_GB2312" w:hAnsi="宋体" w:eastAsia="仿宋_GB2312"/>
          <w:sz w:val="22"/>
          <w:szCs w:val="28"/>
        </w:rPr>
      </w:pPr>
      <w:r>
        <w:rPr>
          <w:rFonts w:hint="eastAsia" w:ascii="仿宋_GB2312" w:hAnsi="宋体" w:eastAsia="仿宋_GB2312"/>
          <w:sz w:val="22"/>
          <w:szCs w:val="28"/>
        </w:rPr>
        <w:br w:type="page"/>
      </w:r>
    </w:p>
    <w:p w14:paraId="07EFF489">
      <w:pPr>
        <w:widowControl/>
        <w:jc w:val="right"/>
        <w:rPr>
          <w:rFonts w:ascii="仿宋_GB2312" w:hAnsi="宋体" w:eastAsia="仿宋_GB2312"/>
          <w:sz w:val="22"/>
          <w:szCs w:val="28"/>
        </w:rPr>
      </w:pPr>
      <w:r>
        <w:rPr>
          <w:rFonts w:hint="eastAsia" w:ascii="仿宋_GB2312" w:hAnsi="宋体" w:eastAsia="仿宋_GB2312"/>
          <w:sz w:val="22"/>
          <w:szCs w:val="28"/>
        </w:rPr>
        <w:t>如中标（成交），随中标（成交）公告公示</w:t>
      </w:r>
    </w:p>
    <w:p w14:paraId="50626785">
      <w:pPr>
        <w:widowControl/>
        <w:jc w:val="center"/>
        <w:rPr>
          <w:rFonts w:ascii="黑体" w:hAnsi="黑体" w:eastAsia="黑体"/>
          <w:sz w:val="44"/>
          <w:szCs w:val="44"/>
        </w:rPr>
      </w:pPr>
      <w:r>
        <w:rPr>
          <w:rFonts w:hint="eastAsia" w:ascii="黑体" w:hAnsi="黑体" w:eastAsia="黑体"/>
          <w:sz w:val="44"/>
          <w:szCs w:val="44"/>
        </w:rPr>
        <w:t>国内同类项目业绩表</w:t>
      </w:r>
    </w:p>
    <w:tbl>
      <w:tblPr>
        <w:tblStyle w:val="33"/>
        <w:tblpPr w:leftFromText="180" w:rightFromText="180" w:vertAnchor="text" w:tblpXSpec="center" w:tblpY="2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917"/>
        <w:gridCol w:w="2552"/>
        <w:gridCol w:w="1134"/>
        <w:gridCol w:w="1417"/>
        <w:gridCol w:w="1276"/>
        <w:gridCol w:w="1210"/>
      </w:tblGrid>
      <w:tr w14:paraId="7379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2A340480">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序号</w:t>
            </w:r>
          </w:p>
        </w:tc>
        <w:tc>
          <w:tcPr>
            <w:tcW w:w="917" w:type="dxa"/>
            <w:vAlign w:val="center"/>
          </w:tcPr>
          <w:p w14:paraId="690DE9EF">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用户名称</w:t>
            </w:r>
          </w:p>
        </w:tc>
        <w:tc>
          <w:tcPr>
            <w:tcW w:w="2552" w:type="dxa"/>
            <w:vAlign w:val="center"/>
          </w:tcPr>
          <w:p w14:paraId="0BCF89FD">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项目名称</w:t>
            </w:r>
          </w:p>
        </w:tc>
        <w:tc>
          <w:tcPr>
            <w:tcW w:w="1134" w:type="dxa"/>
            <w:vAlign w:val="center"/>
          </w:tcPr>
          <w:p w14:paraId="35CDA60B">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合同额</w:t>
            </w:r>
          </w:p>
        </w:tc>
        <w:tc>
          <w:tcPr>
            <w:tcW w:w="1417" w:type="dxa"/>
            <w:vAlign w:val="center"/>
          </w:tcPr>
          <w:p w14:paraId="048DB6E5">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签订时间</w:t>
            </w:r>
          </w:p>
        </w:tc>
        <w:tc>
          <w:tcPr>
            <w:tcW w:w="1276" w:type="dxa"/>
            <w:vAlign w:val="center"/>
          </w:tcPr>
          <w:p w14:paraId="105B04F2">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电话/联系人</w:t>
            </w:r>
          </w:p>
        </w:tc>
        <w:tc>
          <w:tcPr>
            <w:tcW w:w="1210" w:type="dxa"/>
            <w:vAlign w:val="center"/>
          </w:tcPr>
          <w:p w14:paraId="1CD75769">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备注</w:t>
            </w:r>
          </w:p>
        </w:tc>
      </w:tr>
      <w:tr w14:paraId="02EA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128E22E">
            <w:pPr>
              <w:jc w:val="center"/>
              <w:rPr>
                <w:rFonts w:ascii="仿宋_GB2312" w:hAnsi="仿宋" w:eastAsia="仿宋_GB2312"/>
                <w:sz w:val="30"/>
                <w:szCs w:val="30"/>
              </w:rPr>
            </w:pPr>
          </w:p>
        </w:tc>
        <w:tc>
          <w:tcPr>
            <w:tcW w:w="917" w:type="dxa"/>
            <w:vAlign w:val="center"/>
          </w:tcPr>
          <w:p w14:paraId="791EE345">
            <w:pPr>
              <w:jc w:val="center"/>
              <w:rPr>
                <w:rFonts w:ascii="仿宋_GB2312" w:hAnsi="仿宋" w:eastAsia="仿宋_GB2312"/>
                <w:sz w:val="30"/>
                <w:szCs w:val="30"/>
              </w:rPr>
            </w:pPr>
          </w:p>
        </w:tc>
        <w:tc>
          <w:tcPr>
            <w:tcW w:w="2552" w:type="dxa"/>
            <w:vAlign w:val="center"/>
          </w:tcPr>
          <w:p w14:paraId="0D6B6AB4">
            <w:pPr>
              <w:jc w:val="center"/>
              <w:rPr>
                <w:rFonts w:ascii="仿宋_GB2312" w:hAnsi="仿宋" w:eastAsia="仿宋_GB2312"/>
                <w:sz w:val="30"/>
                <w:szCs w:val="30"/>
              </w:rPr>
            </w:pPr>
          </w:p>
        </w:tc>
        <w:tc>
          <w:tcPr>
            <w:tcW w:w="1134" w:type="dxa"/>
            <w:vAlign w:val="center"/>
          </w:tcPr>
          <w:p w14:paraId="71992F52">
            <w:pPr>
              <w:jc w:val="center"/>
              <w:rPr>
                <w:rFonts w:ascii="仿宋_GB2312" w:hAnsi="仿宋" w:eastAsia="仿宋_GB2312"/>
                <w:sz w:val="30"/>
                <w:szCs w:val="30"/>
              </w:rPr>
            </w:pPr>
          </w:p>
        </w:tc>
        <w:tc>
          <w:tcPr>
            <w:tcW w:w="1417" w:type="dxa"/>
            <w:vAlign w:val="center"/>
          </w:tcPr>
          <w:p w14:paraId="2F118707">
            <w:pPr>
              <w:jc w:val="center"/>
              <w:rPr>
                <w:rFonts w:ascii="仿宋_GB2312" w:hAnsi="仿宋" w:eastAsia="仿宋_GB2312"/>
                <w:sz w:val="30"/>
                <w:szCs w:val="30"/>
              </w:rPr>
            </w:pPr>
          </w:p>
        </w:tc>
        <w:tc>
          <w:tcPr>
            <w:tcW w:w="1276" w:type="dxa"/>
            <w:vAlign w:val="center"/>
          </w:tcPr>
          <w:p w14:paraId="301FA407">
            <w:pPr>
              <w:jc w:val="center"/>
              <w:rPr>
                <w:rFonts w:ascii="仿宋_GB2312" w:hAnsi="仿宋" w:eastAsia="仿宋_GB2312"/>
                <w:sz w:val="30"/>
                <w:szCs w:val="30"/>
              </w:rPr>
            </w:pPr>
          </w:p>
        </w:tc>
        <w:tc>
          <w:tcPr>
            <w:tcW w:w="1210" w:type="dxa"/>
            <w:vAlign w:val="center"/>
          </w:tcPr>
          <w:p w14:paraId="0D92F818">
            <w:pPr>
              <w:jc w:val="center"/>
              <w:rPr>
                <w:rFonts w:ascii="仿宋_GB2312" w:hAnsi="仿宋" w:eastAsia="仿宋_GB2312"/>
                <w:sz w:val="30"/>
                <w:szCs w:val="30"/>
              </w:rPr>
            </w:pPr>
          </w:p>
        </w:tc>
      </w:tr>
      <w:tr w14:paraId="2C68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22286AA">
            <w:pPr>
              <w:jc w:val="center"/>
              <w:rPr>
                <w:rFonts w:ascii="仿宋_GB2312" w:hAnsi="仿宋" w:eastAsia="仿宋_GB2312"/>
                <w:sz w:val="30"/>
                <w:szCs w:val="30"/>
              </w:rPr>
            </w:pPr>
          </w:p>
        </w:tc>
        <w:tc>
          <w:tcPr>
            <w:tcW w:w="917" w:type="dxa"/>
            <w:vAlign w:val="center"/>
          </w:tcPr>
          <w:p w14:paraId="79B04733">
            <w:pPr>
              <w:jc w:val="center"/>
              <w:rPr>
                <w:rFonts w:ascii="仿宋_GB2312" w:hAnsi="仿宋" w:eastAsia="仿宋_GB2312"/>
                <w:sz w:val="30"/>
                <w:szCs w:val="30"/>
              </w:rPr>
            </w:pPr>
          </w:p>
        </w:tc>
        <w:tc>
          <w:tcPr>
            <w:tcW w:w="2552" w:type="dxa"/>
            <w:vAlign w:val="center"/>
          </w:tcPr>
          <w:p w14:paraId="2963D65D">
            <w:pPr>
              <w:jc w:val="center"/>
              <w:rPr>
                <w:rFonts w:ascii="仿宋_GB2312" w:hAnsi="仿宋" w:eastAsia="仿宋_GB2312"/>
                <w:sz w:val="30"/>
                <w:szCs w:val="30"/>
              </w:rPr>
            </w:pPr>
          </w:p>
        </w:tc>
        <w:tc>
          <w:tcPr>
            <w:tcW w:w="1134" w:type="dxa"/>
            <w:vAlign w:val="center"/>
          </w:tcPr>
          <w:p w14:paraId="638392B6">
            <w:pPr>
              <w:jc w:val="center"/>
              <w:rPr>
                <w:rFonts w:ascii="仿宋_GB2312" w:hAnsi="仿宋" w:eastAsia="仿宋_GB2312"/>
                <w:sz w:val="30"/>
                <w:szCs w:val="30"/>
              </w:rPr>
            </w:pPr>
          </w:p>
        </w:tc>
        <w:tc>
          <w:tcPr>
            <w:tcW w:w="1417" w:type="dxa"/>
            <w:vAlign w:val="center"/>
          </w:tcPr>
          <w:p w14:paraId="5AB1225F">
            <w:pPr>
              <w:jc w:val="center"/>
              <w:rPr>
                <w:rFonts w:ascii="仿宋_GB2312" w:hAnsi="仿宋" w:eastAsia="仿宋_GB2312"/>
                <w:sz w:val="30"/>
                <w:szCs w:val="30"/>
              </w:rPr>
            </w:pPr>
          </w:p>
        </w:tc>
        <w:tc>
          <w:tcPr>
            <w:tcW w:w="1276" w:type="dxa"/>
            <w:vAlign w:val="center"/>
          </w:tcPr>
          <w:p w14:paraId="18EAB7BD">
            <w:pPr>
              <w:jc w:val="center"/>
              <w:rPr>
                <w:rFonts w:ascii="仿宋_GB2312" w:hAnsi="仿宋" w:eastAsia="仿宋_GB2312"/>
                <w:sz w:val="30"/>
                <w:szCs w:val="30"/>
              </w:rPr>
            </w:pPr>
          </w:p>
        </w:tc>
        <w:tc>
          <w:tcPr>
            <w:tcW w:w="1210" w:type="dxa"/>
            <w:vAlign w:val="center"/>
          </w:tcPr>
          <w:p w14:paraId="57C15548">
            <w:pPr>
              <w:jc w:val="center"/>
              <w:rPr>
                <w:rFonts w:ascii="仿宋_GB2312" w:hAnsi="仿宋" w:eastAsia="仿宋_GB2312"/>
                <w:sz w:val="30"/>
                <w:szCs w:val="30"/>
              </w:rPr>
            </w:pPr>
          </w:p>
        </w:tc>
      </w:tr>
      <w:tr w14:paraId="2840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011F08DE">
            <w:pPr>
              <w:jc w:val="center"/>
              <w:rPr>
                <w:rFonts w:ascii="仿宋_GB2312" w:hAnsi="仿宋" w:eastAsia="仿宋_GB2312"/>
                <w:sz w:val="30"/>
                <w:szCs w:val="30"/>
              </w:rPr>
            </w:pPr>
          </w:p>
        </w:tc>
        <w:tc>
          <w:tcPr>
            <w:tcW w:w="917" w:type="dxa"/>
            <w:vAlign w:val="center"/>
          </w:tcPr>
          <w:p w14:paraId="37457EEA">
            <w:pPr>
              <w:jc w:val="center"/>
              <w:rPr>
                <w:rFonts w:ascii="仿宋_GB2312" w:hAnsi="仿宋" w:eastAsia="仿宋_GB2312"/>
                <w:sz w:val="30"/>
                <w:szCs w:val="30"/>
              </w:rPr>
            </w:pPr>
          </w:p>
        </w:tc>
        <w:tc>
          <w:tcPr>
            <w:tcW w:w="2552" w:type="dxa"/>
            <w:vAlign w:val="center"/>
          </w:tcPr>
          <w:p w14:paraId="2341C31D">
            <w:pPr>
              <w:jc w:val="center"/>
              <w:rPr>
                <w:rFonts w:ascii="仿宋_GB2312" w:hAnsi="仿宋" w:eastAsia="仿宋_GB2312"/>
                <w:sz w:val="30"/>
                <w:szCs w:val="30"/>
              </w:rPr>
            </w:pPr>
          </w:p>
        </w:tc>
        <w:tc>
          <w:tcPr>
            <w:tcW w:w="1134" w:type="dxa"/>
            <w:vAlign w:val="center"/>
          </w:tcPr>
          <w:p w14:paraId="4630E575">
            <w:pPr>
              <w:jc w:val="center"/>
              <w:rPr>
                <w:rFonts w:ascii="仿宋_GB2312" w:hAnsi="仿宋" w:eastAsia="仿宋_GB2312"/>
                <w:sz w:val="30"/>
                <w:szCs w:val="30"/>
              </w:rPr>
            </w:pPr>
          </w:p>
        </w:tc>
        <w:tc>
          <w:tcPr>
            <w:tcW w:w="1417" w:type="dxa"/>
            <w:vAlign w:val="center"/>
          </w:tcPr>
          <w:p w14:paraId="70F8BDAD">
            <w:pPr>
              <w:jc w:val="center"/>
              <w:rPr>
                <w:rFonts w:ascii="仿宋_GB2312" w:hAnsi="仿宋" w:eastAsia="仿宋_GB2312"/>
                <w:sz w:val="30"/>
                <w:szCs w:val="30"/>
              </w:rPr>
            </w:pPr>
          </w:p>
        </w:tc>
        <w:tc>
          <w:tcPr>
            <w:tcW w:w="1276" w:type="dxa"/>
            <w:vAlign w:val="center"/>
          </w:tcPr>
          <w:p w14:paraId="502C3171">
            <w:pPr>
              <w:jc w:val="center"/>
              <w:rPr>
                <w:rFonts w:ascii="仿宋_GB2312" w:hAnsi="仿宋" w:eastAsia="仿宋_GB2312"/>
                <w:sz w:val="30"/>
                <w:szCs w:val="30"/>
              </w:rPr>
            </w:pPr>
          </w:p>
        </w:tc>
        <w:tc>
          <w:tcPr>
            <w:tcW w:w="1210" w:type="dxa"/>
            <w:vAlign w:val="center"/>
          </w:tcPr>
          <w:p w14:paraId="42FE8C8C">
            <w:pPr>
              <w:jc w:val="center"/>
              <w:rPr>
                <w:rFonts w:ascii="仿宋_GB2312" w:hAnsi="仿宋" w:eastAsia="仿宋_GB2312"/>
                <w:sz w:val="30"/>
                <w:szCs w:val="30"/>
              </w:rPr>
            </w:pPr>
          </w:p>
        </w:tc>
      </w:tr>
      <w:tr w14:paraId="536C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A69AA8C">
            <w:pPr>
              <w:jc w:val="center"/>
              <w:rPr>
                <w:rFonts w:ascii="仿宋_GB2312" w:hAnsi="仿宋" w:eastAsia="仿宋_GB2312"/>
                <w:sz w:val="30"/>
                <w:szCs w:val="30"/>
              </w:rPr>
            </w:pPr>
          </w:p>
        </w:tc>
        <w:tc>
          <w:tcPr>
            <w:tcW w:w="917" w:type="dxa"/>
            <w:vAlign w:val="center"/>
          </w:tcPr>
          <w:p w14:paraId="572A98FD">
            <w:pPr>
              <w:jc w:val="center"/>
              <w:rPr>
                <w:rFonts w:ascii="仿宋_GB2312" w:hAnsi="仿宋" w:eastAsia="仿宋_GB2312"/>
                <w:sz w:val="30"/>
                <w:szCs w:val="30"/>
              </w:rPr>
            </w:pPr>
          </w:p>
        </w:tc>
        <w:tc>
          <w:tcPr>
            <w:tcW w:w="2552" w:type="dxa"/>
            <w:vAlign w:val="center"/>
          </w:tcPr>
          <w:p w14:paraId="573D0188">
            <w:pPr>
              <w:jc w:val="center"/>
              <w:rPr>
                <w:rFonts w:ascii="仿宋_GB2312" w:hAnsi="仿宋" w:eastAsia="仿宋_GB2312"/>
                <w:sz w:val="30"/>
                <w:szCs w:val="30"/>
              </w:rPr>
            </w:pPr>
          </w:p>
        </w:tc>
        <w:tc>
          <w:tcPr>
            <w:tcW w:w="1134" w:type="dxa"/>
            <w:vAlign w:val="center"/>
          </w:tcPr>
          <w:p w14:paraId="0A1B88D6">
            <w:pPr>
              <w:jc w:val="center"/>
              <w:rPr>
                <w:rFonts w:ascii="仿宋_GB2312" w:hAnsi="仿宋" w:eastAsia="仿宋_GB2312"/>
                <w:sz w:val="30"/>
                <w:szCs w:val="30"/>
              </w:rPr>
            </w:pPr>
          </w:p>
        </w:tc>
        <w:tc>
          <w:tcPr>
            <w:tcW w:w="1417" w:type="dxa"/>
            <w:vAlign w:val="center"/>
          </w:tcPr>
          <w:p w14:paraId="652B46D8">
            <w:pPr>
              <w:jc w:val="center"/>
              <w:rPr>
                <w:rFonts w:ascii="仿宋_GB2312" w:hAnsi="仿宋" w:eastAsia="仿宋_GB2312"/>
                <w:sz w:val="30"/>
                <w:szCs w:val="30"/>
              </w:rPr>
            </w:pPr>
          </w:p>
        </w:tc>
        <w:tc>
          <w:tcPr>
            <w:tcW w:w="1276" w:type="dxa"/>
            <w:vAlign w:val="center"/>
          </w:tcPr>
          <w:p w14:paraId="03AFDD0C">
            <w:pPr>
              <w:jc w:val="center"/>
              <w:rPr>
                <w:rFonts w:ascii="仿宋_GB2312" w:hAnsi="仿宋" w:eastAsia="仿宋_GB2312"/>
                <w:sz w:val="30"/>
                <w:szCs w:val="30"/>
              </w:rPr>
            </w:pPr>
          </w:p>
        </w:tc>
        <w:tc>
          <w:tcPr>
            <w:tcW w:w="1210" w:type="dxa"/>
            <w:vAlign w:val="center"/>
          </w:tcPr>
          <w:p w14:paraId="0C1DB9EB">
            <w:pPr>
              <w:jc w:val="center"/>
              <w:rPr>
                <w:rFonts w:ascii="仿宋_GB2312" w:hAnsi="仿宋" w:eastAsia="仿宋_GB2312"/>
                <w:sz w:val="30"/>
                <w:szCs w:val="30"/>
              </w:rPr>
            </w:pPr>
          </w:p>
        </w:tc>
      </w:tr>
      <w:tr w14:paraId="40E9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B8F9D87">
            <w:pPr>
              <w:jc w:val="center"/>
              <w:rPr>
                <w:rFonts w:ascii="仿宋_GB2312" w:hAnsi="仿宋" w:eastAsia="仿宋_GB2312"/>
                <w:sz w:val="30"/>
                <w:szCs w:val="30"/>
              </w:rPr>
            </w:pPr>
          </w:p>
        </w:tc>
        <w:tc>
          <w:tcPr>
            <w:tcW w:w="917" w:type="dxa"/>
            <w:vAlign w:val="center"/>
          </w:tcPr>
          <w:p w14:paraId="645B573B">
            <w:pPr>
              <w:jc w:val="center"/>
              <w:rPr>
                <w:rFonts w:ascii="仿宋_GB2312" w:hAnsi="仿宋" w:eastAsia="仿宋_GB2312"/>
                <w:sz w:val="30"/>
                <w:szCs w:val="30"/>
              </w:rPr>
            </w:pPr>
          </w:p>
        </w:tc>
        <w:tc>
          <w:tcPr>
            <w:tcW w:w="2552" w:type="dxa"/>
            <w:vAlign w:val="center"/>
          </w:tcPr>
          <w:p w14:paraId="0BCAF63E">
            <w:pPr>
              <w:jc w:val="center"/>
              <w:rPr>
                <w:rFonts w:ascii="仿宋_GB2312" w:hAnsi="仿宋" w:eastAsia="仿宋_GB2312"/>
                <w:sz w:val="30"/>
                <w:szCs w:val="30"/>
              </w:rPr>
            </w:pPr>
          </w:p>
        </w:tc>
        <w:tc>
          <w:tcPr>
            <w:tcW w:w="1134" w:type="dxa"/>
            <w:vAlign w:val="center"/>
          </w:tcPr>
          <w:p w14:paraId="5E875DAD">
            <w:pPr>
              <w:jc w:val="center"/>
              <w:rPr>
                <w:rFonts w:ascii="仿宋_GB2312" w:hAnsi="仿宋" w:eastAsia="仿宋_GB2312"/>
                <w:sz w:val="30"/>
                <w:szCs w:val="30"/>
              </w:rPr>
            </w:pPr>
          </w:p>
        </w:tc>
        <w:tc>
          <w:tcPr>
            <w:tcW w:w="1417" w:type="dxa"/>
            <w:vAlign w:val="center"/>
          </w:tcPr>
          <w:p w14:paraId="4135D7FF">
            <w:pPr>
              <w:jc w:val="center"/>
              <w:rPr>
                <w:rFonts w:ascii="仿宋_GB2312" w:hAnsi="仿宋" w:eastAsia="仿宋_GB2312"/>
                <w:sz w:val="30"/>
                <w:szCs w:val="30"/>
              </w:rPr>
            </w:pPr>
          </w:p>
        </w:tc>
        <w:tc>
          <w:tcPr>
            <w:tcW w:w="1276" w:type="dxa"/>
            <w:vAlign w:val="center"/>
          </w:tcPr>
          <w:p w14:paraId="2F96691E">
            <w:pPr>
              <w:jc w:val="center"/>
              <w:rPr>
                <w:rFonts w:ascii="仿宋_GB2312" w:hAnsi="仿宋" w:eastAsia="仿宋_GB2312"/>
                <w:sz w:val="30"/>
                <w:szCs w:val="30"/>
              </w:rPr>
            </w:pPr>
          </w:p>
        </w:tc>
        <w:tc>
          <w:tcPr>
            <w:tcW w:w="1210" w:type="dxa"/>
            <w:vAlign w:val="center"/>
          </w:tcPr>
          <w:p w14:paraId="4BC179AE">
            <w:pPr>
              <w:jc w:val="center"/>
              <w:rPr>
                <w:rFonts w:ascii="仿宋_GB2312" w:hAnsi="仿宋" w:eastAsia="仿宋_GB2312"/>
                <w:sz w:val="30"/>
                <w:szCs w:val="30"/>
              </w:rPr>
            </w:pPr>
          </w:p>
        </w:tc>
      </w:tr>
      <w:tr w14:paraId="63B6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0114585">
            <w:pPr>
              <w:jc w:val="center"/>
              <w:rPr>
                <w:rFonts w:ascii="仿宋_GB2312" w:hAnsi="仿宋" w:eastAsia="仿宋_GB2312"/>
                <w:sz w:val="30"/>
                <w:szCs w:val="30"/>
              </w:rPr>
            </w:pPr>
          </w:p>
        </w:tc>
        <w:tc>
          <w:tcPr>
            <w:tcW w:w="917" w:type="dxa"/>
            <w:vAlign w:val="center"/>
          </w:tcPr>
          <w:p w14:paraId="34853019">
            <w:pPr>
              <w:jc w:val="center"/>
              <w:rPr>
                <w:rFonts w:ascii="仿宋_GB2312" w:hAnsi="仿宋" w:eastAsia="仿宋_GB2312"/>
                <w:sz w:val="30"/>
                <w:szCs w:val="30"/>
              </w:rPr>
            </w:pPr>
          </w:p>
        </w:tc>
        <w:tc>
          <w:tcPr>
            <w:tcW w:w="2552" w:type="dxa"/>
            <w:vAlign w:val="center"/>
          </w:tcPr>
          <w:p w14:paraId="342DD82F">
            <w:pPr>
              <w:jc w:val="center"/>
              <w:rPr>
                <w:rFonts w:ascii="仿宋_GB2312" w:hAnsi="仿宋" w:eastAsia="仿宋_GB2312"/>
                <w:sz w:val="30"/>
                <w:szCs w:val="30"/>
              </w:rPr>
            </w:pPr>
          </w:p>
        </w:tc>
        <w:tc>
          <w:tcPr>
            <w:tcW w:w="1134" w:type="dxa"/>
            <w:vAlign w:val="center"/>
          </w:tcPr>
          <w:p w14:paraId="747DCA19">
            <w:pPr>
              <w:jc w:val="center"/>
              <w:rPr>
                <w:rFonts w:ascii="仿宋_GB2312" w:hAnsi="仿宋" w:eastAsia="仿宋_GB2312"/>
                <w:sz w:val="30"/>
                <w:szCs w:val="30"/>
              </w:rPr>
            </w:pPr>
          </w:p>
        </w:tc>
        <w:tc>
          <w:tcPr>
            <w:tcW w:w="1417" w:type="dxa"/>
            <w:vAlign w:val="center"/>
          </w:tcPr>
          <w:p w14:paraId="6C5390F9">
            <w:pPr>
              <w:jc w:val="center"/>
              <w:rPr>
                <w:rFonts w:ascii="仿宋_GB2312" w:hAnsi="仿宋" w:eastAsia="仿宋_GB2312"/>
                <w:sz w:val="30"/>
                <w:szCs w:val="30"/>
              </w:rPr>
            </w:pPr>
          </w:p>
        </w:tc>
        <w:tc>
          <w:tcPr>
            <w:tcW w:w="1276" w:type="dxa"/>
            <w:vAlign w:val="center"/>
          </w:tcPr>
          <w:p w14:paraId="0CE84E53">
            <w:pPr>
              <w:jc w:val="center"/>
              <w:rPr>
                <w:rFonts w:ascii="仿宋_GB2312" w:hAnsi="仿宋" w:eastAsia="仿宋_GB2312"/>
                <w:sz w:val="30"/>
                <w:szCs w:val="30"/>
              </w:rPr>
            </w:pPr>
          </w:p>
        </w:tc>
        <w:tc>
          <w:tcPr>
            <w:tcW w:w="1210" w:type="dxa"/>
            <w:vAlign w:val="center"/>
          </w:tcPr>
          <w:p w14:paraId="704F901E">
            <w:pPr>
              <w:jc w:val="center"/>
              <w:rPr>
                <w:rFonts w:ascii="仿宋_GB2312" w:hAnsi="仿宋" w:eastAsia="仿宋_GB2312"/>
                <w:sz w:val="30"/>
                <w:szCs w:val="30"/>
              </w:rPr>
            </w:pPr>
          </w:p>
        </w:tc>
      </w:tr>
      <w:tr w14:paraId="4D9C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29BA228">
            <w:pPr>
              <w:jc w:val="center"/>
              <w:rPr>
                <w:rFonts w:ascii="仿宋_GB2312" w:hAnsi="仿宋" w:eastAsia="仿宋_GB2312"/>
                <w:sz w:val="30"/>
                <w:szCs w:val="30"/>
              </w:rPr>
            </w:pPr>
          </w:p>
        </w:tc>
        <w:tc>
          <w:tcPr>
            <w:tcW w:w="917" w:type="dxa"/>
            <w:vAlign w:val="center"/>
          </w:tcPr>
          <w:p w14:paraId="2165641B">
            <w:pPr>
              <w:jc w:val="center"/>
              <w:rPr>
                <w:rFonts w:ascii="仿宋_GB2312" w:hAnsi="仿宋" w:eastAsia="仿宋_GB2312"/>
                <w:sz w:val="30"/>
                <w:szCs w:val="30"/>
              </w:rPr>
            </w:pPr>
          </w:p>
        </w:tc>
        <w:tc>
          <w:tcPr>
            <w:tcW w:w="2552" w:type="dxa"/>
            <w:vAlign w:val="center"/>
          </w:tcPr>
          <w:p w14:paraId="7ACED81A">
            <w:pPr>
              <w:jc w:val="center"/>
              <w:rPr>
                <w:rFonts w:ascii="仿宋_GB2312" w:hAnsi="仿宋" w:eastAsia="仿宋_GB2312"/>
                <w:sz w:val="30"/>
                <w:szCs w:val="30"/>
              </w:rPr>
            </w:pPr>
          </w:p>
        </w:tc>
        <w:tc>
          <w:tcPr>
            <w:tcW w:w="1134" w:type="dxa"/>
            <w:vAlign w:val="center"/>
          </w:tcPr>
          <w:p w14:paraId="44ABAB19">
            <w:pPr>
              <w:jc w:val="center"/>
              <w:rPr>
                <w:rFonts w:ascii="仿宋_GB2312" w:hAnsi="仿宋" w:eastAsia="仿宋_GB2312"/>
                <w:sz w:val="30"/>
                <w:szCs w:val="30"/>
              </w:rPr>
            </w:pPr>
          </w:p>
        </w:tc>
        <w:tc>
          <w:tcPr>
            <w:tcW w:w="1417" w:type="dxa"/>
            <w:vAlign w:val="center"/>
          </w:tcPr>
          <w:p w14:paraId="32F8501B">
            <w:pPr>
              <w:jc w:val="center"/>
              <w:rPr>
                <w:rFonts w:ascii="仿宋_GB2312" w:hAnsi="仿宋" w:eastAsia="仿宋_GB2312"/>
                <w:sz w:val="30"/>
                <w:szCs w:val="30"/>
              </w:rPr>
            </w:pPr>
          </w:p>
        </w:tc>
        <w:tc>
          <w:tcPr>
            <w:tcW w:w="1276" w:type="dxa"/>
            <w:vAlign w:val="center"/>
          </w:tcPr>
          <w:p w14:paraId="78B2875C">
            <w:pPr>
              <w:jc w:val="center"/>
              <w:rPr>
                <w:rFonts w:ascii="仿宋_GB2312" w:hAnsi="仿宋" w:eastAsia="仿宋_GB2312"/>
                <w:sz w:val="30"/>
                <w:szCs w:val="30"/>
              </w:rPr>
            </w:pPr>
          </w:p>
        </w:tc>
        <w:tc>
          <w:tcPr>
            <w:tcW w:w="1210" w:type="dxa"/>
            <w:vAlign w:val="center"/>
          </w:tcPr>
          <w:p w14:paraId="2B38709B">
            <w:pPr>
              <w:jc w:val="center"/>
              <w:rPr>
                <w:rFonts w:ascii="仿宋_GB2312" w:hAnsi="仿宋" w:eastAsia="仿宋_GB2312"/>
                <w:sz w:val="30"/>
                <w:szCs w:val="30"/>
              </w:rPr>
            </w:pPr>
          </w:p>
        </w:tc>
      </w:tr>
      <w:tr w14:paraId="757D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C6421DB">
            <w:pPr>
              <w:jc w:val="center"/>
              <w:rPr>
                <w:rFonts w:ascii="仿宋_GB2312" w:hAnsi="仿宋" w:eastAsia="仿宋_GB2312"/>
                <w:sz w:val="30"/>
                <w:szCs w:val="30"/>
              </w:rPr>
            </w:pPr>
          </w:p>
        </w:tc>
        <w:tc>
          <w:tcPr>
            <w:tcW w:w="917" w:type="dxa"/>
            <w:vAlign w:val="center"/>
          </w:tcPr>
          <w:p w14:paraId="2E35DC28">
            <w:pPr>
              <w:jc w:val="center"/>
              <w:rPr>
                <w:rFonts w:ascii="仿宋_GB2312" w:hAnsi="仿宋" w:eastAsia="仿宋_GB2312"/>
                <w:sz w:val="30"/>
                <w:szCs w:val="30"/>
              </w:rPr>
            </w:pPr>
          </w:p>
        </w:tc>
        <w:tc>
          <w:tcPr>
            <w:tcW w:w="2552" w:type="dxa"/>
            <w:vAlign w:val="center"/>
          </w:tcPr>
          <w:p w14:paraId="7D5BD02E">
            <w:pPr>
              <w:jc w:val="center"/>
              <w:rPr>
                <w:rFonts w:ascii="仿宋_GB2312" w:hAnsi="仿宋" w:eastAsia="仿宋_GB2312"/>
                <w:sz w:val="30"/>
                <w:szCs w:val="30"/>
              </w:rPr>
            </w:pPr>
          </w:p>
        </w:tc>
        <w:tc>
          <w:tcPr>
            <w:tcW w:w="1134" w:type="dxa"/>
            <w:vAlign w:val="center"/>
          </w:tcPr>
          <w:p w14:paraId="33E5C0D6">
            <w:pPr>
              <w:jc w:val="center"/>
              <w:rPr>
                <w:rFonts w:ascii="仿宋_GB2312" w:hAnsi="仿宋" w:eastAsia="仿宋_GB2312"/>
                <w:sz w:val="30"/>
                <w:szCs w:val="30"/>
              </w:rPr>
            </w:pPr>
          </w:p>
        </w:tc>
        <w:tc>
          <w:tcPr>
            <w:tcW w:w="1417" w:type="dxa"/>
            <w:vAlign w:val="center"/>
          </w:tcPr>
          <w:p w14:paraId="6A97AA74">
            <w:pPr>
              <w:jc w:val="center"/>
              <w:rPr>
                <w:rFonts w:ascii="仿宋_GB2312" w:hAnsi="仿宋" w:eastAsia="仿宋_GB2312"/>
                <w:sz w:val="30"/>
                <w:szCs w:val="30"/>
              </w:rPr>
            </w:pPr>
          </w:p>
        </w:tc>
        <w:tc>
          <w:tcPr>
            <w:tcW w:w="1276" w:type="dxa"/>
            <w:vAlign w:val="center"/>
          </w:tcPr>
          <w:p w14:paraId="4AFF96D2">
            <w:pPr>
              <w:jc w:val="center"/>
              <w:rPr>
                <w:rFonts w:ascii="仿宋_GB2312" w:hAnsi="仿宋" w:eastAsia="仿宋_GB2312"/>
                <w:sz w:val="30"/>
                <w:szCs w:val="30"/>
              </w:rPr>
            </w:pPr>
          </w:p>
        </w:tc>
        <w:tc>
          <w:tcPr>
            <w:tcW w:w="1210" w:type="dxa"/>
            <w:vAlign w:val="center"/>
          </w:tcPr>
          <w:p w14:paraId="602687FA">
            <w:pPr>
              <w:jc w:val="center"/>
              <w:rPr>
                <w:rFonts w:ascii="仿宋_GB2312" w:hAnsi="仿宋" w:eastAsia="仿宋_GB2312"/>
                <w:sz w:val="30"/>
                <w:szCs w:val="30"/>
              </w:rPr>
            </w:pPr>
          </w:p>
        </w:tc>
      </w:tr>
      <w:tr w14:paraId="776D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E5C1FAC">
            <w:pPr>
              <w:jc w:val="center"/>
              <w:rPr>
                <w:rFonts w:ascii="仿宋_GB2312" w:hAnsi="仿宋" w:eastAsia="仿宋_GB2312"/>
                <w:sz w:val="30"/>
                <w:szCs w:val="30"/>
              </w:rPr>
            </w:pPr>
          </w:p>
        </w:tc>
        <w:tc>
          <w:tcPr>
            <w:tcW w:w="917" w:type="dxa"/>
            <w:vAlign w:val="center"/>
          </w:tcPr>
          <w:p w14:paraId="0D3E4965">
            <w:pPr>
              <w:jc w:val="center"/>
              <w:rPr>
                <w:rFonts w:ascii="仿宋_GB2312" w:hAnsi="仿宋" w:eastAsia="仿宋_GB2312"/>
                <w:sz w:val="30"/>
                <w:szCs w:val="30"/>
              </w:rPr>
            </w:pPr>
          </w:p>
        </w:tc>
        <w:tc>
          <w:tcPr>
            <w:tcW w:w="2552" w:type="dxa"/>
            <w:vAlign w:val="center"/>
          </w:tcPr>
          <w:p w14:paraId="021786F8">
            <w:pPr>
              <w:jc w:val="center"/>
              <w:rPr>
                <w:rFonts w:ascii="仿宋_GB2312" w:hAnsi="仿宋" w:eastAsia="仿宋_GB2312"/>
                <w:sz w:val="30"/>
                <w:szCs w:val="30"/>
              </w:rPr>
            </w:pPr>
          </w:p>
        </w:tc>
        <w:tc>
          <w:tcPr>
            <w:tcW w:w="1134" w:type="dxa"/>
            <w:vAlign w:val="center"/>
          </w:tcPr>
          <w:p w14:paraId="1CDE4048">
            <w:pPr>
              <w:jc w:val="center"/>
              <w:rPr>
                <w:rFonts w:ascii="仿宋_GB2312" w:hAnsi="仿宋" w:eastAsia="仿宋_GB2312"/>
                <w:sz w:val="30"/>
                <w:szCs w:val="30"/>
              </w:rPr>
            </w:pPr>
          </w:p>
        </w:tc>
        <w:tc>
          <w:tcPr>
            <w:tcW w:w="1417" w:type="dxa"/>
            <w:vAlign w:val="center"/>
          </w:tcPr>
          <w:p w14:paraId="1A4AECBC">
            <w:pPr>
              <w:jc w:val="center"/>
              <w:rPr>
                <w:rFonts w:ascii="仿宋_GB2312" w:hAnsi="仿宋" w:eastAsia="仿宋_GB2312"/>
                <w:sz w:val="30"/>
                <w:szCs w:val="30"/>
              </w:rPr>
            </w:pPr>
          </w:p>
        </w:tc>
        <w:tc>
          <w:tcPr>
            <w:tcW w:w="1276" w:type="dxa"/>
            <w:vAlign w:val="center"/>
          </w:tcPr>
          <w:p w14:paraId="016F8447">
            <w:pPr>
              <w:jc w:val="center"/>
              <w:rPr>
                <w:rFonts w:ascii="仿宋_GB2312" w:hAnsi="仿宋" w:eastAsia="仿宋_GB2312"/>
                <w:sz w:val="30"/>
                <w:szCs w:val="30"/>
              </w:rPr>
            </w:pPr>
          </w:p>
        </w:tc>
        <w:tc>
          <w:tcPr>
            <w:tcW w:w="1210" w:type="dxa"/>
            <w:vAlign w:val="center"/>
          </w:tcPr>
          <w:p w14:paraId="04A79266">
            <w:pPr>
              <w:jc w:val="center"/>
              <w:rPr>
                <w:rFonts w:ascii="仿宋_GB2312" w:hAnsi="仿宋" w:eastAsia="仿宋_GB2312"/>
                <w:sz w:val="30"/>
                <w:szCs w:val="30"/>
              </w:rPr>
            </w:pPr>
          </w:p>
        </w:tc>
      </w:tr>
      <w:tr w14:paraId="7075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6BE76AF">
            <w:pPr>
              <w:jc w:val="center"/>
              <w:rPr>
                <w:rFonts w:ascii="仿宋_GB2312" w:hAnsi="仿宋" w:eastAsia="仿宋_GB2312"/>
                <w:sz w:val="30"/>
                <w:szCs w:val="30"/>
              </w:rPr>
            </w:pPr>
          </w:p>
        </w:tc>
        <w:tc>
          <w:tcPr>
            <w:tcW w:w="917" w:type="dxa"/>
            <w:vAlign w:val="center"/>
          </w:tcPr>
          <w:p w14:paraId="15F9F348">
            <w:pPr>
              <w:jc w:val="center"/>
              <w:rPr>
                <w:rFonts w:ascii="仿宋_GB2312" w:hAnsi="仿宋" w:eastAsia="仿宋_GB2312"/>
                <w:sz w:val="30"/>
                <w:szCs w:val="30"/>
              </w:rPr>
            </w:pPr>
          </w:p>
        </w:tc>
        <w:tc>
          <w:tcPr>
            <w:tcW w:w="2552" w:type="dxa"/>
            <w:vAlign w:val="center"/>
          </w:tcPr>
          <w:p w14:paraId="400EC9F0">
            <w:pPr>
              <w:jc w:val="center"/>
              <w:rPr>
                <w:rFonts w:ascii="仿宋_GB2312" w:hAnsi="仿宋" w:eastAsia="仿宋_GB2312"/>
                <w:sz w:val="30"/>
                <w:szCs w:val="30"/>
              </w:rPr>
            </w:pPr>
          </w:p>
        </w:tc>
        <w:tc>
          <w:tcPr>
            <w:tcW w:w="1134" w:type="dxa"/>
            <w:vAlign w:val="center"/>
          </w:tcPr>
          <w:p w14:paraId="46E3284A">
            <w:pPr>
              <w:jc w:val="center"/>
              <w:rPr>
                <w:rFonts w:ascii="仿宋_GB2312" w:hAnsi="仿宋" w:eastAsia="仿宋_GB2312"/>
                <w:sz w:val="30"/>
                <w:szCs w:val="30"/>
              </w:rPr>
            </w:pPr>
          </w:p>
        </w:tc>
        <w:tc>
          <w:tcPr>
            <w:tcW w:w="1417" w:type="dxa"/>
            <w:vAlign w:val="center"/>
          </w:tcPr>
          <w:p w14:paraId="77FAFEED">
            <w:pPr>
              <w:jc w:val="center"/>
              <w:rPr>
                <w:rFonts w:ascii="仿宋_GB2312" w:hAnsi="仿宋" w:eastAsia="仿宋_GB2312"/>
                <w:sz w:val="30"/>
                <w:szCs w:val="30"/>
              </w:rPr>
            </w:pPr>
          </w:p>
        </w:tc>
        <w:tc>
          <w:tcPr>
            <w:tcW w:w="1276" w:type="dxa"/>
            <w:vAlign w:val="center"/>
          </w:tcPr>
          <w:p w14:paraId="62A5ABAC">
            <w:pPr>
              <w:jc w:val="center"/>
              <w:rPr>
                <w:rFonts w:ascii="仿宋_GB2312" w:hAnsi="仿宋" w:eastAsia="仿宋_GB2312"/>
                <w:sz w:val="30"/>
                <w:szCs w:val="30"/>
              </w:rPr>
            </w:pPr>
          </w:p>
        </w:tc>
        <w:tc>
          <w:tcPr>
            <w:tcW w:w="1210" w:type="dxa"/>
            <w:vAlign w:val="center"/>
          </w:tcPr>
          <w:p w14:paraId="3C4B3994">
            <w:pPr>
              <w:jc w:val="center"/>
              <w:rPr>
                <w:rFonts w:ascii="仿宋_GB2312" w:hAnsi="仿宋" w:eastAsia="仿宋_GB2312"/>
                <w:sz w:val="30"/>
                <w:szCs w:val="30"/>
              </w:rPr>
            </w:pPr>
          </w:p>
        </w:tc>
      </w:tr>
      <w:tr w14:paraId="33D7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5950B51">
            <w:pPr>
              <w:jc w:val="center"/>
              <w:rPr>
                <w:rFonts w:ascii="仿宋_GB2312" w:hAnsi="仿宋" w:eastAsia="仿宋_GB2312"/>
                <w:sz w:val="30"/>
                <w:szCs w:val="30"/>
              </w:rPr>
            </w:pPr>
          </w:p>
        </w:tc>
        <w:tc>
          <w:tcPr>
            <w:tcW w:w="917" w:type="dxa"/>
            <w:vAlign w:val="center"/>
          </w:tcPr>
          <w:p w14:paraId="521BAD1D">
            <w:pPr>
              <w:jc w:val="center"/>
              <w:rPr>
                <w:rFonts w:ascii="仿宋_GB2312" w:hAnsi="仿宋" w:eastAsia="仿宋_GB2312"/>
                <w:sz w:val="30"/>
                <w:szCs w:val="30"/>
              </w:rPr>
            </w:pPr>
          </w:p>
        </w:tc>
        <w:tc>
          <w:tcPr>
            <w:tcW w:w="2552" w:type="dxa"/>
            <w:vAlign w:val="center"/>
          </w:tcPr>
          <w:p w14:paraId="747A7878">
            <w:pPr>
              <w:jc w:val="center"/>
              <w:rPr>
                <w:rFonts w:ascii="仿宋_GB2312" w:hAnsi="仿宋" w:eastAsia="仿宋_GB2312"/>
                <w:sz w:val="30"/>
                <w:szCs w:val="30"/>
              </w:rPr>
            </w:pPr>
          </w:p>
        </w:tc>
        <w:tc>
          <w:tcPr>
            <w:tcW w:w="1134" w:type="dxa"/>
            <w:vAlign w:val="center"/>
          </w:tcPr>
          <w:p w14:paraId="0513011B">
            <w:pPr>
              <w:jc w:val="center"/>
              <w:rPr>
                <w:rFonts w:ascii="仿宋_GB2312" w:hAnsi="仿宋" w:eastAsia="仿宋_GB2312"/>
                <w:sz w:val="30"/>
                <w:szCs w:val="30"/>
              </w:rPr>
            </w:pPr>
          </w:p>
        </w:tc>
        <w:tc>
          <w:tcPr>
            <w:tcW w:w="1417" w:type="dxa"/>
            <w:vAlign w:val="center"/>
          </w:tcPr>
          <w:p w14:paraId="54D4985D">
            <w:pPr>
              <w:jc w:val="center"/>
              <w:rPr>
                <w:rFonts w:ascii="仿宋_GB2312" w:hAnsi="仿宋" w:eastAsia="仿宋_GB2312"/>
                <w:sz w:val="30"/>
                <w:szCs w:val="30"/>
              </w:rPr>
            </w:pPr>
          </w:p>
        </w:tc>
        <w:tc>
          <w:tcPr>
            <w:tcW w:w="1276" w:type="dxa"/>
            <w:vAlign w:val="center"/>
          </w:tcPr>
          <w:p w14:paraId="06A9F1F8">
            <w:pPr>
              <w:jc w:val="center"/>
              <w:rPr>
                <w:rFonts w:ascii="仿宋_GB2312" w:hAnsi="仿宋" w:eastAsia="仿宋_GB2312"/>
                <w:sz w:val="30"/>
                <w:szCs w:val="30"/>
              </w:rPr>
            </w:pPr>
          </w:p>
        </w:tc>
        <w:tc>
          <w:tcPr>
            <w:tcW w:w="1210" w:type="dxa"/>
            <w:vAlign w:val="center"/>
          </w:tcPr>
          <w:p w14:paraId="3DB244B9">
            <w:pPr>
              <w:jc w:val="center"/>
              <w:rPr>
                <w:rFonts w:ascii="仿宋_GB2312" w:hAnsi="仿宋" w:eastAsia="仿宋_GB2312"/>
                <w:sz w:val="30"/>
                <w:szCs w:val="30"/>
              </w:rPr>
            </w:pPr>
          </w:p>
        </w:tc>
      </w:tr>
      <w:tr w14:paraId="0D43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EC31A4C">
            <w:pPr>
              <w:jc w:val="center"/>
              <w:rPr>
                <w:rFonts w:ascii="仿宋_GB2312" w:hAnsi="仿宋" w:eastAsia="仿宋_GB2312"/>
                <w:sz w:val="30"/>
                <w:szCs w:val="30"/>
              </w:rPr>
            </w:pPr>
          </w:p>
        </w:tc>
        <w:tc>
          <w:tcPr>
            <w:tcW w:w="917" w:type="dxa"/>
            <w:vAlign w:val="center"/>
          </w:tcPr>
          <w:p w14:paraId="68C06735">
            <w:pPr>
              <w:jc w:val="center"/>
              <w:rPr>
                <w:rFonts w:ascii="仿宋_GB2312" w:hAnsi="仿宋" w:eastAsia="仿宋_GB2312"/>
                <w:sz w:val="30"/>
                <w:szCs w:val="30"/>
              </w:rPr>
            </w:pPr>
          </w:p>
        </w:tc>
        <w:tc>
          <w:tcPr>
            <w:tcW w:w="2552" w:type="dxa"/>
            <w:vAlign w:val="center"/>
          </w:tcPr>
          <w:p w14:paraId="31F79B8D">
            <w:pPr>
              <w:jc w:val="center"/>
              <w:rPr>
                <w:rFonts w:ascii="仿宋_GB2312" w:hAnsi="仿宋" w:eastAsia="仿宋_GB2312"/>
                <w:sz w:val="30"/>
                <w:szCs w:val="30"/>
              </w:rPr>
            </w:pPr>
          </w:p>
        </w:tc>
        <w:tc>
          <w:tcPr>
            <w:tcW w:w="1134" w:type="dxa"/>
            <w:vAlign w:val="center"/>
          </w:tcPr>
          <w:p w14:paraId="342B639B">
            <w:pPr>
              <w:jc w:val="center"/>
              <w:rPr>
                <w:rFonts w:ascii="仿宋_GB2312" w:hAnsi="仿宋" w:eastAsia="仿宋_GB2312"/>
                <w:sz w:val="30"/>
                <w:szCs w:val="30"/>
              </w:rPr>
            </w:pPr>
          </w:p>
        </w:tc>
        <w:tc>
          <w:tcPr>
            <w:tcW w:w="1417" w:type="dxa"/>
            <w:vAlign w:val="center"/>
          </w:tcPr>
          <w:p w14:paraId="09A4D5E3">
            <w:pPr>
              <w:jc w:val="center"/>
              <w:rPr>
                <w:rFonts w:ascii="仿宋_GB2312" w:hAnsi="仿宋" w:eastAsia="仿宋_GB2312"/>
                <w:sz w:val="30"/>
                <w:szCs w:val="30"/>
              </w:rPr>
            </w:pPr>
          </w:p>
        </w:tc>
        <w:tc>
          <w:tcPr>
            <w:tcW w:w="1276" w:type="dxa"/>
            <w:vAlign w:val="center"/>
          </w:tcPr>
          <w:p w14:paraId="1A4AEFFC">
            <w:pPr>
              <w:jc w:val="center"/>
              <w:rPr>
                <w:rFonts w:ascii="仿宋_GB2312" w:hAnsi="仿宋" w:eastAsia="仿宋_GB2312"/>
                <w:sz w:val="30"/>
                <w:szCs w:val="30"/>
              </w:rPr>
            </w:pPr>
          </w:p>
        </w:tc>
        <w:tc>
          <w:tcPr>
            <w:tcW w:w="1210" w:type="dxa"/>
            <w:vAlign w:val="center"/>
          </w:tcPr>
          <w:p w14:paraId="69F54BDF">
            <w:pPr>
              <w:jc w:val="center"/>
              <w:rPr>
                <w:rFonts w:ascii="仿宋_GB2312" w:hAnsi="仿宋" w:eastAsia="仿宋_GB2312"/>
                <w:sz w:val="30"/>
                <w:szCs w:val="30"/>
              </w:rPr>
            </w:pPr>
          </w:p>
        </w:tc>
      </w:tr>
    </w:tbl>
    <w:p w14:paraId="676A941F">
      <w:pPr>
        <w:rPr>
          <w:rFonts w:ascii="仿宋_GB2312" w:hAnsi="仿宋" w:eastAsia="仿宋_GB2312"/>
          <w:sz w:val="24"/>
        </w:rPr>
      </w:pPr>
      <w:r>
        <w:rPr>
          <w:rFonts w:hint="eastAsia" w:ascii="仿宋_GB2312" w:hAnsi="仿宋" w:eastAsia="仿宋_GB2312"/>
          <w:sz w:val="24"/>
        </w:rPr>
        <w:t>备注：此表应认真填写，不得提供虚假业绩。</w:t>
      </w:r>
    </w:p>
    <w:p w14:paraId="2DC9B151">
      <w:pPr>
        <w:ind w:firstLine="720" w:firstLineChars="300"/>
        <w:rPr>
          <w:rFonts w:ascii="仿宋_GB2312" w:hAnsi="仿宋" w:eastAsia="仿宋_GB2312"/>
          <w:sz w:val="24"/>
        </w:rPr>
      </w:pPr>
      <w:r>
        <w:rPr>
          <w:rFonts w:hint="eastAsia" w:ascii="仿宋_GB2312" w:hAnsi="仿宋" w:eastAsia="仿宋_GB2312"/>
          <w:sz w:val="24"/>
        </w:rPr>
        <w:t>后附合同书的扫描件；</w:t>
      </w:r>
    </w:p>
    <w:p w14:paraId="1189670C">
      <w:pPr>
        <w:ind w:firstLine="720" w:firstLineChars="300"/>
        <w:rPr>
          <w:rFonts w:ascii="仿宋_GB2312" w:hAnsi="仿宋" w:eastAsia="仿宋_GB2312"/>
          <w:sz w:val="24"/>
        </w:rPr>
      </w:pPr>
      <w:r>
        <w:rPr>
          <w:rFonts w:hint="eastAsia" w:ascii="仿宋_GB2312" w:hAnsi="仿宋" w:eastAsia="仿宋_GB2312"/>
          <w:sz w:val="24"/>
        </w:rPr>
        <w:t>界定日期以合同签订时间为准。</w:t>
      </w:r>
    </w:p>
    <w:p w14:paraId="3420BAA4">
      <w:pPr>
        <w:wordWrap w:val="0"/>
        <w:jc w:val="right"/>
        <w:rPr>
          <w:rFonts w:ascii="仿宋_GB2312" w:hAnsi="仿宋" w:eastAsia="仿宋_GB2312"/>
          <w:sz w:val="24"/>
        </w:rPr>
      </w:pPr>
      <w:r>
        <w:rPr>
          <w:rFonts w:hint="eastAsia" w:ascii="仿宋_GB2312" w:hAnsi="仿宋" w:eastAsia="仿宋_GB2312"/>
          <w:sz w:val="30"/>
          <w:szCs w:val="30"/>
        </w:rPr>
        <w:t xml:space="preserve">供应商名称(盖章):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067E9E20">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法定代表人签章: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34A1200F">
      <w:pPr>
        <w:widowControl/>
        <w:jc w:val="center"/>
        <w:rPr>
          <w:rFonts w:ascii="仿宋_GB2312" w:hAnsi="宋体" w:eastAsia="仿宋_GB2312"/>
          <w:sz w:val="22"/>
          <w:szCs w:val="28"/>
        </w:rPr>
      </w:pPr>
      <w:r>
        <w:rPr>
          <w:rFonts w:ascii="仿宋_GB2312" w:hAnsi="仿宋" w:eastAsia="仿宋_GB2312"/>
          <w:b/>
          <w:bCs/>
          <w:sz w:val="30"/>
          <w:szCs w:val="30"/>
        </w:rPr>
        <w:br w:type="page"/>
      </w:r>
    </w:p>
    <w:p w14:paraId="7C34209B">
      <w:pPr>
        <w:jc w:val="right"/>
        <w:rPr>
          <w:rFonts w:ascii="仿宋_GB2312" w:hAnsi="宋体" w:eastAsia="仿宋_GB2312"/>
          <w:sz w:val="22"/>
          <w:szCs w:val="28"/>
        </w:rPr>
      </w:pPr>
      <w:r>
        <w:rPr>
          <w:rFonts w:hint="eastAsia" w:ascii="仿宋_GB2312" w:hAnsi="宋体" w:eastAsia="仿宋_GB2312"/>
          <w:sz w:val="22"/>
          <w:szCs w:val="28"/>
        </w:rPr>
        <w:t>如中标（成交），随中标（成交）公告公示</w:t>
      </w:r>
    </w:p>
    <w:p w14:paraId="699FDD78">
      <w:pPr>
        <w:jc w:val="right"/>
        <w:rPr>
          <w:rFonts w:ascii="仿宋_GB2312" w:hAnsi="宋体" w:eastAsia="仿宋_GB2312" w:cs="宋体"/>
          <w:bCs/>
          <w:sz w:val="28"/>
          <w:szCs w:val="28"/>
        </w:rPr>
      </w:pPr>
    </w:p>
    <w:p w14:paraId="3A1EADD0">
      <w:pPr>
        <w:jc w:val="center"/>
        <w:rPr>
          <w:rFonts w:ascii="Arial" w:hAnsi="Arial" w:eastAsia="黑体"/>
          <w:bCs/>
          <w:sz w:val="44"/>
          <w:szCs w:val="32"/>
        </w:rPr>
      </w:pPr>
      <w:r>
        <w:rPr>
          <w:rFonts w:hint="eastAsia" w:ascii="黑体" w:hAnsi="黑体" w:eastAsia="黑体"/>
          <w:sz w:val="44"/>
          <w:szCs w:val="44"/>
        </w:rPr>
        <w:t>符合政府采购优惠政策的证明材料</w:t>
      </w:r>
    </w:p>
    <w:p w14:paraId="670A97B9">
      <w:pPr>
        <w:spacing w:line="560" w:lineRule="exact"/>
        <w:rPr>
          <w:rFonts w:ascii="仿宋_GB2312" w:hAnsi="仿宋" w:eastAsia="仿宋_GB2312"/>
          <w:sz w:val="30"/>
          <w:szCs w:val="30"/>
        </w:rPr>
      </w:pPr>
    </w:p>
    <w:p w14:paraId="079F1DD6">
      <w:pPr>
        <w:spacing w:line="560" w:lineRule="exact"/>
        <w:rPr>
          <w:rFonts w:ascii="仿宋_GB2312" w:hAnsi="仿宋" w:eastAsia="仿宋_GB2312"/>
          <w:sz w:val="30"/>
          <w:szCs w:val="30"/>
        </w:rPr>
      </w:pPr>
    </w:p>
    <w:p w14:paraId="648EB3D7">
      <w:pPr>
        <w:spacing w:line="560" w:lineRule="exact"/>
        <w:rPr>
          <w:rFonts w:ascii="仿宋_GB2312" w:hAnsi="仿宋" w:eastAsia="仿宋_GB2312"/>
          <w:sz w:val="30"/>
          <w:szCs w:val="30"/>
        </w:rPr>
      </w:pPr>
    </w:p>
    <w:p w14:paraId="49B44AAE">
      <w:pPr>
        <w:spacing w:line="560" w:lineRule="exact"/>
        <w:rPr>
          <w:rFonts w:ascii="仿宋_GB2312" w:hAnsi="仿宋" w:eastAsia="仿宋_GB2312"/>
          <w:sz w:val="30"/>
          <w:szCs w:val="30"/>
        </w:rPr>
      </w:pPr>
    </w:p>
    <w:p w14:paraId="465966B3">
      <w:pPr>
        <w:spacing w:line="560" w:lineRule="exact"/>
        <w:rPr>
          <w:rFonts w:ascii="仿宋_GB2312" w:hAnsi="仿宋" w:eastAsia="仿宋_GB2312"/>
          <w:sz w:val="30"/>
          <w:szCs w:val="30"/>
        </w:rPr>
      </w:pPr>
    </w:p>
    <w:p w14:paraId="097F4FE7">
      <w:pPr>
        <w:spacing w:line="560" w:lineRule="exact"/>
        <w:rPr>
          <w:rFonts w:ascii="仿宋_GB2312" w:hAnsi="仿宋" w:eastAsia="仿宋_GB2312"/>
          <w:sz w:val="30"/>
          <w:szCs w:val="30"/>
        </w:rPr>
      </w:pPr>
    </w:p>
    <w:p w14:paraId="5405812D">
      <w:pPr>
        <w:spacing w:line="560" w:lineRule="exact"/>
        <w:rPr>
          <w:rFonts w:ascii="仿宋_GB2312" w:hAnsi="仿宋" w:eastAsia="仿宋_GB2312"/>
          <w:sz w:val="30"/>
          <w:szCs w:val="30"/>
        </w:rPr>
      </w:pPr>
    </w:p>
    <w:p w14:paraId="00F380F5">
      <w:pPr>
        <w:spacing w:line="560" w:lineRule="exact"/>
        <w:rPr>
          <w:rFonts w:ascii="仿宋_GB2312" w:hAnsi="仿宋" w:eastAsia="仿宋_GB2312"/>
          <w:sz w:val="30"/>
          <w:szCs w:val="30"/>
        </w:rPr>
      </w:pPr>
    </w:p>
    <w:p w14:paraId="75ED6A15">
      <w:pPr>
        <w:spacing w:line="560" w:lineRule="exact"/>
        <w:rPr>
          <w:rFonts w:ascii="仿宋_GB2312" w:hAnsi="仿宋" w:eastAsia="仿宋_GB2312"/>
          <w:sz w:val="30"/>
          <w:szCs w:val="30"/>
        </w:rPr>
      </w:pPr>
    </w:p>
    <w:p w14:paraId="353E8CB8">
      <w:pPr>
        <w:spacing w:line="560" w:lineRule="exact"/>
        <w:rPr>
          <w:rFonts w:ascii="仿宋_GB2312" w:hAnsi="仿宋" w:eastAsia="仿宋_GB2312"/>
          <w:sz w:val="30"/>
          <w:szCs w:val="30"/>
        </w:rPr>
      </w:pPr>
    </w:p>
    <w:p w14:paraId="387084F5">
      <w:pPr>
        <w:spacing w:line="560" w:lineRule="exact"/>
        <w:rPr>
          <w:rFonts w:ascii="仿宋_GB2312" w:hAnsi="仿宋" w:eastAsia="仿宋_GB2312"/>
          <w:sz w:val="30"/>
          <w:szCs w:val="30"/>
        </w:rPr>
      </w:pPr>
    </w:p>
    <w:p w14:paraId="344BFC92">
      <w:pPr>
        <w:spacing w:line="560" w:lineRule="exact"/>
        <w:rPr>
          <w:rFonts w:ascii="仿宋_GB2312" w:hAnsi="仿宋" w:eastAsia="仿宋_GB2312"/>
          <w:sz w:val="30"/>
          <w:szCs w:val="30"/>
        </w:rPr>
      </w:pPr>
    </w:p>
    <w:p w14:paraId="1F6F2FCF">
      <w:pPr>
        <w:spacing w:line="560" w:lineRule="exact"/>
        <w:rPr>
          <w:rFonts w:ascii="仿宋_GB2312" w:hAnsi="仿宋" w:eastAsia="仿宋_GB2312"/>
          <w:sz w:val="30"/>
          <w:szCs w:val="30"/>
        </w:rPr>
      </w:pPr>
    </w:p>
    <w:p w14:paraId="32ED322F">
      <w:pPr>
        <w:spacing w:line="560" w:lineRule="exact"/>
        <w:rPr>
          <w:rFonts w:ascii="仿宋_GB2312" w:hAnsi="仿宋" w:eastAsia="仿宋_GB2312"/>
          <w:sz w:val="30"/>
          <w:szCs w:val="30"/>
        </w:rPr>
      </w:pPr>
    </w:p>
    <w:p w14:paraId="4DAD901D">
      <w:pPr>
        <w:spacing w:line="560" w:lineRule="exact"/>
        <w:rPr>
          <w:rFonts w:ascii="仿宋_GB2312" w:hAnsi="仿宋" w:eastAsia="仿宋_GB2312"/>
          <w:sz w:val="30"/>
          <w:szCs w:val="30"/>
        </w:rPr>
      </w:pPr>
    </w:p>
    <w:p w14:paraId="3534AE76">
      <w:pPr>
        <w:spacing w:line="560" w:lineRule="exact"/>
        <w:rPr>
          <w:rFonts w:ascii="仿宋_GB2312" w:hAnsi="仿宋" w:eastAsia="仿宋_GB2312"/>
          <w:sz w:val="30"/>
          <w:szCs w:val="30"/>
        </w:rPr>
      </w:pPr>
    </w:p>
    <w:p w14:paraId="0815E12D">
      <w:pPr>
        <w:spacing w:line="560" w:lineRule="exact"/>
        <w:rPr>
          <w:rFonts w:ascii="仿宋_GB2312" w:hAnsi="仿宋" w:eastAsia="仿宋_GB2312"/>
          <w:sz w:val="30"/>
          <w:szCs w:val="30"/>
        </w:rPr>
      </w:pPr>
    </w:p>
    <w:p w14:paraId="2E7C9792">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供应商名称(盖章):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7E5C1AD6">
      <w:pPr>
        <w:widowControl/>
        <w:jc w:val="center"/>
        <w:rPr>
          <w:rFonts w:ascii="仿宋" w:hAnsi="仿宋" w:eastAsia="仿宋"/>
        </w:rPr>
      </w:pPr>
      <w:r>
        <w:rPr>
          <w:rFonts w:hint="eastAsia" w:ascii="仿宋" w:hAnsi="仿宋" w:eastAsia="仿宋"/>
          <w:sz w:val="30"/>
          <w:szCs w:val="30"/>
        </w:rPr>
        <w:t xml:space="preserve">                                   法定代表人签章:    </w:t>
      </w:r>
      <w:r>
        <w:rPr>
          <w:rFonts w:ascii="仿宋" w:hAnsi="仿宋" w:eastAsia="仿宋"/>
          <w:sz w:val="30"/>
          <w:szCs w:val="30"/>
        </w:rPr>
        <w:t xml:space="preserve"> </w:t>
      </w:r>
    </w:p>
    <w:p w14:paraId="45A370C7">
      <w:pPr>
        <w:jc w:val="right"/>
      </w:pPr>
      <w:r>
        <w:br w:type="page"/>
      </w:r>
      <w:r>
        <w:rPr>
          <w:rFonts w:hint="eastAsia" w:ascii="仿宋_GB2312" w:hAnsi="宋体" w:eastAsia="仿宋_GB2312"/>
          <w:sz w:val="22"/>
          <w:szCs w:val="28"/>
        </w:rPr>
        <w:t>如中标（成交），随中标（成交）公告公示</w:t>
      </w:r>
    </w:p>
    <w:p w14:paraId="5191D41D">
      <w:pPr>
        <w:jc w:val="center"/>
        <w:rPr>
          <w:rFonts w:ascii="宋体" w:hAnsi="宋体" w:cs="宋体"/>
          <w:sz w:val="44"/>
          <w:szCs w:val="44"/>
        </w:rPr>
      </w:pPr>
    </w:p>
    <w:p w14:paraId="35147315">
      <w:pPr>
        <w:jc w:val="center"/>
        <w:rPr>
          <w:rFonts w:ascii="宋体" w:hAnsi="宋体" w:cs="宋体"/>
          <w:sz w:val="44"/>
          <w:szCs w:val="44"/>
        </w:rPr>
      </w:pPr>
      <w:r>
        <w:rPr>
          <w:rFonts w:hint="eastAsia" w:ascii="宋体" w:hAnsi="宋体" w:cs="宋体"/>
          <w:sz w:val="44"/>
          <w:szCs w:val="44"/>
        </w:rPr>
        <w:t>中小企业声明函</w:t>
      </w:r>
    </w:p>
    <w:p w14:paraId="197327E2">
      <w:pPr>
        <w:autoSpaceDE w:val="0"/>
        <w:autoSpaceDN w:val="0"/>
        <w:spacing w:before="14" w:line="560" w:lineRule="exact"/>
        <w:ind w:left="220" w:right="415" w:firstLine="632" w:firstLineChars="200"/>
        <w:rPr>
          <w:rFonts w:ascii="仿宋_GB2312" w:hAnsi="仿宋" w:eastAsia="仿宋_GB2312" w:cs="仿宋"/>
          <w:sz w:val="32"/>
          <w:szCs w:val="32"/>
        </w:rPr>
      </w:pPr>
      <w:r>
        <w:rPr>
          <w:rFonts w:hint="eastAsia" w:ascii="仿宋_GB2312" w:hAnsi="仿宋" w:eastAsia="仿宋_GB2312" w:cs="仿宋"/>
          <w:spacing w:val="-2"/>
          <w:sz w:val="32"/>
          <w:szCs w:val="32"/>
        </w:rPr>
        <w:t>本公司</w:t>
      </w:r>
      <w:r>
        <w:rPr>
          <w:rFonts w:hint="eastAsia" w:ascii="仿宋_GB2312" w:hAnsi="仿宋" w:eastAsia="仿宋_GB2312" w:cs="仿宋"/>
          <w:sz w:val="32"/>
          <w:szCs w:val="32"/>
        </w:rPr>
        <w:t>（联合体</w:t>
      </w:r>
      <w:r>
        <w:rPr>
          <w:rFonts w:hint="eastAsia" w:ascii="仿宋_GB2312" w:hAnsi="仿宋" w:eastAsia="仿宋_GB2312" w:cs="仿宋"/>
          <w:spacing w:val="-5"/>
          <w:sz w:val="32"/>
          <w:szCs w:val="32"/>
        </w:rPr>
        <w:t>）</w:t>
      </w:r>
      <w:r>
        <w:rPr>
          <w:rFonts w:hint="eastAsia" w:ascii="仿宋_GB2312" w:hAnsi="仿宋" w:eastAsia="仿宋_GB2312" w:cs="仿宋"/>
          <w:spacing w:val="-2"/>
          <w:sz w:val="32"/>
          <w:szCs w:val="32"/>
        </w:rPr>
        <w:t>郑重声明，根据《政府采购促进中小</w:t>
      </w:r>
      <w:r>
        <w:rPr>
          <w:rFonts w:hint="eastAsia" w:ascii="仿宋_GB2312" w:hAnsi="仿宋" w:eastAsia="仿宋_GB2312" w:cs="仿宋"/>
          <w:spacing w:val="-18"/>
          <w:sz w:val="32"/>
          <w:szCs w:val="32"/>
        </w:rPr>
        <w:t>企业发展管理办法》</w:t>
      </w:r>
      <w:r>
        <w:rPr>
          <w:rFonts w:hint="eastAsia" w:ascii="仿宋_GB2312" w:hAnsi="仿宋" w:eastAsia="仿宋_GB2312" w:cs="仿宋"/>
          <w:sz w:val="32"/>
          <w:szCs w:val="32"/>
        </w:rPr>
        <w:t>（</w:t>
      </w:r>
      <w:r>
        <w:rPr>
          <w:rFonts w:hint="eastAsia" w:ascii="仿宋_GB2312" w:hAnsi="仿宋" w:eastAsia="仿宋_GB2312" w:cs="仿宋"/>
          <w:spacing w:val="5"/>
          <w:sz w:val="32"/>
          <w:szCs w:val="32"/>
        </w:rPr>
        <w:t>财库</w:t>
      </w:r>
      <w:r>
        <w:rPr>
          <w:rFonts w:hint="eastAsia" w:ascii="仿宋_GB2312" w:hAnsi="仿宋" w:eastAsia="仿宋" w:cs="仿宋"/>
          <w:sz w:val="32"/>
          <w:szCs w:val="32"/>
        </w:rPr>
        <w:t>﹝</w:t>
      </w:r>
      <w:r>
        <w:rPr>
          <w:rFonts w:hint="eastAsia" w:ascii="仿宋_GB2312" w:hAnsi="仿宋" w:eastAsia="仿宋_GB2312" w:cs="仿宋"/>
          <w:sz w:val="32"/>
          <w:szCs w:val="32"/>
        </w:rPr>
        <w:t>2020</w:t>
      </w:r>
      <w:r>
        <w:rPr>
          <w:rFonts w:hint="eastAsia" w:ascii="仿宋_GB2312" w:hAnsi="仿宋" w:eastAsia="仿宋" w:cs="仿宋"/>
          <w:sz w:val="32"/>
          <w:szCs w:val="32"/>
        </w:rPr>
        <w:t>﹞</w:t>
      </w:r>
      <w:r>
        <w:rPr>
          <w:rFonts w:hint="eastAsia" w:ascii="仿宋_GB2312" w:hAnsi="仿宋" w:eastAsia="仿宋_GB2312" w:cs="仿宋"/>
          <w:sz w:val="32"/>
          <w:szCs w:val="32"/>
        </w:rPr>
        <w:t>46</w:t>
      </w:r>
      <w:r>
        <w:rPr>
          <w:rFonts w:hint="eastAsia" w:ascii="仿宋_GB2312" w:hAnsi="仿宋" w:eastAsia="仿宋_GB2312" w:cs="仿宋"/>
          <w:spacing w:val="28"/>
          <w:sz w:val="32"/>
          <w:szCs w:val="32"/>
        </w:rPr>
        <w:t>号</w:t>
      </w:r>
      <w:r>
        <w:rPr>
          <w:rFonts w:hint="eastAsia" w:ascii="仿宋_GB2312" w:hAnsi="仿宋" w:eastAsia="仿宋_GB2312" w:cs="仿宋"/>
          <w:spacing w:val="5"/>
          <w:sz w:val="32"/>
          <w:szCs w:val="32"/>
        </w:rPr>
        <w:t>）</w:t>
      </w:r>
      <w:r>
        <w:rPr>
          <w:rFonts w:hint="eastAsia" w:ascii="仿宋_GB2312" w:hAnsi="仿宋" w:eastAsia="仿宋_GB2312" w:cs="仿宋"/>
          <w:sz w:val="32"/>
          <w:szCs w:val="32"/>
        </w:rPr>
        <w:t>的规定，本公司（联合体）</w:t>
      </w:r>
      <w:r>
        <w:rPr>
          <w:rFonts w:hint="eastAsia" w:ascii="仿宋_GB2312" w:hAnsi="仿宋" w:eastAsia="仿宋_GB2312" w:cs="仿宋"/>
          <w:spacing w:val="-8"/>
          <w:sz w:val="32"/>
          <w:szCs w:val="32"/>
        </w:rPr>
        <w:t>参加</w:t>
      </w:r>
      <w:r>
        <w:rPr>
          <w:rFonts w:hint="eastAsia" w:ascii="仿宋_GB2312" w:hAnsi="仿宋" w:eastAsia="仿宋_GB2312" w:cs="仿宋"/>
          <w:spacing w:val="-8"/>
          <w:sz w:val="32"/>
          <w:szCs w:val="32"/>
          <w:u w:val="single"/>
        </w:rPr>
        <w:t>（单位名称）</w:t>
      </w:r>
      <w:r>
        <w:rPr>
          <w:rFonts w:hint="eastAsia" w:ascii="仿宋_GB2312" w:hAnsi="仿宋" w:eastAsia="仿宋_GB2312" w:cs="仿宋"/>
          <w:spacing w:val="-8"/>
          <w:sz w:val="32"/>
          <w:szCs w:val="32"/>
        </w:rPr>
        <w:t>的</w:t>
      </w:r>
      <w:r>
        <w:rPr>
          <w:rFonts w:hint="eastAsia" w:ascii="仿宋_GB2312" w:hAnsi="仿宋" w:eastAsia="仿宋_GB2312" w:cs="仿宋"/>
          <w:spacing w:val="-8"/>
          <w:sz w:val="32"/>
          <w:szCs w:val="32"/>
          <w:u w:val="single"/>
        </w:rPr>
        <w:t>（项目名称）</w:t>
      </w:r>
      <w:r>
        <w:rPr>
          <w:rFonts w:hint="eastAsia" w:ascii="仿宋_GB2312" w:hAnsi="仿宋" w:eastAsia="仿宋_GB2312" w:cs="仿宋"/>
          <w:spacing w:val="-1"/>
          <w:sz w:val="32"/>
          <w:szCs w:val="32"/>
        </w:rPr>
        <w:t>采购活动，提</w:t>
      </w:r>
      <w:r>
        <w:rPr>
          <w:rFonts w:hint="eastAsia" w:ascii="仿宋_GB2312" w:hAnsi="仿宋" w:eastAsia="仿宋_GB2312" w:cs="仿宋"/>
          <w:spacing w:val="11"/>
          <w:w w:val="95"/>
          <w:sz w:val="32"/>
          <w:szCs w:val="32"/>
        </w:rPr>
        <w:t>供的货物全部由符合政策要求的中小企业制造。相关企业</w:t>
      </w:r>
      <w:r>
        <w:rPr>
          <w:rFonts w:hint="eastAsia" w:ascii="仿宋_GB2312" w:hAnsi="仿宋" w:eastAsia="仿宋_GB2312" w:cs="仿宋"/>
          <w:sz w:val="32"/>
          <w:szCs w:val="32"/>
        </w:rPr>
        <w:t>（含联合体中的中小企业、签订分包意向协议的中小企业） 的具体情况如下：</w:t>
      </w:r>
    </w:p>
    <w:p w14:paraId="1C18F854">
      <w:pPr>
        <w:numPr>
          <w:ilvl w:val="0"/>
          <w:numId w:val="2"/>
        </w:numPr>
        <w:autoSpaceDE w:val="0"/>
        <w:autoSpaceDN w:val="0"/>
        <w:spacing w:before="30" w:line="560" w:lineRule="exact"/>
        <w:ind w:left="220" w:right="417" w:firstLine="628" w:firstLineChars="200"/>
        <w:rPr>
          <w:rFonts w:ascii="仿宋_GB2312" w:hAnsi="仿宋" w:eastAsia="仿宋_GB2312" w:cs="仿宋"/>
          <w:spacing w:val="-3"/>
          <w:sz w:val="32"/>
          <w:szCs w:val="32"/>
        </w:rPr>
      </w:pPr>
      <w:r>
        <w:rPr>
          <w:rFonts w:hint="eastAsia" w:ascii="仿宋_GB2312" w:hAnsi="仿宋" w:eastAsia="仿宋_GB2312" w:cs="仿宋"/>
          <w:spacing w:val="-3"/>
          <w:sz w:val="32"/>
          <w:szCs w:val="32"/>
          <w:u w:val="single"/>
        </w:rPr>
        <w:t>（标的名称）</w:t>
      </w:r>
      <w:r>
        <w:rPr>
          <w:rFonts w:hint="eastAsia" w:ascii="仿宋_GB2312" w:hAnsi="仿宋" w:eastAsia="仿宋_GB2312" w:cs="仿宋"/>
          <w:spacing w:val="-3"/>
          <w:sz w:val="32"/>
          <w:szCs w:val="32"/>
        </w:rPr>
        <w:t>，属于</w:t>
      </w:r>
      <w:r>
        <w:rPr>
          <w:rFonts w:hint="eastAsia" w:ascii="仿宋_GB2312" w:hAnsi="仿宋" w:eastAsia="仿宋_GB2312" w:cs="仿宋"/>
          <w:spacing w:val="-3"/>
          <w:sz w:val="32"/>
          <w:szCs w:val="32"/>
          <w:u w:val="single"/>
        </w:rPr>
        <w:t>（采购文件中明确的所属行业）行业</w:t>
      </w:r>
      <w:r>
        <w:rPr>
          <w:rFonts w:hint="eastAsia" w:ascii="仿宋_GB2312" w:hAnsi="仿宋" w:eastAsia="仿宋_GB2312" w:cs="仿宋"/>
          <w:spacing w:val="-3"/>
          <w:sz w:val="32"/>
          <w:szCs w:val="32"/>
        </w:rPr>
        <w:t>；制造商为</w:t>
      </w:r>
      <w:r>
        <w:rPr>
          <w:rFonts w:hint="eastAsia" w:ascii="仿宋_GB2312" w:hAnsi="仿宋" w:eastAsia="仿宋_GB2312" w:cs="仿宋"/>
          <w:spacing w:val="-3"/>
          <w:sz w:val="32"/>
          <w:szCs w:val="32"/>
          <w:u w:val="single"/>
        </w:rPr>
        <w:t>（企业名称）</w:t>
      </w:r>
      <w:r>
        <w:rPr>
          <w:rFonts w:hint="eastAsia" w:ascii="仿宋_GB2312" w:hAnsi="仿宋" w:eastAsia="仿宋_GB2312" w:cs="仿宋"/>
          <w:spacing w:val="-3"/>
          <w:sz w:val="32"/>
          <w:szCs w:val="32"/>
        </w:rPr>
        <w:t>，从业人员</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人，营业收入为</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万元，资产总额为</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万</w:t>
      </w:r>
      <w:r>
        <w:rPr>
          <w:rFonts w:hint="eastAsia" w:ascii="仿宋_GB2312" w:hAnsi="仿宋" w:eastAsia="仿宋_GB2312" w:cs="仿宋"/>
          <w:spacing w:val="2"/>
          <w:w w:val="99"/>
          <w:sz w:val="32"/>
          <w:szCs w:val="32"/>
        </w:rPr>
        <w:t>元</w:t>
      </w:r>
      <w:r>
        <w:rPr>
          <w:rFonts w:hint="eastAsia" w:ascii="仿宋_GB2312" w:hAnsi="仿宋" w:eastAsia="仿宋_GB2312" w:cs="仿宋"/>
          <w:spacing w:val="2"/>
          <w:w w:val="99"/>
          <w:sz w:val="32"/>
          <w:szCs w:val="32"/>
          <w:vertAlign w:val="superscript"/>
        </w:rPr>
        <w:t>1</w:t>
      </w:r>
      <w:r>
        <w:rPr>
          <w:rFonts w:hint="eastAsia" w:ascii="仿宋_GB2312" w:hAnsi="仿宋" w:eastAsia="仿宋_GB2312" w:cs="仿宋"/>
          <w:spacing w:val="2"/>
          <w:w w:val="99"/>
          <w:sz w:val="32"/>
          <w:szCs w:val="32"/>
        </w:rPr>
        <w:t>,属于</w:t>
      </w:r>
      <w:r>
        <w:rPr>
          <w:rFonts w:hint="eastAsia" w:ascii="仿宋_GB2312" w:hAnsi="仿宋" w:eastAsia="仿宋_GB2312" w:cs="仿宋"/>
          <w:spacing w:val="2"/>
          <w:w w:val="99"/>
          <w:sz w:val="32"/>
          <w:szCs w:val="32"/>
          <w:u w:val="single"/>
        </w:rPr>
        <w:t>（中型企业、小型企业、微型企业）</w:t>
      </w:r>
      <w:r>
        <w:rPr>
          <w:rFonts w:hint="eastAsia" w:ascii="仿宋_GB2312" w:hAnsi="仿宋" w:eastAsia="仿宋_GB2312" w:cs="仿宋"/>
          <w:spacing w:val="2"/>
          <w:w w:val="99"/>
          <w:sz w:val="32"/>
          <w:szCs w:val="32"/>
        </w:rPr>
        <w:t>；</w:t>
      </w:r>
    </w:p>
    <w:p w14:paraId="34CE01A1">
      <w:pPr>
        <w:numPr>
          <w:ilvl w:val="0"/>
          <w:numId w:val="2"/>
        </w:numPr>
        <w:tabs>
          <w:tab w:val="left" w:pos="312"/>
        </w:tabs>
        <w:autoSpaceDE w:val="0"/>
        <w:autoSpaceDN w:val="0"/>
        <w:spacing w:before="30" w:line="560" w:lineRule="exact"/>
        <w:ind w:left="220" w:right="417" w:firstLine="628" w:firstLineChars="200"/>
        <w:rPr>
          <w:rFonts w:ascii="仿宋_GB2312" w:hAnsi="仿宋" w:eastAsia="仿宋_GB2312" w:cs="仿宋"/>
          <w:spacing w:val="-3"/>
          <w:sz w:val="32"/>
          <w:szCs w:val="32"/>
        </w:rPr>
      </w:pPr>
      <w:r>
        <w:rPr>
          <w:rFonts w:hint="eastAsia" w:ascii="仿宋_GB2312" w:hAnsi="仿宋" w:eastAsia="仿宋_GB2312" w:cs="仿宋"/>
          <w:spacing w:val="-3"/>
          <w:sz w:val="32"/>
          <w:szCs w:val="32"/>
          <w:u w:val="single"/>
        </w:rPr>
        <w:t>（标的名称）</w:t>
      </w:r>
      <w:r>
        <w:rPr>
          <w:rFonts w:hint="eastAsia" w:ascii="仿宋_GB2312" w:hAnsi="仿宋" w:eastAsia="仿宋_GB2312" w:cs="仿宋"/>
          <w:spacing w:val="-3"/>
          <w:sz w:val="32"/>
          <w:szCs w:val="32"/>
        </w:rPr>
        <w:t>，属于</w:t>
      </w:r>
      <w:r>
        <w:rPr>
          <w:rFonts w:hint="eastAsia" w:ascii="仿宋_GB2312" w:hAnsi="仿宋" w:eastAsia="仿宋_GB2312" w:cs="仿宋"/>
          <w:spacing w:val="-3"/>
          <w:sz w:val="32"/>
          <w:szCs w:val="32"/>
          <w:u w:val="single"/>
        </w:rPr>
        <w:t>（采购文件中明确的所属行业）行业</w:t>
      </w:r>
      <w:r>
        <w:rPr>
          <w:rFonts w:hint="eastAsia" w:ascii="仿宋_GB2312" w:hAnsi="仿宋" w:eastAsia="仿宋_GB2312" w:cs="仿宋"/>
          <w:spacing w:val="-3"/>
          <w:sz w:val="32"/>
          <w:szCs w:val="32"/>
        </w:rPr>
        <w:t>；制造商为</w:t>
      </w:r>
      <w:r>
        <w:rPr>
          <w:rFonts w:hint="eastAsia" w:ascii="仿宋_GB2312" w:hAnsi="仿宋" w:eastAsia="仿宋_GB2312" w:cs="仿宋"/>
          <w:spacing w:val="-3"/>
          <w:sz w:val="32"/>
          <w:szCs w:val="32"/>
          <w:u w:val="single"/>
        </w:rPr>
        <w:t>（企业名称）</w:t>
      </w:r>
      <w:r>
        <w:rPr>
          <w:rFonts w:hint="eastAsia" w:ascii="仿宋_GB2312" w:hAnsi="仿宋" w:eastAsia="仿宋_GB2312" w:cs="仿宋"/>
          <w:spacing w:val="-3"/>
          <w:sz w:val="32"/>
          <w:szCs w:val="32"/>
        </w:rPr>
        <w:t>，从业人员</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人，营业收入为</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万元，资产总额为</w:t>
      </w:r>
      <w:r>
        <w:rPr>
          <w:rFonts w:hint="eastAsia" w:ascii="仿宋_GB2312" w:hAnsi="仿宋" w:eastAsia="仿宋_GB2312" w:cs="仿宋"/>
          <w:spacing w:val="-3"/>
          <w:sz w:val="32"/>
          <w:szCs w:val="32"/>
          <w:u w:val="single"/>
        </w:rPr>
        <w:t xml:space="preserve">      </w:t>
      </w:r>
      <w:r>
        <w:rPr>
          <w:rFonts w:hint="eastAsia" w:ascii="仿宋_GB2312" w:hAnsi="仿宋" w:eastAsia="仿宋_GB2312" w:cs="仿宋"/>
          <w:spacing w:val="-3"/>
          <w:sz w:val="32"/>
          <w:szCs w:val="32"/>
        </w:rPr>
        <w:t>万</w:t>
      </w:r>
      <w:r>
        <w:rPr>
          <w:rFonts w:hint="eastAsia" w:ascii="仿宋_GB2312" w:hAnsi="仿宋" w:eastAsia="仿宋_GB2312" w:cs="仿宋"/>
          <w:spacing w:val="2"/>
          <w:w w:val="99"/>
          <w:sz w:val="32"/>
          <w:szCs w:val="32"/>
        </w:rPr>
        <w:t>元,属于</w:t>
      </w:r>
      <w:r>
        <w:rPr>
          <w:rFonts w:hint="eastAsia" w:ascii="仿宋_GB2312" w:hAnsi="仿宋" w:eastAsia="仿宋_GB2312" w:cs="仿宋"/>
          <w:spacing w:val="2"/>
          <w:w w:val="99"/>
          <w:sz w:val="32"/>
          <w:szCs w:val="32"/>
          <w:u w:val="single"/>
        </w:rPr>
        <w:t>（中型企业、小型企业、微型企业）</w:t>
      </w:r>
      <w:r>
        <w:rPr>
          <w:rFonts w:hint="eastAsia" w:ascii="仿宋_GB2312" w:hAnsi="仿宋" w:eastAsia="仿宋_GB2312" w:cs="仿宋"/>
          <w:spacing w:val="2"/>
          <w:w w:val="99"/>
          <w:sz w:val="32"/>
          <w:szCs w:val="32"/>
        </w:rPr>
        <w:t>；</w:t>
      </w:r>
    </w:p>
    <w:p w14:paraId="6B2D4738">
      <w:pPr>
        <w:autoSpaceDE w:val="0"/>
        <w:autoSpaceDN w:val="0"/>
        <w:spacing w:before="30" w:line="560" w:lineRule="exact"/>
        <w:ind w:left="420" w:leftChars="200" w:right="417" w:firstLine="628" w:firstLineChars="200"/>
        <w:rPr>
          <w:rFonts w:ascii="仿宋_GB2312" w:hAnsi="仿宋" w:eastAsia="仿宋_GB2312" w:cs="仿宋"/>
          <w:spacing w:val="-3"/>
          <w:sz w:val="32"/>
          <w:szCs w:val="32"/>
        </w:rPr>
      </w:pPr>
      <w:r>
        <w:rPr>
          <w:rFonts w:hint="eastAsia" w:ascii="仿宋_GB2312" w:hAnsi="仿宋" w:eastAsia="仿宋_GB2312" w:cs="仿宋"/>
          <w:spacing w:val="-3"/>
          <w:sz w:val="32"/>
          <w:szCs w:val="32"/>
        </w:rPr>
        <w:t>……</w:t>
      </w:r>
    </w:p>
    <w:p w14:paraId="0975C4C6">
      <w:pPr>
        <w:autoSpaceDE w:val="0"/>
        <w:autoSpaceDN w:val="0"/>
        <w:spacing w:before="30" w:line="560" w:lineRule="exact"/>
        <w:ind w:left="420" w:leftChars="200" w:right="417" w:firstLine="628" w:firstLineChars="200"/>
        <w:rPr>
          <w:rFonts w:ascii="仿宋_GB2312" w:hAnsi="仿宋" w:eastAsia="仿宋_GB2312" w:cs="仿宋"/>
          <w:sz w:val="32"/>
          <w:szCs w:val="32"/>
        </w:rPr>
      </w:pPr>
      <w:r>
        <w:rPr>
          <w:rFonts w:hint="eastAsia" w:ascii="仿宋_GB2312" w:hAnsi="仿宋" w:eastAsia="仿宋_GB2312" w:cs="仿宋"/>
          <w:spacing w:val="-3"/>
          <w:sz w:val="32"/>
          <w:szCs w:val="32"/>
        </w:rPr>
        <w:t>以上企业，不属于大企业的分支机构，不存在控股股东</w:t>
      </w:r>
      <w:r>
        <w:rPr>
          <w:rFonts w:hint="eastAsia" w:ascii="仿宋_GB2312" w:hAnsi="仿宋" w:eastAsia="仿宋_GB2312" w:cs="仿宋"/>
          <w:spacing w:val="-5"/>
          <w:sz w:val="32"/>
          <w:szCs w:val="32"/>
        </w:rPr>
        <w:t>为大企业的情形，也不存在与大企业的负责人为同一人的情形。</w:t>
      </w:r>
    </w:p>
    <w:p w14:paraId="79288F91">
      <w:pPr>
        <w:autoSpaceDE w:val="0"/>
        <w:autoSpaceDN w:val="0"/>
        <w:spacing w:line="560" w:lineRule="exact"/>
        <w:ind w:left="220" w:right="372" w:firstLine="640" w:firstLineChars="200"/>
        <w:rPr>
          <w:rFonts w:ascii="仿宋_GB2312" w:hAnsi="仿宋" w:eastAsia="仿宋_GB2312" w:cs="仿宋"/>
          <w:sz w:val="32"/>
          <w:szCs w:val="32"/>
        </w:rPr>
      </w:pPr>
      <w:r>
        <w:rPr>
          <w:rFonts w:hint="eastAsia" w:ascii="仿宋_GB2312" w:hAnsi="仿宋" w:eastAsia="仿宋_GB2312" w:cs="仿宋"/>
          <w:sz w:val="32"/>
          <w:szCs w:val="32"/>
        </w:rPr>
        <w:t>本企业对上述声明内容的真实性负责。如有虚假，将依法承担相应责任。</w:t>
      </w:r>
    </w:p>
    <w:p w14:paraId="433137B5">
      <w:pPr>
        <w:autoSpaceDE w:val="0"/>
        <w:autoSpaceDN w:val="0"/>
        <w:spacing w:before="14" w:line="560" w:lineRule="exact"/>
        <w:ind w:left="220" w:right="415" w:firstLine="4108" w:firstLineChars="1300"/>
        <w:rPr>
          <w:rFonts w:ascii="仿宋_GB2312" w:hAnsi="仿宋" w:eastAsia="仿宋_GB2312" w:cs="仿宋"/>
          <w:spacing w:val="-8"/>
          <w:w w:val="99"/>
          <w:sz w:val="32"/>
          <w:szCs w:val="32"/>
        </w:rPr>
      </w:pPr>
      <w:r>
        <w:rPr>
          <w:rFonts w:hint="eastAsia" w:ascii="仿宋_GB2312" w:hAnsi="仿宋" w:eastAsia="仿宋_GB2312" w:cs="仿宋"/>
          <w:w w:val="99"/>
          <w:sz w:val="32"/>
          <w:szCs w:val="32"/>
        </w:rPr>
        <w:t>企业名称</w:t>
      </w:r>
      <w:r>
        <w:rPr>
          <w:rFonts w:hint="eastAsia" w:ascii="仿宋_GB2312" w:hAnsi="仿宋" w:eastAsia="仿宋_GB2312" w:cs="仿宋"/>
          <w:spacing w:val="2"/>
          <w:w w:val="99"/>
          <w:sz w:val="32"/>
          <w:szCs w:val="32"/>
        </w:rPr>
        <w:t>（</w:t>
      </w:r>
      <w:r>
        <w:rPr>
          <w:rFonts w:hint="eastAsia" w:ascii="仿宋_GB2312" w:hAnsi="仿宋" w:eastAsia="仿宋_GB2312" w:cs="仿宋"/>
          <w:w w:val="99"/>
          <w:sz w:val="32"/>
          <w:szCs w:val="32"/>
        </w:rPr>
        <w:t>盖章）：</w:t>
      </w:r>
    </w:p>
    <w:p w14:paraId="3F248CB8">
      <w:pPr>
        <w:autoSpaceDE w:val="0"/>
        <w:autoSpaceDN w:val="0"/>
        <w:spacing w:before="14" w:line="560" w:lineRule="exact"/>
        <w:ind w:left="220" w:right="415" w:firstLine="4048" w:firstLineChars="1100"/>
        <w:rPr>
          <w:rFonts w:ascii="仿宋_GB2312" w:hAnsi="仿宋" w:eastAsia="仿宋_GB2312" w:cs="仿宋"/>
          <w:spacing w:val="24"/>
          <w:sz w:val="32"/>
          <w:szCs w:val="32"/>
        </w:rPr>
      </w:pPr>
      <w:r>
        <w:rPr>
          <w:rFonts w:hint="eastAsia" w:ascii="仿宋_GB2312" w:hAnsi="仿宋" w:eastAsia="仿宋_GB2312" w:cs="仿宋"/>
          <w:spacing w:val="24"/>
          <w:sz w:val="32"/>
          <w:szCs w:val="32"/>
        </w:rPr>
        <w:t>日期：</w:t>
      </w:r>
    </w:p>
    <w:p w14:paraId="43183517">
      <w:pPr>
        <w:autoSpaceDE w:val="0"/>
        <w:autoSpaceDN w:val="0"/>
        <w:spacing w:before="14" w:line="560" w:lineRule="exact"/>
        <w:ind w:right="415"/>
        <w:rPr>
          <w:rFonts w:ascii="仿宋_GB2312" w:hAnsi="仿宋" w:eastAsia="仿宋_GB2312" w:cs="仿宋"/>
          <w:spacing w:val="24"/>
          <w:sz w:val="32"/>
          <w:szCs w:val="32"/>
        </w:rPr>
      </w:pPr>
    </w:p>
    <w:p w14:paraId="0E4CDF32">
      <w:pPr>
        <w:pStyle w:val="23"/>
        <w:rPr>
          <w:b/>
          <w:sz w:val="22"/>
        </w:rPr>
      </w:pPr>
      <w:r>
        <w:rPr>
          <w:rStyle w:val="66"/>
          <w:rFonts w:hint="eastAsia"/>
        </w:rPr>
        <w:t>1.</w:t>
      </w:r>
      <w:r>
        <w:rPr>
          <w:rFonts w:hint="eastAsia"/>
          <w:b/>
          <w:sz w:val="22"/>
        </w:rPr>
        <w:t>从业人员、营业收入、资产总额填报上一年度数据，无上一年度数据的新成立企业可不填报。</w:t>
      </w:r>
    </w:p>
    <w:p w14:paraId="601A0EA4">
      <w:pPr>
        <w:autoSpaceDE w:val="0"/>
        <w:autoSpaceDN w:val="0"/>
        <w:spacing w:before="14" w:line="560" w:lineRule="exact"/>
        <w:ind w:right="415"/>
        <w:rPr>
          <w:rFonts w:ascii="仿宋_GB2312" w:hAnsi="仿宋" w:eastAsia="仿宋_GB2312" w:cs="仿宋"/>
          <w:spacing w:val="24"/>
          <w:sz w:val="32"/>
          <w:szCs w:val="32"/>
        </w:rPr>
        <w:sectPr>
          <w:headerReference r:id="rId19" w:type="default"/>
          <w:footerReference r:id="rId20" w:type="default"/>
          <w:pgSz w:w="11906" w:h="16838"/>
          <w:pgMar w:top="1440" w:right="1080" w:bottom="1440" w:left="1080" w:header="851" w:footer="992" w:gutter="0"/>
          <w:cols w:space="720" w:num="1"/>
          <w:docGrid w:type="lines" w:linePitch="312" w:charSpace="0"/>
        </w:sectPr>
      </w:pPr>
    </w:p>
    <w:p w14:paraId="35790016">
      <w:pPr>
        <w:jc w:val="right"/>
        <w:rPr>
          <w:rFonts w:ascii="黑体" w:hAnsi="黑体" w:eastAsia="黑体"/>
          <w:sz w:val="44"/>
          <w:szCs w:val="44"/>
        </w:rPr>
      </w:pPr>
      <w:r>
        <w:rPr>
          <w:rFonts w:hint="eastAsia" w:ascii="仿宋_GB2312" w:hAnsi="宋体" w:eastAsia="仿宋_GB2312"/>
          <w:sz w:val="22"/>
          <w:szCs w:val="28"/>
        </w:rPr>
        <w:t>如中标（成交），随中标（成交）公告公示</w:t>
      </w:r>
    </w:p>
    <w:p w14:paraId="1AFE840C">
      <w:pPr>
        <w:rPr>
          <w:rFonts w:ascii="黑体" w:hAnsi="黑体" w:eastAsia="黑体"/>
          <w:sz w:val="44"/>
          <w:szCs w:val="44"/>
        </w:rPr>
      </w:pPr>
    </w:p>
    <w:p w14:paraId="1DDB1D6B">
      <w:pPr>
        <w:jc w:val="center"/>
        <w:rPr>
          <w:rFonts w:ascii="黑体" w:hAnsi="黑体" w:eastAsia="黑体"/>
          <w:sz w:val="44"/>
          <w:szCs w:val="44"/>
        </w:rPr>
      </w:pPr>
      <w:r>
        <w:rPr>
          <w:rFonts w:hint="eastAsia" w:ascii="黑体" w:hAnsi="黑体" w:eastAsia="黑体"/>
          <w:sz w:val="44"/>
          <w:szCs w:val="44"/>
        </w:rPr>
        <w:t>残疾人福利性单位声明函</w:t>
      </w:r>
    </w:p>
    <w:p w14:paraId="36CBCC8C">
      <w:pPr>
        <w:spacing w:line="588" w:lineRule="exact"/>
        <w:ind w:firstLine="640" w:firstLineChars="200"/>
        <w:rPr>
          <w:rFonts w:ascii="仿宋_GB2312" w:hAnsi="仿宋" w:eastAsia="仿宋_GB2312"/>
          <w:sz w:val="32"/>
          <w:szCs w:val="32"/>
        </w:rPr>
      </w:pPr>
      <w:r>
        <w:rPr>
          <w:rFonts w:hint="eastAsia" w:ascii="仿宋_GB2312" w:hAnsi="仿宋" w:eastAsia="仿宋_GB2312"/>
          <w:sz w:val="32"/>
          <w:szCs w:val="32"/>
        </w:rPr>
        <w:t>本单位郑重声明，根据《财政部 民政部 中国残疾人联合会关于促进残疾人就业政府采购政策的通知》（财库〔2017〕 141号）的规定，本单位为符合条件的残疾人福利性单位，且本单位参加_</w:t>
      </w:r>
      <w:r>
        <w:rPr>
          <w:rFonts w:hint="eastAsia" w:ascii="仿宋_GB2312" w:hAnsi="仿宋" w:eastAsia="仿宋_GB2312"/>
          <w:sz w:val="32"/>
          <w:szCs w:val="32"/>
          <w:u w:val="single"/>
        </w:rPr>
        <w:t xml:space="preserve"> </w:t>
      </w:r>
      <w:r>
        <w:rPr>
          <w:rFonts w:ascii="仿宋_GB2312" w:hAnsi="仿宋" w:eastAsia="仿宋_GB2312"/>
          <w:sz w:val="32"/>
          <w:szCs w:val="32"/>
          <w:u w:val="single"/>
        </w:rPr>
        <w:t xml:space="preserve"> </w:t>
      </w:r>
      <w:r>
        <w:rPr>
          <w:rFonts w:hint="eastAsia" w:ascii="仿宋_GB2312" w:hAnsi="仿宋" w:eastAsia="仿宋_GB2312"/>
          <w:sz w:val="32"/>
          <w:szCs w:val="32"/>
        </w:rPr>
        <w:t>_单位的_</w:t>
      </w:r>
      <w:r>
        <w:rPr>
          <w:rFonts w:hint="eastAsia" w:ascii="仿宋_GB2312" w:hAnsi="仿宋" w:eastAsia="仿宋_GB2312"/>
          <w:sz w:val="32"/>
          <w:szCs w:val="32"/>
          <w:u w:val="single"/>
        </w:rPr>
        <w:t xml:space="preserve"> </w:t>
      </w:r>
      <w:r>
        <w:rPr>
          <w:rFonts w:ascii="仿宋_GB2312" w:hAnsi="仿宋" w:eastAsia="仿宋_GB2312"/>
          <w:sz w:val="32"/>
          <w:szCs w:val="32"/>
          <w:u w:val="single"/>
        </w:rPr>
        <w:t xml:space="preserve"> </w:t>
      </w:r>
      <w:r>
        <w:rPr>
          <w:rFonts w:hint="eastAsia" w:ascii="仿宋_GB2312" w:hAnsi="仿宋" w:eastAsia="仿宋_GB2312"/>
          <w:sz w:val="32"/>
          <w:szCs w:val="32"/>
        </w:rPr>
        <w:t>_项目采购活动提供本单位制造的货物（由本单位承担工程/提供服务），或者提供其他残疾人福利性单位制造的货物（不包括使用非残疾人福利性单位注册商标的货物）。</w:t>
      </w:r>
    </w:p>
    <w:p w14:paraId="2AE2DED3">
      <w:pPr>
        <w:spacing w:line="588" w:lineRule="exact"/>
        <w:ind w:firstLine="640" w:firstLineChars="200"/>
        <w:rPr>
          <w:rFonts w:ascii="仿宋_GB2312" w:hAnsi="仿宋" w:eastAsia="仿宋_GB2312"/>
          <w:sz w:val="32"/>
          <w:szCs w:val="32"/>
        </w:rPr>
      </w:pPr>
      <w:r>
        <w:rPr>
          <w:rFonts w:hint="eastAsia" w:ascii="仿宋_GB2312" w:hAnsi="仿宋" w:eastAsia="仿宋_GB2312"/>
          <w:sz w:val="32"/>
          <w:szCs w:val="32"/>
        </w:rPr>
        <w:t>本单位对上述声明的真实性负责。如有虚假，将依法承担相应责任。</w:t>
      </w:r>
    </w:p>
    <w:p w14:paraId="31F86B74">
      <w:pPr>
        <w:spacing w:line="588" w:lineRule="exact"/>
        <w:ind w:firstLine="640" w:firstLineChars="200"/>
        <w:rPr>
          <w:rFonts w:ascii="仿宋_GB2312" w:hAnsi="仿宋" w:eastAsia="仿宋_GB2312"/>
          <w:sz w:val="32"/>
          <w:szCs w:val="32"/>
        </w:rPr>
      </w:pPr>
    </w:p>
    <w:p w14:paraId="45333ED4">
      <w:pPr>
        <w:spacing w:line="588" w:lineRule="exact"/>
        <w:ind w:firstLine="664" w:firstLineChars="200"/>
        <w:rPr>
          <w:rFonts w:ascii="仿宋_GB2312" w:eastAsia="仿宋_GB2312"/>
          <w:spacing w:val="6"/>
          <w:sz w:val="32"/>
          <w:szCs w:val="32"/>
        </w:rPr>
      </w:pPr>
    </w:p>
    <w:p w14:paraId="5EC81BC0">
      <w:pPr>
        <w:shd w:val="clear" w:color="auto" w:fill="FFFFFF"/>
        <w:spacing w:line="560" w:lineRule="exact"/>
        <w:ind w:firstLine="5312" w:firstLineChars="1660"/>
        <w:rPr>
          <w:rFonts w:ascii="仿宋_GB2312" w:hAnsi="仿宋" w:eastAsia="仿宋_GB2312" w:cs="Arial"/>
          <w:sz w:val="32"/>
          <w:szCs w:val="32"/>
        </w:rPr>
      </w:pPr>
      <w:r>
        <w:rPr>
          <w:rFonts w:hint="eastAsia" w:ascii="仿宋_GB2312" w:hAnsi="仿宋" w:eastAsia="仿宋_GB2312" w:cs="Arial"/>
          <w:sz w:val="32"/>
          <w:szCs w:val="32"/>
        </w:rPr>
        <w:t xml:space="preserve">企业名称（盖章）： </w:t>
      </w:r>
      <w:r>
        <w:rPr>
          <w:rFonts w:ascii="仿宋_GB2312" w:hAnsi="仿宋" w:eastAsia="仿宋_GB2312" w:cs="Arial"/>
          <w:sz w:val="32"/>
          <w:szCs w:val="32"/>
        </w:rPr>
        <w:t xml:space="preserve"> </w:t>
      </w:r>
    </w:p>
    <w:p w14:paraId="721690C3">
      <w:pPr>
        <w:shd w:val="clear" w:color="auto" w:fill="FFFFFF"/>
        <w:spacing w:line="560" w:lineRule="exact"/>
        <w:ind w:firstLine="5280" w:firstLineChars="1650"/>
        <w:rPr>
          <w:rFonts w:ascii="仿宋_GB2312" w:hAnsi="仿宋" w:eastAsia="仿宋_GB2312" w:cs="Arial"/>
          <w:sz w:val="32"/>
          <w:szCs w:val="32"/>
        </w:rPr>
      </w:pPr>
      <w:r>
        <w:rPr>
          <w:rFonts w:hint="eastAsia" w:ascii="仿宋_GB2312" w:hAnsi="仿宋" w:eastAsia="仿宋_GB2312" w:cs="Arial"/>
          <w:sz w:val="32"/>
          <w:szCs w:val="32"/>
        </w:rPr>
        <w:t xml:space="preserve">日   期：  </w:t>
      </w:r>
    </w:p>
    <w:p w14:paraId="24F5E0EF">
      <w:pPr>
        <w:widowControl/>
        <w:jc w:val="center"/>
        <w:rPr>
          <w:rFonts w:ascii="黑体" w:hAnsi="黑体" w:eastAsia="黑体"/>
          <w:sz w:val="44"/>
          <w:szCs w:val="44"/>
        </w:rPr>
      </w:pPr>
      <w:r>
        <w:rPr>
          <w:rFonts w:ascii="仿宋_GB2312" w:hAnsi="仿宋" w:eastAsia="仿宋_GB2312" w:cs="Arial"/>
          <w:sz w:val="32"/>
          <w:szCs w:val="32"/>
        </w:rPr>
        <w:br w:type="page"/>
      </w:r>
      <w:r>
        <w:rPr>
          <w:rFonts w:hint="eastAsia" w:ascii="黑体" w:hAnsi="黑体" w:eastAsia="黑体"/>
          <w:sz w:val="44"/>
          <w:szCs w:val="44"/>
        </w:rPr>
        <w:t>需要采购人提供的配合</w:t>
      </w:r>
    </w:p>
    <w:p w14:paraId="6B81DED4">
      <w:pPr>
        <w:sectPr>
          <w:pgSz w:w="11906" w:h="16838"/>
          <w:pgMar w:top="1440" w:right="1080" w:bottom="1440" w:left="1080" w:header="851" w:footer="992" w:gutter="0"/>
          <w:cols w:space="720" w:num="1"/>
          <w:docGrid w:type="lines" w:linePitch="312" w:charSpace="0"/>
        </w:sectPr>
      </w:pPr>
      <w:r>
        <w:br w:type="page"/>
      </w:r>
    </w:p>
    <w:p w14:paraId="6ED48421">
      <w:pPr>
        <w:pStyle w:val="31"/>
        <w:spacing w:before="100" w:beforeAutospacing="1" w:after="100" w:afterAutospacing="1" w:line="415" w:lineRule="auto"/>
        <w:ind w:left="1440"/>
        <w:rPr>
          <w:rFonts w:ascii="楷体_GB2312" w:hAnsi="宋体" w:eastAsia="楷体_GB2312" w:cs="宋体"/>
          <w:sz w:val="44"/>
          <w:szCs w:val="44"/>
        </w:rPr>
      </w:pPr>
      <w:r>
        <w:rPr>
          <w:rFonts w:hint="eastAsia" w:ascii="楷体_GB2312" w:hAnsi="宋体" w:eastAsia="楷体_GB2312" w:cs="宋体"/>
          <w:sz w:val="44"/>
          <w:szCs w:val="44"/>
        </w:rPr>
        <w:t>第六章 政府采购合同（范本）</w:t>
      </w:r>
    </w:p>
    <w:p w14:paraId="7403BC5F"/>
    <w:p w14:paraId="5DBD3BDE">
      <w:pPr>
        <w:spacing w:line="360" w:lineRule="auto"/>
        <w:jc w:val="center"/>
        <w:rPr>
          <w:rFonts w:ascii="宋体"/>
          <w:sz w:val="44"/>
          <w:szCs w:val="44"/>
        </w:rPr>
      </w:pPr>
      <w:r>
        <w:rPr>
          <w:rFonts w:hAnsi="宋体"/>
          <w:sz w:val="52"/>
          <w:szCs w:val="52"/>
        </w:rPr>
        <w:br w:type="page"/>
      </w:r>
    </w:p>
    <w:p w14:paraId="12EFF348">
      <w:pPr>
        <w:spacing w:line="360" w:lineRule="auto"/>
        <w:jc w:val="center"/>
        <w:rPr>
          <w:rFonts w:ascii="宋体"/>
          <w:sz w:val="44"/>
          <w:szCs w:val="44"/>
        </w:rPr>
      </w:pPr>
    </w:p>
    <w:p w14:paraId="081B9F4E">
      <w:pPr>
        <w:spacing w:line="360" w:lineRule="auto"/>
        <w:jc w:val="center"/>
        <w:rPr>
          <w:rFonts w:ascii="宋体"/>
          <w:sz w:val="44"/>
          <w:szCs w:val="44"/>
        </w:rPr>
      </w:pPr>
    </w:p>
    <w:p w14:paraId="521EBA0E">
      <w:pPr>
        <w:spacing w:line="360" w:lineRule="auto"/>
        <w:jc w:val="center"/>
        <w:rPr>
          <w:rFonts w:ascii="宋体"/>
          <w:sz w:val="44"/>
          <w:szCs w:val="44"/>
        </w:rPr>
      </w:pPr>
      <w:r>
        <w:rPr>
          <w:rFonts w:hint="eastAsia" w:ascii="宋体" w:hAnsi="宋体"/>
          <w:sz w:val="44"/>
          <w:szCs w:val="44"/>
        </w:rPr>
        <w:t>山东省政府采购合同</w:t>
      </w:r>
    </w:p>
    <w:p w14:paraId="2DA6E644">
      <w:pPr>
        <w:snapToGrid w:val="0"/>
        <w:spacing w:line="360" w:lineRule="auto"/>
        <w:jc w:val="center"/>
        <w:rPr>
          <w:rFonts w:ascii="宋体"/>
          <w:sz w:val="28"/>
          <w:szCs w:val="28"/>
        </w:rPr>
      </w:pPr>
      <w:r>
        <w:rPr>
          <w:rFonts w:hint="eastAsia" w:ascii="宋体" w:hAnsi="宋体"/>
          <w:sz w:val="28"/>
          <w:szCs w:val="28"/>
        </w:rPr>
        <w:t>（服务类）</w:t>
      </w:r>
    </w:p>
    <w:p w14:paraId="44827876">
      <w:pPr>
        <w:snapToGrid w:val="0"/>
        <w:spacing w:line="360" w:lineRule="auto"/>
        <w:jc w:val="center"/>
        <w:rPr>
          <w:rFonts w:ascii="宋体"/>
          <w:sz w:val="28"/>
          <w:szCs w:val="28"/>
        </w:rPr>
      </w:pPr>
    </w:p>
    <w:p w14:paraId="4B11A545">
      <w:pPr>
        <w:snapToGrid w:val="0"/>
        <w:spacing w:line="360" w:lineRule="auto"/>
        <w:jc w:val="center"/>
        <w:rPr>
          <w:rFonts w:ascii="宋体"/>
          <w:sz w:val="28"/>
          <w:szCs w:val="28"/>
        </w:rPr>
      </w:pPr>
    </w:p>
    <w:p w14:paraId="32016907">
      <w:pPr>
        <w:spacing w:line="360" w:lineRule="auto"/>
        <w:ind w:firstLine="640" w:firstLineChars="200"/>
        <w:rPr>
          <w:rFonts w:ascii="宋体" w:hAnsi="宋体"/>
          <w:sz w:val="32"/>
        </w:rPr>
      </w:pPr>
      <w:r>
        <w:rPr>
          <w:rFonts w:hint="eastAsia" w:ascii="宋体" w:hAnsi="宋体"/>
          <w:sz w:val="32"/>
        </w:rPr>
        <w:t>项目名称</w:t>
      </w:r>
      <w:r>
        <w:rPr>
          <w:rFonts w:ascii="宋体" w:hAnsi="宋体"/>
          <w:sz w:val="32"/>
        </w:rPr>
        <w:t>:</w:t>
      </w:r>
      <w:r>
        <w:rPr>
          <w:rFonts w:ascii="宋体" w:hAnsi="宋体"/>
          <w:sz w:val="32"/>
          <w:u w:val="single"/>
        </w:rPr>
        <w:t xml:space="preserve">  </w:t>
      </w:r>
      <w:r>
        <w:rPr>
          <w:rFonts w:hint="eastAsia" w:ascii="宋体" w:hAnsi="宋体"/>
          <w:sz w:val="32"/>
          <w:u w:val="single"/>
        </w:rPr>
        <w:t>乳山市500MW/1000MWh电化学储能项目可研报告及电力接入系统论证报告</w:t>
      </w:r>
      <w:r>
        <w:rPr>
          <w:rFonts w:ascii="宋体" w:hAnsi="宋体"/>
          <w:sz w:val="32"/>
          <w:u w:val="single"/>
        </w:rPr>
        <w:t xml:space="preserve">   </w:t>
      </w:r>
      <w:r>
        <w:rPr>
          <w:rFonts w:ascii="宋体" w:hAnsi="宋体"/>
          <w:sz w:val="32"/>
        </w:rPr>
        <w:t xml:space="preserve">     </w:t>
      </w:r>
    </w:p>
    <w:p w14:paraId="79E7BBEA">
      <w:pPr>
        <w:spacing w:line="360" w:lineRule="auto"/>
        <w:ind w:firstLine="640" w:firstLineChars="200"/>
        <w:rPr>
          <w:rFonts w:ascii="宋体"/>
          <w:sz w:val="32"/>
        </w:rPr>
      </w:pPr>
      <w:r>
        <w:rPr>
          <w:rFonts w:ascii="宋体" w:hAnsi="宋体"/>
          <w:sz w:val="32"/>
        </w:rPr>
        <w:t xml:space="preserve">            </w:t>
      </w:r>
    </w:p>
    <w:p w14:paraId="1411ACCD">
      <w:pPr>
        <w:spacing w:line="360" w:lineRule="auto"/>
        <w:ind w:firstLine="640" w:firstLineChars="200"/>
        <w:rPr>
          <w:rFonts w:ascii="宋体"/>
          <w:sz w:val="32"/>
          <w:u w:val="single"/>
        </w:rPr>
      </w:pPr>
      <w:r>
        <w:rPr>
          <w:rFonts w:hint="eastAsia" w:ascii="宋体" w:hAnsi="宋体"/>
          <w:sz w:val="32"/>
        </w:rPr>
        <w:t>合同编号</w:t>
      </w:r>
      <w:r>
        <w:rPr>
          <w:rFonts w:ascii="宋体" w:hAnsi="宋体"/>
          <w:sz w:val="32"/>
        </w:rPr>
        <w:t>:</w:t>
      </w:r>
      <w:r>
        <w:rPr>
          <w:rFonts w:ascii="宋体" w:hAnsi="宋体"/>
          <w:sz w:val="32"/>
          <w:u w:val="single"/>
        </w:rPr>
        <w:t xml:space="preserve"> </w:t>
      </w:r>
      <w:r>
        <w:rPr>
          <w:rFonts w:hint="eastAsia" w:ascii="宋体" w:hAnsi="宋体"/>
          <w:sz w:val="32"/>
          <w:u w:val="single"/>
        </w:rPr>
        <w:t xml:space="preserve">          </w:t>
      </w:r>
      <w:r>
        <w:rPr>
          <w:rFonts w:ascii="宋体" w:hAnsi="宋体"/>
          <w:sz w:val="32"/>
          <w:u w:val="single"/>
        </w:rPr>
        <w:t xml:space="preserve"> </w:t>
      </w:r>
    </w:p>
    <w:p w14:paraId="2212FC61">
      <w:pPr>
        <w:spacing w:line="360" w:lineRule="auto"/>
        <w:jc w:val="center"/>
        <w:rPr>
          <w:rFonts w:ascii="宋体"/>
          <w:b/>
          <w:sz w:val="24"/>
        </w:rPr>
      </w:pPr>
    </w:p>
    <w:p w14:paraId="74ABBAD7">
      <w:pPr>
        <w:spacing w:line="360" w:lineRule="auto"/>
        <w:jc w:val="center"/>
        <w:rPr>
          <w:rFonts w:ascii="宋体"/>
          <w:b/>
          <w:sz w:val="24"/>
        </w:rPr>
      </w:pPr>
    </w:p>
    <w:p w14:paraId="6EF55C28">
      <w:pPr>
        <w:spacing w:line="360" w:lineRule="auto"/>
        <w:jc w:val="center"/>
        <w:rPr>
          <w:rFonts w:ascii="宋体"/>
          <w:b/>
          <w:sz w:val="24"/>
        </w:rPr>
      </w:pPr>
    </w:p>
    <w:p w14:paraId="3E0615B3">
      <w:pPr>
        <w:spacing w:line="360" w:lineRule="auto"/>
        <w:jc w:val="center"/>
        <w:rPr>
          <w:rFonts w:ascii="宋体"/>
          <w:b/>
          <w:sz w:val="24"/>
        </w:rPr>
      </w:pPr>
    </w:p>
    <w:p w14:paraId="466BA753">
      <w:pPr>
        <w:spacing w:line="360" w:lineRule="auto"/>
        <w:jc w:val="center"/>
        <w:rPr>
          <w:rFonts w:ascii="宋体"/>
          <w:b/>
          <w:sz w:val="24"/>
        </w:rPr>
      </w:pPr>
    </w:p>
    <w:p w14:paraId="589B768E">
      <w:pPr>
        <w:spacing w:line="360" w:lineRule="auto"/>
        <w:jc w:val="center"/>
        <w:rPr>
          <w:rFonts w:ascii="宋体"/>
          <w:b/>
          <w:sz w:val="24"/>
        </w:rPr>
      </w:pPr>
    </w:p>
    <w:p w14:paraId="74C14054">
      <w:pPr>
        <w:spacing w:line="360" w:lineRule="auto"/>
        <w:ind w:firstLine="1968" w:firstLineChars="700"/>
        <w:rPr>
          <w:rFonts w:ascii="宋体"/>
          <w:b/>
          <w:sz w:val="28"/>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r>
        <w:rPr>
          <w:rFonts w:hint="eastAsia" w:ascii="宋体" w:hAnsi="宋体"/>
          <w:b/>
          <w:sz w:val="28"/>
          <w:u w:val="single"/>
          <w:lang w:eastAsia="zh-CN"/>
        </w:rPr>
        <w:t>乳山市发展和改革局（乳山市人民防空办公室、乳山市国防动员办公室）</w:t>
      </w:r>
      <w:r>
        <w:rPr>
          <w:rFonts w:ascii="宋体" w:hAnsi="宋体"/>
          <w:b/>
          <w:sz w:val="28"/>
          <w:u w:val="single"/>
        </w:rPr>
        <w:t xml:space="preserve">   </w:t>
      </w:r>
    </w:p>
    <w:p w14:paraId="1E366CF6">
      <w:pPr>
        <w:spacing w:line="360" w:lineRule="auto"/>
        <w:ind w:firstLine="1968" w:firstLineChars="700"/>
        <w:rPr>
          <w:rFonts w:asci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ascii="宋体" w:hAnsi="宋体"/>
          <w:b/>
          <w:sz w:val="28"/>
          <w:u w:val="single"/>
        </w:rPr>
        <w:t xml:space="preserve">  </w:t>
      </w:r>
      <w:r>
        <w:rPr>
          <w:rFonts w:hint="eastAsia" w:ascii="宋体" w:hAnsi="宋体"/>
          <w:b/>
          <w:sz w:val="28"/>
          <w:u w:val="single"/>
        </w:rPr>
        <w:t xml:space="preserve"> </w:t>
      </w:r>
      <w:r>
        <w:rPr>
          <w:rFonts w:ascii="宋体" w:hAnsi="宋体"/>
          <w:b/>
          <w:sz w:val="28"/>
          <w:u w:val="single"/>
        </w:rPr>
        <w:t xml:space="preserve">         </w:t>
      </w:r>
    </w:p>
    <w:p w14:paraId="06A8C7BA">
      <w:pPr>
        <w:spacing w:line="360" w:lineRule="auto"/>
        <w:ind w:firstLine="1968" w:firstLineChars="700"/>
        <w:rPr>
          <w:rFonts w:ascii="宋体"/>
          <w:b/>
          <w:sz w:val="28"/>
          <w:u w:val="single"/>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r>
        <w:rPr>
          <w:rFonts w:hint="eastAsia" w:ascii="宋体" w:hAnsi="宋体"/>
          <w:b/>
          <w:sz w:val="28"/>
          <w:u w:val="single"/>
        </w:rPr>
        <w:t>山东华正建筑设计咨询有限公司</w:t>
      </w:r>
      <w:r>
        <w:rPr>
          <w:rFonts w:ascii="宋体" w:hAnsi="宋体"/>
          <w:b/>
          <w:sz w:val="28"/>
          <w:u w:val="single"/>
        </w:rPr>
        <w:t xml:space="preserve">  </w:t>
      </w:r>
    </w:p>
    <w:p w14:paraId="70049C10">
      <w:pPr>
        <w:snapToGrid w:val="0"/>
        <w:spacing w:line="360" w:lineRule="auto"/>
        <w:jc w:val="center"/>
        <w:rPr>
          <w:rFonts w:ascii="宋体"/>
          <w:sz w:val="30"/>
          <w:szCs w:val="30"/>
        </w:rPr>
      </w:pPr>
    </w:p>
    <w:p w14:paraId="6215D15E">
      <w:pPr>
        <w:pStyle w:val="15"/>
      </w:pPr>
    </w:p>
    <w:p w14:paraId="320A0285">
      <w:pPr>
        <w:snapToGrid w:val="0"/>
        <w:spacing w:line="360" w:lineRule="auto"/>
        <w:jc w:val="center"/>
        <w:rPr>
          <w:rFonts w:ascii="宋体"/>
          <w:sz w:val="30"/>
          <w:szCs w:val="30"/>
        </w:rPr>
      </w:pPr>
      <w:r>
        <w:rPr>
          <w:rFonts w:hint="eastAsia" w:ascii="宋体" w:hAnsi="宋体"/>
          <w:sz w:val="30"/>
          <w:szCs w:val="30"/>
        </w:rPr>
        <w:t xml:space="preserve">签订时间：二〇 </w:t>
      </w:r>
      <w:r>
        <w:rPr>
          <w:rFonts w:ascii="宋体" w:hAnsi="宋体"/>
          <w:sz w:val="30"/>
          <w:szCs w:val="30"/>
        </w:rPr>
        <w:t xml:space="preserve">  </w:t>
      </w:r>
      <w:r>
        <w:rPr>
          <w:rFonts w:hint="eastAsia" w:ascii="宋体" w:hAnsi="宋体"/>
          <w:sz w:val="30"/>
          <w:szCs w:val="30"/>
        </w:rPr>
        <w:t xml:space="preserve">年 </w:t>
      </w:r>
      <w:r>
        <w:rPr>
          <w:rFonts w:ascii="宋体" w:hAnsi="宋体"/>
          <w:sz w:val="30"/>
          <w:szCs w:val="30"/>
        </w:rPr>
        <w:t xml:space="preserve">  </w:t>
      </w:r>
      <w:r>
        <w:rPr>
          <w:rFonts w:hint="eastAsia" w:ascii="宋体" w:hAnsi="宋体"/>
          <w:sz w:val="30"/>
          <w:szCs w:val="30"/>
        </w:rPr>
        <w:t xml:space="preserve">月 </w:t>
      </w:r>
      <w:r>
        <w:rPr>
          <w:rFonts w:ascii="宋体" w:hAnsi="宋体"/>
          <w:sz w:val="30"/>
          <w:szCs w:val="30"/>
        </w:rPr>
        <w:t xml:space="preserve">  </w:t>
      </w:r>
      <w:r>
        <w:rPr>
          <w:rFonts w:hint="eastAsia" w:ascii="宋体" w:hAnsi="宋体"/>
          <w:sz w:val="30"/>
          <w:szCs w:val="30"/>
        </w:rPr>
        <w:t xml:space="preserve">日 </w:t>
      </w:r>
    </w:p>
    <w:p w14:paraId="74F70E07">
      <w:pPr>
        <w:pStyle w:val="16"/>
        <w:spacing w:line="360" w:lineRule="auto"/>
        <w:ind w:firstLine="0"/>
        <w:rPr>
          <w:rFonts w:ascii="宋体"/>
          <w:b/>
          <w:bCs/>
          <w:sz w:val="32"/>
          <w:szCs w:val="32"/>
        </w:rPr>
      </w:pPr>
    </w:p>
    <w:p w14:paraId="1557358B">
      <w:pPr>
        <w:pStyle w:val="16"/>
        <w:spacing w:line="360" w:lineRule="auto"/>
        <w:ind w:firstLine="0"/>
        <w:rPr>
          <w:rFonts w:ascii="宋体"/>
          <w:b/>
          <w:bCs/>
          <w:sz w:val="32"/>
          <w:szCs w:val="32"/>
        </w:rPr>
      </w:pPr>
    </w:p>
    <w:p w14:paraId="5D351B8D"/>
    <w:p w14:paraId="7C27BC34">
      <w:pPr>
        <w:spacing w:line="360" w:lineRule="auto"/>
        <w:ind w:firstLine="420" w:firstLineChars="200"/>
        <w:rPr>
          <w:rFonts w:ascii="宋体" w:hAnsi="宋体" w:cs="宋体"/>
          <w:u w:val="single"/>
        </w:rPr>
      </w:pPr>
      <w:r>
        <w:rPr>
          <w:rFonts w:hint="eastAsia" w:ascii="宋体" w:hAnsi="宋体" w:cs="宋体"/>
        </w:rPr>
        <w:t>采购人（全称）：</w:t>
      </w:r>
      <w:r>
        <w:rPr>
          <w:rFonts w:ascii="宋体" w:hAnsi="宋体" w:cs="宋体"/>
          <w:u w:val="single"/>
        </w:rPr>
        <w:t xml:space="preserve"> </w:t>
      </w:r>
      <w:r>
        <w:rPr>
          <w:rFonts w:hint="eastAsia" w:ascii="宋体" w:hAnsi="宋体" w:cs="宋体"/>
          <w:u w:val="single"/>
          <w:lang w:eastAsia="zh-CN"/>
        </w:rPr>
        <w:t>乳山市发展和改革局（乳山市人民防空办公室、乳山市国防动员办公室）</w:t>
      </w:r>
      <w:r>
        <w:rPr>
          <w:rFonts w:hint="eastAsia" w:ascii="宋体" w:hAnsi="宋体" w:cs="宋体"/>
          <w:u w:val="single"/>
        </w:rPr>
        <w:t xml:space="preserve"> </w:t>
      </w:r>
      <w:r>
        <w:rPr>
          <w:rFonts w:ascii="宋体" w:hAnsi="宋体" w:cs="宋体"/>
          <w:u w:val="single"/>
        </w:rPr>
        <w:t xml:space="preserve"> </w:t>
      </w:r>
    </w:p>
    <w:p w14:paraId="2E65622A">
      <w:pPr>
        <w:spacing w:line="360" w:lineRule="auto"/>
        <w:ind w:firstLine="420" w:firstLineChars="200"/>
        <w:rPr>
          <w:rFonts w:ascii="宋体" w:cs="宋体"/>
        </w:rPr>
      </w:pPr>
      <w:r>
        <w:rPr>
          <w:rFonts w:hint="eastAsia" w:ascii="宋体" w:hAnsi="宋体" w:cs="宋体"/>
        </w:rPr>
        <w:t>供应商（全称）：</w:t>
      </w:r>
      <w:r>
        <w:rPr>
          <w:rFonts w:ascii="宋体" w:hAnsi="宋体" w:cs="宋体"/>
          <w:u w:val="single"/>
        </w:rPr>
        <w:t xml:space="preserve"> </w:t>
      </w:r>
      <w:r>
        <w:rPr>
          <w:rFonts w:hint="eastAsia" w:ascii="宋体" w:hAnsi="宋体" w:cs="宋体"/>
          <w:u w:val="single"/>
        </w:rPr>
        <w:t xml:space="preserve">           </w:t>
      </w:r>
    </w:p>
    <w:p w14:paraId="747E125B">
      <w:pPr>
        <w:spacing w:line="360" w:lineRule="auto"/>
        <w:ind w:firstLine="42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，本着诚实守信、互惠互利的原则，就</w:t>
      </w:r>
      <w:r>
        <w:rPr>
          <w:rFonts w:hint="eastAsia" w:ascii="宋体" w:hAnsi="宋体" w:cs="宋体"/>
          <w:u w:val="single"/>
        </w:rPr>
        <w:t>乳山市500MW/1000MWh电化学储能项目可研报告及电力接入系统论证报告</w:t>
      </w:r>
      <w:r>
        <w:rPr>
          <w:rFonts w:ascii="宋体" w:hAnsi="宋体" w:cs="宋体"/>
          <w:u w:val="single"/>
        </w:rPr>
        <w:t xml:space="preserve"> </w:t>
      </w:r>
      <w:r>
        <w:rPr>
          <w:rFonts w:hint="eastAsia" w:ascii="宋体" w:hAnsi="宋体" w:cs="宋体"/>
          <w:u w:val="single"/>
        </w:rPr>
        <w:t>项目服务事宜签订本合同条款，共</w:t>
      </w:r>
      <w:r>
        <w:rPr>
          <w:rFonts w:hint="eastAsia" w:ascii="宋体" w:hAnsi="宋体" w:cs="仿宋_GB2312"/>
        </w:rPr>
        <w:t>同达成如下协议：</w:t>
      </w:r>
    </w:p>
    <w:p w14:paraId="639C5D20">
      <w:pPr>
        <w:spacing w:line="360" w:lineRule="auto"/>
        <w:ind w:firstLine="420" w:firstLineChars="200"/>
        <w:rPr>
          <w:rFonts w:ascii="宋体" w:cs="仿宋_GB2312"/>
        </w:rPr>
      </w:pPr>
      <w:r>
        <w:rPr>
          <w:rFonts w:hint="eastAsia" w:ascii="宋体" w:hAnsi="宋体" w:cs="仿宋_GB2312"/>
        </w:rPr>
        <w:t>一、项目概况</w:t>
      </w:r>
    </w:p>
    <w:p w14:paraId="31B96C1A">
      <w:pPr>
        <w:spacing w:line="360" w:lineRule="auto"/>
        <w:ind w:firstLine="420" w:firstLineChars="200"/>
        <w:rPr>
          <w:rFonts w:hint="eastAsia" w:ascii="宋体" w:hAnsi="宋体" w:cs="仿宋_GB2312"/>
          <w:u w:val="single"/>
        </w:rPr>
      </w:pPr>
      <w:r>
        <w:rPr>
          <w:rFonts w:ascii="宋体" w:hAnsi="宋体" w:cs="仿宋_GB2312"/>
        </w:rPr>
        <w:t>1.</w:t>
      </w:r>
      <w:r>
        <w:rPr>
          <w:rFonts w:hint="eastAsia" w:ascii="宋体" w:hAnsi="宋体" w:cs="仿宋_GB2312"/>
        </w:rPr>
        <w:t>项目名称：</w:t>
      </w:r>
      <w:r>
        <w:rPr>
          <w:rFonts w:hint="eastAsia" w:ascii="宋体" w:hAnsi="宋体" w:cs="仿宋_GB2312"/>
          <w:u w:val="single"/>
        </w:rPr>
        <w:t>乳山市500MW/1000MWh电化学储能项目可研报告及电力接入系统论证报告。</w:t>
      </w:r>
    </w:p>
    <w:p w14:paraId="4B135FC1">
      <w:pPr>
        <w:spacing w:line="360" w:lineRule="auto"/>
        <w:ind w:firstLine="420" w:firstLineChars="200"/>
        <w:rPr>
          <w:rFonts w:ascii="宋体" w:cs="仿宋_GB2312"/>
        </w:rPr>
      </w:pPr>
      <w:r>
        <w:rPr>
          <w:rFonts w:ascii="宋体" w:hAnsi="宋体" w:cs="仿宋_GB2312"/>
        </w:rPr>
        <w:t>2.</w:t>
      </w:r>
      <w:r>
        <w:rPr>
          <w:rFonts w:hint="eastAsia" w:ascii="宋体" w:hAnsi="宋体" w:cs="仿宋_GB2312"/>
        </w:rPr>
        <w:t>服务地点：</w:t>
      </w:r>
      <w:r>
        <w:rPr>
          <w:rFonts w:hint="eastAsia" w:ascii="宋体" w:hAnsi="宋体" w:cs="仿宋_GB2312"/>
          <w:u w:val="single"/>
        </w:rPr>
        <w:t xml:space="preserve"> </w:t>
      </w:r>
      <w:bookmarkStart w:id="3" w:name="deliveryPlace"/>
      <w:r>
        <w:rPr>
          <w:rFonts w:hint="eastAsia" w:ascii="宋体" w:hAnsi="宋体" w:cs="仿宋_GB2312"/>
          <w:u w:val="single"/>
        </w:rPr>
        <w:t>乳山市</w:t>
      </w:r>
      <w:bookmarkEnd w:id="3"/>
      <w:r>
        <w:rPr>
          <w:rFonts w:hint="eastAsia" w:ascii="宋体" w:hAnsi="宋体" w:cs="仿宋_GB2312"/>
          <w:u w:val="single"/>
        </w:rPr>
        <w:t xml:space="preserve"> 。</w:t>
      </w:r>
      <w:r>
        <w:rPr>
          <w:rFonts w:hint="eastAsia" w:ascii="宋体" w:hAnsi="宋体" w:cs="仿宋_GB2312"/>
        </w:rPr>
        <w:t xml:space="preserve"> </w:t>
      </w:r>
    </w:p>
    <w:p w14:paraId="6F2FAEA9">
      <w:pPr>
        <w:spacing w:line="360" w:lineRule="auto"/>
        <w:ind w:firstLine="420" w:firstLineChars="200"/>
        <w:rPr>
          <w:rFonts w:ascii="宋体" w:cs="仿宋_GB2312"/>
          <w:u w:val="single"/>
        </w:rPr>
      </w:pPr>
      <w:r>
        <w:rPr>
          <w:rFonts w:ascii="宋体" w:hAnsi="宋体" w:cs="仿宋_GB2312"/>
        </w:rPr>
        <w:t>3.</w:t>
      </w:r>
      <w:r>
        <w:rPr>
          <w:rFonts w:hint="eastAsia" w:ascii="宋体" w:hAnsi="宋体" w:cs="仿宋_GB2312"/>
        </w:rPr>
        <w:t>服务内容和范围：</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宋体"/>
          <w:u w:val="single"/>
        </w:rPr>
        <w:t xml:space="preserve"> </w:t>
      </w:r>
      <w:r>
        <w:rPr>
          <w:rFonts w:hint="eastAsia" w:ascii="宋体" w:hAnsi="宋体" w:cs="仿宋_GB2312"/>
          <w:u w:val="single"/>
        </w:rPr>
        <w:t>。</w:t>
      </w:r>
    </w:p>
    <w:p w14:paraId="7AC3CC06">
      <w:pPr>
        <w:spacing w:line="360" w:lineRule="auto"/>
        <w:ind w:firstLine="420" w:firstLineChars="200"/>
        <w:rPr>
          <w:rFonts w:ascii="宋体" w:cs="仿宋_GB2312"/>
        </w:rPr>
      </w:pPr>
      <w:r>
        <w:rPr>
          <w:rFonts w:hint="eastAsia" w:ascii="宋体" w:hAnsi="宋体" w:cs="仿宋_GB2312"/>
        </w:rPr>
        <w:t>二、服务期限</w:t>
      </w:r>
    </w:p>
    <w:p w14:paraId="6052A357">
      <w:pPr>
        <w:spacing w:line="360" w:lineRule="auto"/>
        <w:ind w:firstLine="420" w:firstLineChars="200"/>
        <w:rPr>
          <w:rFonts w:ascii="宋体" w:cs="仿宋_GB2312"/>
        </w:rPr>
      </w:pPr>
      <w:r>
        <w:rPr>
          <w:rFonts w:ascii="宋体" w:hAnsi="宋体" w:cs="仿宋_GB2312"/>
        </w:rPr>
        <w:t>________________________________________</w:t>
      </w:r>
      <w:r>
        <w:rPr>
          <w:rFonts w:hint="eastAsia" w:ascii="宋体" w:hAnsi="宋体" w:cs="仿宋_GB2312"/>
        </w:rPr>
        <w:t>。</w:t>
      </w:r>
    </w:p>
    <w:p w14:paraId="33BA0B31">
      <w:pPr>
        <w:spacing w:line="360" w:lineRule="auto"/>
        <w:ind w:firstLine="420" w:firstLineChars="200"/>
        <w:rPr>
          <w:rFonts w:ascii="宋体" w:cs="仿宋_GB2312"/>
        </w:rPr>
      </w:pPr>
      <w:r>
        <w:rPr>
          <w:rFonts w:hint="eastAsia" w:ascii="宋体" w:hAnsi="宋体" w:cs="仿宋_GB2312"/>
        </w:rPr>
        <w:t>三、服务标准</w:t>
      </w:r>
    </w:p>
    <w:p w14:paraId="45A0B957">
      <w:pPr>
        <w:spacing w:line="360" w:lineRule="auto"/>
        <w:ind w:firstLine="420" w:firstLineChars="200"/>
        <w:rPr>
          <w:rFonts w:ascii="宋体" w:cs="仿宋_GB2312"/>
        </w:rPr>
      </w:pPr>
      <w:r>
        <w:rPr>
          <w:rFonts w:hint="eastAsia" w:ascii="宋体" w:hAnsi="宋体" w:cs="仿宋_GB2312"/>
        </w:rPr>
        <w:t>符合</w:t>
      </w:r>
      <w:r>
        <w:rPr>
          <w:rFonts w:hint="eastAsia" w:ascii="宋体" w:hAnsi="宋体" w:cs="仿宋_GB2312"/>
          <w:u w:val="single"/>
        </w:rPr>
        <w:t></w:t>
      </w:r>
      <w:r>
        <w:rPr>
          <w:rFonts w:hint="eastAsia" w:ascii="宋体" w:hAnsi="宋体" w:cs="仿宋_GB2312"/>
        </w:rPr>
        <w:t>标准。</w:t>
      </w:r>
    </w:p>
    <w:p w14:paraId="613A588C">
      <w:pPr>
        <w:spacing w:line="360" w:lineRule="auto"/>
        <w:ind w:firstLine="420" w:firstLineChars="200"/>
        <w:rPr>
          <w:rFonts w:ascii="宋体" w:cs="仿宋_GB2312"/>
        </w:rPr>
      </w:pPr>
      <w:r>
        <w:rPr>
          <w:rFonts w:hint="eastAsia" w:ascii="宋体" w:hAnsi="宋体" w:cs="仿宋_GB2312"/>
        </w:rPr>
        <w:t>四、签约合同价与合同价格形式</w:t>
      </w:r>
      <w:r>
        <w:rPr>
          <w:rFonts w:ascii="宋体" w:cs="仿宋_GB2312"/>
        </w:rPr>
        <w:tab/>
      </w:r>
    </w:p>
    <w:p w14:paraId="6F34B18F">
      <w:pPr>
        <w:spacing w:line="360" w:lineRule="auto"/>
        <w:ind w:firstLine="420" w:firstLineChars="200"/>
        <w:rPr>
          <w:rFonts w:ascii="宋体" w:cs="仿宋_GB2312"/>
        </w:rPr>
      </w:pPr>
      <w:r>
        <w:rPr>
          <w:rFonts w:ascii="宋体" w:hAnsi="宋体" w:cs="仿宋_GB2312"/>
        </w:rPr>
        <w:t>1.</w:t>
      </w:r>
      <w:r>
        <w:rPr>
          <w:rFonts w:hint="eastAsia" w:ascii="宋体" w:hAnsi="宋体" w:cs="仿宋_GB2312"/>
        </w:rPr>
        <w:t>签约合同价为：</w:t>
      </w:r>
    </w:p>
    <w:p w14:paraId="32D341A3">
      <w:pPr>
        <w:spacing w:line="360" w:lineRule="auto"/>
        <w:ind w:firstLine="420" w:firstLineChars="200"/>
        <w:rPr>
          <w:rFonts w:ascii="宋体" w:cs="仿宋_GB2312"/>
        </w:rPr>
      </w:pPr>
      <w:r>
        <w:rPr>
          <w:rFonts w:hint="eastAsia" w:ascii="宋体" w:hAnsi="宋体" w:cs="仿宋_GB2312"/>
        </w:rPr>
        <w:t>人民币（大写）</w:t>
      </w:r>
      <w:r>
        <w:rPr>
          <w:rFonts w:ascii="宋体" w:hAnsi="宋体" w:cs="仿宋_GB2312"/>
          <w:u w:val="single"/>
        </w:rPr>
        <w:t xml:space="preserve"> </w:t>
      </w:r>
      <w:r>
        <w:rPr>
          <w:rFonts w:hint="eastAsia" w:ascii="宋体" w:hAnsi="宋体" w:cs="仿宋_GB2312"/>
          <w:u w:val="single"/>
        </w:rPr>
        <w:t xml:space="preserve">    </w:t>
      </w:r>
      <w:r>
        <w:rPr>
          <w:rFonts w:ascii="宋体" w:hAnsi="宋体" w:cs="仿宋_GB2312"/>
          <w:u w:val="single"/>
        </w:rPr>
        <w:t xml:space="preserve"> </w:t>
      </w:r>
      <w:r>
        <w:rPr>
          <w:rFonts w:ascii="宋体" w:hAnsi="宋体" w:cs="仿宋_GB2312"/>
        </w:rPr>
        <w:t xml:space="preserve"> (</w:t>
      </w:r>
      <w:r>
        <w:rPr>
          <w:rFonts w:hint="eastAsia" w:ascii="宋体" w:cs="仿宋_GB2312"/>
        </w:rPr>
        <w:t xml:space="preserve">       </w:t>
      </w:r>
      <w:r>
        <w:rPr>
          <w:rFonts w:hint="eastAsia" w:ascii="宋体" w:hAnsi="宋体" w:cs="仿宋_GB2312"/>
        </w:rPr>
        <w:t>元</w:t>
      </w:r>
      <w:r>
        <w:rPr>
          <w:rFonts w:ascii="宋体" w:hAnsi="宋体" w:cs="仿宋_GB2312"/>
        </w:rPr>
        <w:t>)</w:t>
      </w:r>
      <w:r>
        <w:rPr>
          <w:rFonts w:hint="eastAsia" w:ascii="宋体" w:hAnsi="宋体" w:cs="仿宋_GB2312"/>
        </w:rPr>
        <w:t>；</w:t>
      </w:r>
    </w:p>
    <w:p w14:paraId="7D920B60">
      <w:pPr>
        <w:spacing w:line="360" w:lineRule="auto"/>
        <w:ind w:firstLine="420" w:firstLineChars="200"/>
        <w:rPr>
          <w:rFonts w:ascii="宋体" w:cs="仿宋_GB2312"/>
        </w:rPr>
      </w:pPr>
      <w:r>
        <w:rPr>
          <w:rFonts w:ascii="宋体" w:hAnsi="宋体" w:cs="仿宋_GB2312"/>
        </w:rPr>
        <w:t>2.</w:t>
      </w:r>
      <w:r>
        <w:rPr>
          <w:rFonts w:hint="eastAsia" w:ascii="宋体" w:hAnsi="宋体" w:cs="仿宋_GB2312"/>
        </w:rPr>
        <w:t>合同价格形式：</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p>
    <w:p w14:paraId="38D8D42C">
      <w:pPr>
        <w:spacing w:line="360" w:lineRule="auto"/>
        <w:ind w:firstLine="420" w:firstLineChars="200"/>
        <w:rPr>
          <w:rFonts w:hint="eastAsia" w:ascii="宋体" w:eastAsia="宋体" w:cs="仿宋_GB2312"/>
          <w:lang w:eastAsia="zh-CN"/>
        </w:rPr>
      </w:pPr>
      <w:r>
        <w:rPr>
          <w:rFonts w:hint="eastAsia" w:ascii="宋体" w:hAnsi="宋体" w:cs="仿宋_GB2312"/>
        </w:rPr>
        <w:t>五、项目</w:t>
      </w:r>
      <w:r>
        <w:rPr>
          <w:rFonts w:hint="eastAsia" w:ascii="宋体" w:hAnsi="宋体" w:cs="仿宋_GB2312"/>
          <w:lang w:val="en-US" w:eastAsia="zh-CN"/>
        </w:rPr>
        <w:t>负责人</w:t>
      </w:r>
    </w:p>
    <w:p w14:paraId="284EF2B6">
      <w:pPr>
        <w:spacing w:line="360" w:lineRule="auto"/>
        <w:ind w:firstLine="420" w:firstLineChars="200"/>
        <w:rPr>
          <w:rFonts w:ascii="宋体" w:cs="仿宋_GB2312"/>
        </w:rPr>
      </w:pPr>
      <w:r>
        <w:rPr>
          <w:rFonts w:hint="eastAsia" w:ascii="宋体" w:hAnsi="宋体" w:cs="仿宋_GB2312"/>
        </w:rPr>
        <w:t>供应商项目</w:t>
      </w:r>
      <w:r>
        <w:rPr>
          <w:rFonts w:hint="eastAsia" w:ascii="宋体" w:hAnsi="宋体" w:cs="仿宋_GB2312"/>
          <w:lang w:val="en-US" w:eastAsia="zh-CN"/>
        </w:rPr>
        <w:t>负责人</w:t>
      </w:r>
      <w:r>
        <w:rPr>
          <w:rFonts w:hint="eastAsia" w:ascii="宋体" w:hAnsi="宋体" w:cs="仿宋_GB2312"/>
        </w:rPr>
        <w:t>：</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p>
    <w:p w14:paraId="010DD221">
      <w:pPr>
        <w:spacing w:line="360" w:lineRule="auto"/>
        <w:ind w:firstLine="420" w:firstLineChars="200"/>
        <w:rPr>
          <w:rFonts w:ascii="宋体" w:cs="仿宋_GB2312"/>
        </w:rPr>
      </w:pPr>
      <w:r>
        <w:rPr>
          <w:rFonts w:hint="eastAsia" w:ascii="宋体" w:hAnsi="宋体" w:cs="仿宋_GB2312"/>
        </w:rPr>
        <w:t>六、资金来源</w:t>
      </w:r>
    </w:p>
    <w:p w14:paraId="1649618F">
      <w:pPr>
        <w:spacing w:line="360" w:lineRule="auto"/>
        <w:ind w:firstLine="420" w:firstLineChars="200"/>
        <w:rPr>
          <w:rFonts w:ascii="宋体" w:cs="仿宋_GB2312"/>
          <w:u w:val="single"/>
        </w:rPr>
      </w:pPr>
      <w:r>
        <w:rPr>
          <w:rFonts w:hint="eastAsia" w:ascii="宋体" w:hAnsi="宋体" w:cs="仿宋_GB2312"/>
          <w:u w:val="single"/>
          <w:lang w:val="en-US" w:eastAsia="zh-CN"/>
        </w:rPr>
        <w:t xml:space="preserve">财政资金 </w:t>
      </w:r>
      <w:r>
        <w:rPr>
          <w:rFonts w:hint="eastAsia" w:ascii="宋体" w:hAnsi="宋体" w:cs="仿宋_GB2312"/>
        </w:rPr>
        <w:t>。</w:t>
      </w:r>
      <w:r>
        <w:rPr>
          <w:rFonts w:ascii="宋体" w:hAnsi="宋体" w:cs="仿宋_GB2312"/>
        </w:rPr>
        <w:t xml:space="preserve">   </w:t>
      </w:r>
    </w:p>
    <w:p w14:paraId="235F2C0F">
      <w:pPr>
        <w:spacing w:line="360" w:lineRule="auto"/>
        <w:rPr>
          <w:rFonts w:ascii="宋体" w:cs="仿宋_GB2312"/>
        </w:rPr>
      </w:pPr>
      <w:r>
        <w:rPr>
          <w:rFonts w:ascii="宋体" w:hAnsi="宋体" w:cs="仿宋_GB2312"/>
        </w:rPr>
        <w:t xml:space="preserve">    </w:t>
      </w:r>
      <w:r>
        <w:rPr>
          <w:rFonts w:hint="eastAsia" w:ascii="宋体" w:hAnsi="宋体" w:cs="仿宋_GB2312"/>
        </w:rPr>
        <w:t>七、付款方式</w:t>
      </w:r>
    </w:p>
    <w:p w14:paraId="31D2F3E1">
      <w:pPr>
        <w:spacing w:line="360" w:lineRule="auto"/>
        <w:ind w:firstLine="420" w:firstLineChars="200"/>
        <w:rPr>
          <w:rFonts w:ascii="宋体" w:hAnsi="宋体" w:cs="仿宋_GB2312"/>
        </w:rPr>
      </w:pPr>
      <w:r>
        <w:rPr>
          <w:rFonts w:hint="eastAsia" w:ascii="宋体" w:hAnsi="宋体" w:cs="仿宋_GB2312"/>
        </w:rPr>
        <w:t>□一次性支付方式：</w:t>
      </w:r>
      <w:r>
        <w:rPr>
          <w:rFonts w:ascii="宋体" w:hAnsi="宋体" w:cs="仿宋_GB2312"/>
          <w:u w:val="single"/>
        </w:rPr>
        <w:t xml:space="preserve">                                               </w:t>
      </w:r>
      <w:r>
        <w:rPr>
          <w:rFonts w:ascii="宋体" w:hAnsi="宋体" w:cs="仿宋_GB2312"/>
        </w:rPr>
        <w:t xml:space="preserve"> </w:t>
      </w:r>
    </w:p>
    <w:p w14:paraId="4646B38C">
      <w:pPr>
        <w:spacing w:line="360" w:lineRule="auto"/>
        <w:rPr>
          <w:rFonts w:ascii="宋体" w:hAnsi="宋体" w:cs="仿宋_GB2312"/>
          <w:u w:val="single"/>
        </w:rPr>
      </w:pPr>
      <w:r>
        <w:rPr>
          <w:rFonts w:ascii="宋体" w:hAnsi="宋体" w:cs="仿宋_GB2312"/>
          <w:u w:val="single"/>
        </w:rPr>
        <w:t xml:space="preserve">                                                                      </w:t>
      </w:r>
    </w:p>
    <w:p w14:paraId="73592446">
      <w:pPr>
        <w:spacing w:line="360" w:lineRule="auto"/>
        <w:ind w:firstLine="420" w:firstLineChars="200"/>
        <w:rPr>
          <w:rFonts w:ascii="宋体" w:hAnsi="宋体" w:cs="仿宋_GB2312"/>
          <w:u w:val="single"/>
        </w:rPr>
      </w:pPr>
      <w:r>
        <w:rPr>
          <w:rFonts w:hint="eastAsia" w:ascii="宋体" w:hAnsi="宋体" w:cs="仿宋_GB2312"/>
        </w:rPr>
        <w:t>□分期支付方式：</w:t>
      </w:r>
      <w:r>
        <w:rPr>
          <w:rFonts w:ascii="宋体" w:hAnsi="宋体" w:cs="仿宋_GB2312"/>
          <w:u w:val="single"/>
        </w:rPr>
        <w:t xml:space="preserve">                                                  </w:t>
      </w:r>
    </w:p>
    <w:p w14:paraId="5F632C6A">
      <w:pPr>
        <w:spacing w:line="360" w:lineRule="auto"/>
        <w:rPr>
          <w:rFonts w:ascii="宋体" w:hAnsi="宋体" w:cs="仿宋_GB2312"/>
          <w:u w:val="single"/>
        </w:rPr>
      </w:pPr>
      <w:r>
        <w:rPr>
          <w:rFonts w:ascii="宋体" w:hAnsi="宋体" w:cs="仿宋_GB2312"/>
          <w:u w:val="single"/>
        </w:rPr>
        <w:t xml:space="preserve">                                                                     </w:t>
      </w:r>
    </w:p>
    <w:p w14:paraId="38AF7B30">
      <w:pPr>
        <w:spacing w:line="360" w:lineRule="auto"/>
        <w:rPr>
          <w:rFonts w:ascii="宋体" w:hAnsi="宋体" w:cs="仿宋_GB2312"/>
          <w:u w:val="single"/>
        </w:rPr>
      </w:pPr>
      <w:r>
        <w:rPr>
          <w:rFonts w:hint="eastAsia" w:ascii="宋体" w:hAnsi="宋体" w:cs="仿宋_GB2312"/>
          <w:lang w:eastAsia="zh-CN"/>
        </w:rPr>
        <w:t>☑</w:t>
      </w:r>
      <w:r>
        <w:rPr>
          <w:rFonts w:hint="eastAsia" w:ascii="宋体" w:hAnsi="宋体" w:cs="仿宋_GB2312"/>
        </w:rPr>
        <w:t>其他支付方式：</w:t>
      </w:r>
      <w:r>
        <w:rPr>
          <w:rFonts w:ascii="宋体" w:hAnsi="宋体" w:cs="仿宋_GB2312"/>
          <w:u w:val="single"/>
        </w:rPr>
        <w:t xml:space="preserve">   </w:t>
      </w:r>
      <w:r>
        <w:rPr>
          <w:rFonts w:hint="eastAsia" w:ascii="宋体" w:hAnsi="宋体" w:cs="仿宋_GB2312"/>
          <w:u w:val="single"/>
        </w:rPr>
        <w:t>本项目无预付款，提交项目可研报告及电力接入系统论证报告后，30日内支付到合同价款的50%，方案和报告通过第三方评审并根据评审意见完成修改后支付剩余的50%。方案和报告编制完成后，非中标方原因导致180天内无法开始评审工作，视为完成编制任务，支付合同价款的80%，将来具备审查条件时双方继续履行，完全完成后支付剩余价款</w:t>
      </w:r>
      <w:r>
        <w:rPr>
          <w:rFonts w:hint="eastAsia" w:ascii="宋体" w:hAnsi="宋体" w:cs="仿宋_GB2312"/>
          <w:u w:val="single"/>
          <w:lang w:eastAsia="zh-CN"/>
        </w:rPr>
        <w:t>。</w:t>
      </w:r>
      <w:r>
        <w:rPr>
          <w:rFonts w:ascii="宋体" w:hAnsi="宋体" w:cs="仿宋_GB2312"/>
          <w:u w:val="single"/>
        </w:rPr>
        <w:t xml:space="preserve">  </w:t>
      </w:r>
    </w:p>
    <w:p w14:paraId="68A5F464">
      <w:pPr>
        <w:spacing w:line="360" w:lineRule="auto"/>
        <w:ind w:firstLine="420" w:firstLineChars="200"/>
        <w:rPr>
          <w:rFonts w:ascii="宋体" w:cs="仿宋_GB2312"/>
        </w:rPr>
      </w:pPr>
      <w:r>
        <w:rPr>
          <w:rFonts w:hint="eastAsia" w:ascii="宋体" w:hAnsi="宋体" w:cs="仿宋_GB2312"/>
        </w:rPr>
        <w:t>八、合同融资事项</w:t>
      </w:r>
    </w:p>
    <w:p w14:paraId="288A9A91">
      <w:pPr>
        <w:spacing w:line="360" w:lineRule="auto"/>
        <w:ind w:firstLine="420" w:firstLineChars="200"/>
        <w:rPr>
          <w:rFonts w:ascii="宋体" w:cs="仿宋_GB2312"/>
        </w:rPr>
      </w:pPr>
      <w:r>
        <w:rPr>
          <w:rFonts w:hint="eastAsia" w:ascii="宋体" w:hAnsi="宋体" w:cs="仿宋_GB2312"/>
        </w:rPr>
        <w:t>按照《山东省财政厅关于启动山东省政府采购合同融资与履约保函服务平台有关事项的通知》【鲁财采（</w:t>
      </w:r>
      <w:r>
        <w:rPr>
          <w:rFonts w:ascii="宋体" w:hAnsi="宋体" w:cs="仿宋_GB2312"/>
        </w:rPr>
        <w:t>2020</w:t>
      </w:r>
      <w:r>
        <w:rPr>
          <w:rFonts w:hint="eastAsia" w:ascii="宋体" w:hAnsi="宋体" w:cs="仿宋_GB2312"/>
        </w:rPr>
        <w:t>）</w:t>
      </w:r>
      <w:r>
        <w:rPr>
          <w:rFonts w:ascii="宋体" w:hAnsi="宋体" w:cs="仿宋_GB2312"/>
        </w:rPr>
        <w:t>31</w:t>
      </w:r>
      <w:r>
        <w:rPr>
          <w:rFonts w:hint="eastAsia" w:ascii="宋体" w:hAnsi="宋体" w:cs="仿宋_GB2312"/>
        </w:rPr>
        <w:t>号】、《山东省财政厅关于加强政府采购合同付款账户管理的通知》【鲁财采（</w:t>
      </w:r>
      <w:r>
        <w:rPr>
          <w:rFonts w:ascii="宋体" w:hAnsi="宋体" w:cs="仿宋_GB2312"/>
        </w:rPr>
        <w:t>2021</w:t>
      </w:r>
      <w:r>
        <w:rPr>
          <w:rFonts w:hint="eastAsia" w:ascii="宋体" w:hAnsi="宋体" w:cs="仿宋_GB2312"/>
        </w:rPr>
        <w:t>）</w:t>
      </w:r>
      <w:r>
        <w:rPr>
          <w:rFonts w:ascii="宋体" w:hAnsi="宋体" w:cs="仿宋_GB2312"/>
        </w:rPr>
        <w:t>4</w:t>
      </w:r>
      <w:r>
        <w:rPr>
          <w:rFonts w:hint="eastAsia" w:ascii="宋体" w:hAnsi="宋体" w:cs="仿宋_GB2312"/>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7AC98188">
      <w:pPr>
        <w:spacing w:line="360" w:lineRule="auto"/>
        <w:ind w:firstLine="420" w:firstLineChars="200"/>
        <w:rPr>
          <w:rFonts w:ascii="宋体" w:cs="仿宋_GB2312"/>
        </w:rPr>
      </w:pPr>
      <w:r>
        <w:rPr>
          <w:rFonts w:hint="eastAsia" w:ascii="宋体" w:hAnsi="宋体" w:cs="仿宋_GB2312"/>
        </w:rPr>
        <w:t>九、合同文件构成</w:t>
      </w:r>
    </w:p>
    <w:p w14:paraId="53CB3938">
      <w:pPr>
        <w:spacing w:line="360" w:lineRule="auto"/>
        <w:ind w:firstLine="420" w:firstLineChars="200"/>
        <w:rPr>
          <w:rFonts w:ascii="宋体" w:cs="仿宋_GB2312"/>
        </w:rPr>
      </w:pPr>
      <w:r>
        <w:rPr>
          <w:rFonts w:hint="eastAsia" w:ascii="宋体" w:hAnsi="宋体" w:cs="仿宋_GB2312"/>
        </w:rPr>
        <w:t>本协议书与下列文件一起构成合同文件：</w:t>
      </w:r>
    </w:p>
    <w:p w14:paraId="0D353DFB">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1</w:t>
      </w:r>
      <w:r>
        <w:rPr>
          <w:rFonts w:hint="eastAsia" w:ascii="宋体" w:hAnsi="宋体" w:cs="仿宋_GB2312"/>
        </w:rPr>
        <w:t>）中标或成交通知书；</w:t>
      </w:r>
    </w:p>
    <w:p w14:paraId="14D85643">
      <w:pPr>
        <w:spacing w:line="360" w:lineRule="auto"/>
        <w:ind w:firstLine="420" w:firstLineChars="200"/>
        <w:rPr>
          <w:rFonts w:ascii="宋体" w:hAnsi="宋体" w:cs="仿宋_GB2312"/>
        </w:rPr>
      </w:pPr>
      <w:r>
        <w:rPr>
          <w:rFonts w:hint="eastAsia" w:ascii="宋体" w:hAnsi="宋体" w:cs="仿宋_GB2312"/>
        </w:rPr>
        <w:t>（</w:t>
      </w:r>
      <w:r>
        <w:rPr>
          <w:rFonts w:ascii="宋体" w:hAnsi="宋体" w:cs="仿宋_GB2312"/>
        </w:rPr>
        <w:t>2</w:t>
      </w:r>
      <w:r>
        <w:rPr>
          <w:rFonts w:hint="eastAsia" w:ascii="宋体" w:hAnsi="宋体" w:cs="仿宋_GB2312"/>
        </w:rPr>
        <w:t>）投标函及其附录；</w:t>
      </w:r>
      <w:r>
        <w:rPr>
          <w:rFonts w:ascii="宋体" w:hAnsi="宋体" w:cs="仿宋_GB2312"/>
        </w:rPr>
        <w:t xml:space="preserve"> </w:t>
      </w:r>
    </w:p>
    <w:p w14:paraId="2256738C">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3</w:t>
      </w:r>
      <w:r>
        <w:rPr>
          <w:rFonts w:hint="eastAsia" w:ascii="宋体" w:hAnsi="宋体" w:cs="仿宋_GB2312"/>
        </w:rPr>
        <w:t>）合同条款；</w:t>
      </w:r>
    </w:p>
    <w:p w14:paraId="5145CD92">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4</w:t>
      </w:r>
      <w:r>
        <w:rPr>
          <w:rFonts w:hint="eastAsia" w:ascii="宋体" w:hAnsi="宋体" w:cs="仿宋_GB2312"/>
        </w:rPr>
        <w:t>）服务标准和要求；</w:t>
      </w:r>
    </w:p>
    <w:p w14:paraId="30CB3E56">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5</w:t>
      </w:r>
      <w:r>
        <w:rPr>
          <w:rFonts w:hint="eastAsia" w:ascii="宋体" w:hAnsi="宋体" w:cs="仿宋_GB2312"/>
        </w:rPr>
        <w:t>）图纸（如果有）；</w:t>
      </w:r>
    </w:p>
    <w:p w14:paraId="57E1F760">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6</w:t>
      </w:r>
      <w:r>
        <w:rPr>
          <w:rFonts w:hint="eastAsia" w:ascii="宋体" w:hAnsi="宋体" w:cs="仿宋_GB2312"/>
        </w:rPr>
        <w:t>）服务费用报价表；</w:t>
      </w:r>
    </w:p>
    <w:p w14:paraId="68694801">
      <w:pPr>
        <w:spacing w:line="360" w:lineRule="auto"/>
        <w:ind w:firstLine="420" w:firstLineChars="200"/>
        <w:rPr>
          <w:rFonts w:ascii="宋体" w:cs="仿宋_GB2312"/>
        </w:rPr>
      </w:pPr>
      <w:r>
        <w:rPr>
          <w:rFonts w:hint="eastAsia" w:ascii="宋体" w:hAnsi="宋体" w:cs="仿宋_GB2312"/>
        </w:rPr>
        <w:t>（</w:t>
      </w:r>
      <w:r>
        <w:rPr>
          <w:rFonts w:ascii="宋体" w:hAnsi="宋体" w:cs="仿宋_GB2312"/>
        </w:rPr>
        <w:t>7</w:t>
      </w:r>
      <w:r>
        <w:rPr>
          <w:rFonts w:hint="eastAsia" w:ascii="宋体" w:hAnsi="宋体" w:cs="仿宋_GB2312"/>
        </w:rPr>
        <w:t>）其他合同文件。</w:t>
      </w:r>
    </w:p>
    <w:p w14:paraId="53E08715">
      <w:pPr>
        <w:spacing w:line="360" w:lineRule="auto"/>
        <w:ind w:firstLine="420" w:firstLineChars="200"/>
        <w:rPr>
          <w:rFonts w:ascii="宋体" w:cs="仿宋_GB2312"/>
        </w:rPr>
      </w:pPr>
      <w:r>
        <w:rPr>
          <w:rFonts w:hint="eastAsia" w:ascii="宋体" w:hAnsi="宋体" w:cs="仿宋_GB2312"/>
        </w:rPr>
        <w:t>在合同订立及履行过程中形成的与合同有关的文件均构成合同文件组成部分。</w:t>
      </w:r>
    </w:p>
    <w:p w14:paraId="754F1860">
      <w:pPr>
        <w:spacing w:line="360" w:lineRule="auto"/>
        <w:ind w:firstLine="420" w:firstLineChars="200"/>
        <w:rPr>
          <w:rFonts w:ascii="宋体" w:cs="仿宋_GB2312"/>
        </w:rPr>
      </w:pPr>
      <w:r>
        <w:rPr>
          <w:rFonts w:hint="eastAsia" w:ascii="宋体" w:hAnsi="宋体" w:cs="仿宋_GB2312"/>
        </w:rPr>
        <w:t>上述各项合同文件包括合同当事人就该项合同文件所作出的补充和修改，属于同一类内容的文件，应以最新签署的为准。专用合同条款及其附件须经合同当事人签字或盖章。</w:t>
      </w:r>
    </w:p>
    <w:p w14:paraId="18F062F2">
      <w:pPr>
        <w:spacing w:line="360" w:lineRule="auto"/>
        <w:ind w:firstLine="420" w:firstLineChars="200"/>
        <w:rPr>
          <w:rFonts w:ascii="宋体" w:cs="仿宋_GB2312"/>
        </w:rPr>
      </w:pPr>
      <w:r>
        <w:rPr>
          <w:rFonts w:hint="eastAsia" w:ascii="宋体" w:hAnsi="宋体" w:cs="仿宋_GB2312"/>
        </w:rPr>
        <w:t>十、承诺</w:t>
      </w:r>
    </w:p>
    <w:p w14:paraId="7A412CF3">
      <w:pPr>
        <w:spacing w:line="360" w:lineRule="auto"/>
        <w:ind w:firstLine="420" w:firstLineChars="200"/>
        <w:rPr>
          <w:rFonts w:ascii="宋体" w:cs="仿宋_GB2312"/>
        </w:rPr>
      </w:pPr>
      <w:r>
        <w:rPr>
          <w:rFonts w:ascii="宋体" w:hAnsi="宋体" w:cs="仿宋_GB2312"/>
        </w:rPr>
        <w:t>1.</w:t>
      </w:r>
      <w:r>
        <w:rPr>
          <w:rFonts w:hint="eastAsia" w:ascii="宋体" w:hAnsi="宋体" w:cs="仿宋_GB2312"/>
        </w:rPr>
        <w:t>采购人承诺按照法律规定履行项目审批手续、筹集项目资金并按照合同约定的期限和方式支付合同价款。</w:t>
      </w:r>
    </w:p>
    <w:p w14:paraId="2DC30AEA">
      <w:pPr>
        <w:spacing w:line="360" w:lineRule="auto"/>
        <w:ind w:firstLine="420" w:firstLineChars="200"/>
        <w:rPr>
          <w:rFonts w:ascii="宋体" w:cs="仿宋_GB2312"/>
        </w:rPr>
      </w:pPr>
      <w:r>
        <w:rPr>
          <w:rFonts w:ascii="宋体" w:hAnsi="宋体" w:cs="仿宋_GB2312"/>
        </w:rPr>
        <w:t>2.</w:t>
      </w:r>
      <w:r>
        <w:rPr>
          <w:rFonts w:hint="eastAsia" w:ascii="宋体" w:hAnsi="宋体" w:cs="仿宋_GB2312"/>
        </w:rPr>
        <w:t>供应商承诺按照法律规定及合同约定开展服务工作，确保服务质量和效率，不进行转包及违法分包，并在缺陷责任期及保修期内承担相应的责任。</w:t>
      </w:r>
    </w:p>
    <w:p w14:paraId="5FFC88BB">
      <w:pPr>
        <w:spacing w:line="360" w:lineRule="auto"/>
        <w:ind w:firstLine="420" w:firstLineChars="200"/>
        <w:rPr>
          <w:rFonts w:ascii="宋体" w:cs="仿宋_GB2312"/>
        </w:rPr>
      </w:pPr>
      <w:r>
        <w:rPr>
          <w:rFonts w:ascii="宋体" w:hAnsi="宋体" w:cs="仿宋_GB2312"/>
        </w:rPr>
        <w:t>3.</w:t>
      </w:r>
      <w:r>
        <w:rPr>
          <w:rFonts w:hint="eastAsia" w:ascii="宋体" w:hAnsi="宋体" w:cs="仿宋_GB2312"/>
        </w:rPr>
        <w:t>采购人和供应商通过招投标形式签订合同的，双方理解并承诺不再就同一项目另行签订与合同实质性内容相背离的协议。</w:t>
      </w:r>
    </w:p>
    <w:p w14:paraId="0C890A80">
      <w:pPr>
        <w:spacing w:line="360" w:lineRule="auto"/>
        <w:ind w:firstLine="420" w:firstLineChars="200"/>
        <w:rPr>
          <w:rFonts w:ascii="宋体" w:cs="仿宋_GB2312"/>
        </w:rPr>
      </w:pPr>
      <w:r>
        <w:rPr>
          <w:rFonts w:hint="eastAsia" w:ascii="宋体" w:hAnsi="宋体" w:cs="仿宋_GB2312"/>
        </w:rPr>
        <w:t>十一、签订时间</w:t>
      </w:r>
    </w:p>
    <w:p w14:paraId="7B8DFF28">
      <w:pPr>
        <w:spacing w:line="360" w:lineRule="auto"/>
        <w:ind w:firstLine="420" w:firstLineChars="200"/>
        <w:rPr>
          <w:rFonts w:ascii="宋体" w:cs="仿宋_GB2312"/>
        </w:rPr>
      </w:pPr>
      <w:r>
        <w:rPr>
          <w:rFonts w:hint="eastAsia" w:ascii="宋体" w:hAnsi="宋体" w:cs="仿宋_GB2312"/>
        </w:rPr>
        <w:t>本合同于</w:t>
      </w:r>
      <w:r>
        <w:rPr>
          <w:rFonts w:ascii="宋体" w:hAnsi="宋体" w:cs="仿宋_GB2312"/>
          <w:u w:val="single"/>
        </w:rPr>
        <w:t xml:space="preserve"> </w:t>
      </w:r>
      <w:bookmarkStart w:id="4" w:name="makeContractDate"/>
      <w:r>
        <w:rPr>
          <w:rFonts w:hint="eastAsia" w:ascii="宋体" w:hAnsi="宋体" w:cs="仿宋_GB2312"/>
          <w:u w:val="single"/>
        </w:rPr>
        <w:t xml:space="preserve">     </w:t>
      </w:r>
      <w:r>
        <w:rPr>
          <w:rFonts w:ascii="宋体" w:hAnsi="宋体" w:cs="仿宋_GB2312"/>
          <w:u w:val="single"/>
        </w:rPr>
        <w:t>年</w:t>
      </w:r>
      <w:r>
        <w:rPr>
          <w:rFonts w:hint="eastAsia" w:ascii="宋体" w:hAnsi="宋体" w:cs="仿宋_GB2312"/>
          <w:u w:val="single"/>
        </w:rPr>
        <w:t xml:space="preserve">  </w:t>
      </w:r>
      <w:r>
        <w:rPr>
          <w:rFonts w:ascii="宋体" w:hAnsi="宋体" w:cs="仿宋_GB2312"/>
          <w:u w:val="single"/>
        </w:rPr>
        <w:t>月</w:t>
      </w:r>
      <w:r>
        <w:rPr>
          <w:rFonts w:hint="eastAsia" w:ascii="宋体" w:hAnsi="宋体" w:cs="仿宋_GB2312"/>
          <w:u w:val="single"/>
        </w:rPr>
        <w:t xml:space="preserve">  </w:t>
      </w:r>
      <w:r>
        <w:rPr>
          <w:rFonts w:ascii="宋体" w:hAnsi="宋体" w:cs="仿宋_GB2312"/>
          <w:u w:val="single"/>
        </w:rPr>
        <w:t>日</w:t>
      </w:r>
      <w:bookmarkEnd w:id="4"/>
      <w:r>
        <w:rPr>
          <w:rFonts w:hint="eastAsia" w:ascii="宋体" w:hAnsi="宋体" w:cs="仿宋_GB2312"/>
        </w:rPr>
        <w:t>签订。</w:t>
      </w:r>
    </w:p>
    <w:p w14:paraId="7CFD4D69">
      <w:pPr>
        <w:spacing w:line="360" w:lineRule="auto"/>
        <w:ind w:firstLine="420" w:firstLineChars="200"/>
        <w:rPr>
          <w:rFonts w:ascii="宋体" w:cs="仿宋_GB2312"/>
        </w:rPr>
      </w:pPr>
      <w:r>
        <w:rPr>
          <w:rFonts w:hint="eastAsia" w:ascii="宋体" w:hAnsi="宋体" w:cs="仿宋_GB2312"/>
        </w:rPr>
        <w:t>十二、签订地点</w:t>
      </w:r>
    </w:p>
    <w:p w14:paraId="7E839B15">
      <w:pPr>
        <w:spacing w:line="360" w:lineRule="auto"/>
        <w:ind w:firstLine="420" w:firstLineChars="200"/>
        <w:rPr>
          <w:rFonts w:ascii="宋体" w:cs="仿宋_GB2312"/>
        </w:rPr>
      </w:pPr>
      <w:r>
        <w:rPr>
          <w:rFonts w:hint="eastAsia" w:ascii="宋体" w:hAnsi="宋体" w:cs="仿宋_GB2312"/>
        </w:rPr>
        <w:t>本合同在</w:t>
      </w:r>
      <w:r>
        <w:rPr>
          <w:rFonts w:ascii="宋体" w:hAnsi="宋体" w:cs="仿宋_GB2312"/>
          <w:u w:val="single"/>
        </w:rPr>
        <w:t xml:space="preserve"> </w:t>
      </w:r>
      <w:bookmarkStart w:id="5" w:name="makeContractAddr"/>
      <w:r>
        <w:rPr>
          <w:rFonts w:hint="eastAsia" w:ascii="宋体" w:hAnsi="宋体" w:cs="仿宋_GB2312"/>
          <w:u w:val="single"/>
          <w:lang w:eastAsia="zh-CN"/>
        </w:rPr>
        <w:t>乳山市发展和改革局（乳山市人民防空办公室、乳山市国防动员办公室）</w:t>
      </w:r>
      <w:r>
        <w:rPr>
          <w:rFonts w:hint="eastAsia" w:ascii="宋体" w:hAnsi="宋体" w:cs="仿宋_GB2312"/>
          <w:u w:val="single"/>
        </w:rPr>
        <w:t xml:space="preserve"> </w:t>
      </w:r>
      <w:r>
        <w:rPr>
          <w:rFonts w:ascii="宋体" w:hAnsi="宋体" w:cs="仿宋_GB2312"/>
          <w:u w:val="single"/>
        </w:rPr>
        <w:t>（</w:t>
      </w:r>
      <w:r>
        <w:rPr>
          <w:rFonts w:hint="eastAsia" w:ascii="宋体" w:hAnsi="宋体" w:cs="仿宋_GB2312"/>
          <w:u w:val="single"/>
        </w:rPr>
        <w:t>乳山市府前路5-1号</w:t>
      </w:r>
      <w:r>
        <w:rPr>
          <w:rFonts w:ascii="宋体" w:hAnsi="宋体" w:cs="仿宋_GB2312"/>
          <w:u w:val="single"/>
        </w:rPr>
        <w:t>）</w:t>
      </w:r>
      <w:bookmarkEnd w:id="5"/>
      <w:r>
        <w:rPr>
          <w:rFonts w:ascii="宋体" w:hAnsi="宋体" w:cs="仿宋_GB2312"/>
          <w:u w:val="single"/>
        </w:rPr>
        <w:t xml:space="preserve"> </w:t>
      </w:r>
      <w:r>
        <w:rPr>
          <w:rFonts w:hint="eastAsia" w:ascii="宋体" w:hAnsi="宋体" w:cs="仿宋_GB2312"/>
        </w:rPr>
        <w:t>签订。</w:t>
      </w:r>
    </w:p>
    <w:p w14:paraId="32500023">
      <w:pPr>
        <w:spacing w:line="360" w:lineRule="auto"/>
        <w:ind w:firstLine="420" w:firstLineChars="200"/>
        <w:rPr>
          <w:rFonts w:ascii="宋体" w:cs="仿宋_GB2312"/>
        </w:rPr>
      </w:pPr>
      <w:r>
        <w:rPr>
          <w:rFonts w:hint="eastAsia" w:ascii="宋体" w:hAnsi="宋体" w:cs="仿宋_GB2312"/>
        </w:rPr>
        <w:t>十三、补充协议</w:t>
      </w:r>
    </w:p>
    <w:p w14:paraId="4C4A9C1A">
      <w:pPr>
        <w:spacing w:line="360" w:lineRule="auto"/>
        <w:ind w:firstLine="420" w:firstLineChars="200"/>
        <w:rPr>
          <w:rFonts w:ascii="宋体" w:cs="仿宋_GB2312"/>
        </w:rPr>
      </w:pPr>
      <w:r>
        <w:rPr>
          <w:rFonts w:hint="eastAsia" w:ascii="宋体" w:hAnsi="宋体" w:cs="仿宋_GB2312"/>
        </w:rPr>
        <w:t>合同未尽事宜，合同当事人另行签订补充协议，补充协议是合同的组成部分。</w:t>
      </w:r>
    </w:p>
    <w:p w14:paraId="069DEBDF">
      <w:pPr>
        <w:spacing w:line="360" w:lineRule="auto"/>
        <w:ind w:firstLine="420" w:firstLineChars="200"/>
        <w:rPr>
          <w:rFonts w:ascii="宋体" w:cs="仿宋_GB2312"/>
        </w:rPr>
      </w:pPr>
      <w:r>
        <w:rPr>
          <w:rFonts w:hint="eastAsia" w:ascii="宋体" w:hAnsi="宋体" w:cs="仿宋_GB2312"/>
        </w:rPr>
        <w:t>十四、合同生效</w:t>
      </w:r>
    </w:p>
    <w:p w14:paraId="79BD31C0">
      <w:pPr>
        <w:spacing w:line="360" w:lineRule="auto"/>
        <w:ind w:firstLine="420" w:firstLineChars="200"/>
        <w:rPr>
          <w:rFonts w:ascii="宋体" w:cs="仿宋_GB2312"/>
        </w:rPr>
      </w:pPr>
      <w:r>
        <w:rPr>
          <w:rFonts w:hint="eastAsia" w:ascii="宋体" w:hAnsi="宋体" w:cs="仿宋_GB2312"/>
        </w:rPr>
        <w:t>本合同自</w:t>
      </w:r>
      <w:r>
        <w:rPr>
          <w:rFonts w:ascii="宋体" w:hAnsi="宋体" w:cs="仿宋_GB2312"/>
          <w:u w:val="single"/>
        </w:rPr>
        <w:t xml:space="preserve">                                   </w:t>
      </w:r>
      <w:r>
        <w:rPr>
          <w:rFonts w:hint="eastAsia" w:ascii="宋体" w:hAnsi="宋体" w:cs="仿宋_GB2312"/>
        </w:rPr>
        <w:t>生效。</w:t>
      </w:r>
    </w:p>
    <w:p w14:paraId="600B6764">
      <w:pPr>
        <w:spacing w:line="360" w:lineRule="auto"/>
        <w:ind w:firstLine="420" w:firstLineChars="200"/>
        <w:rPr>
          <w:rFonts w:ascii="宋体" w:cs="仿宋_GB2312"/>
        </w:rPr>
      </w:pPr>
      <w:r>
        <w:rPr>
          <w:rFonts w:hint="eastAsia" w:ascii="宋体" w:hAnsi="宋体" w:cs="仿宋_GB2312"/>
        </w:rPr>
        <w:t>十五、合同份数</w:t>
      </w:r>
    </w:p>
    <w:p w14:paraId="54003220">
      <w:pPr>
        <w:spacing w:line="360" w:lineRule="auto"/>
        <w:ind w:firstLine="420" w:firstLineChars="200"/>
        <w:rPr>
          <w:rFonts w:ascii="宋体" w:cs="仿宋_GB2312"/>
        </w:rPr>
      </w:pPr>
      <w:r>
        <w:rPr>
          <w:rFonts w:hint="eastAsia" w:ascii="宋体" w:hAnsi="宋体" w:cs="仿宋_GB2312"/>
        </w:rPr>
        <w:t>本合同一式五份，均具有同等法律效力，采购人执贰份，供应商执贰份，代理机构一份。</w:t>
      </w:r>
    </w:p>
    <w:p w14:paraId="6D6C6A41">
      <w:pPr>
        <w:spacing w:line="360" w:lineRule="auto"/>
        <w:ind w:firstLine="420" w:firstLineChars="200"/>
        <w:rPr>
          <w:rFonts w:ascii="宋体" w:cs="仿宋_GB2312"/>
        </w:rPr>
      </w:pPr>
    </w:p>
    <w:tbl>
      <w:tblPr>
        <w:tblStyle w:val="34"/>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112D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B501D59">
            <w:pPr>
              <w:pStyle w:val="15"/>
              <w:rPr>
                <w:rFonts w:ascii="宋体" w:hAnsi="宋体" w:cs="宋体"/>
                <w:color w:val="000000"/>
              </w:rPr>
            </w:pPr>
          </w:p>
          <w:p w14:paraId="311DF53E">
            <w:pPr>
              <w:pStyle w:val="15"/>
              <w:rPr>
                <w:rFonts w:ascii="宋体" w:hAnsi="宋体" w:cs="宋体"/>
                <w:color w:val="000000"/>
              </w:rPr>
            </w:pPr>
            <w:r>
              <w:rPr>
                <w:rFonts w:hint="eastAsia" w:ascii="宋体" w:hAnsi="宋体" w:cs="宋体"/>
                <w:color w:val="000000"/>
              </w:rPr>
              <w:t>采购人： (公章)</w:t>
            </w:r>
          </w:p>
          <w:p w14:paraId="783EECFD">
            <w:pPr>
              <w:pStyle w:val="15"/>
              <w:rPr>
                <w:rFonts w:ascii="宋体" w:hAnsi="宋体" w:cs="宋体"/>
                <w:color w:val="000000"/>
              </w:rPr>
            </w:pPr>
          </w:p>
        </w:tc>
        <w:tc>
          <w:tcPr>
            <w:tcW w:w="240" w:type="dxa"/>
            <w:vAlign w:val="center"/>
          </w:tcPr>
          <w:p w14:paraId="45D3B6A9">
            <w:pPr>
              <w:spacing w:line="360" w:lineRule="auto"/>
              <w:ind w:left="-2" w:leftChars="-1"/>
              <w:rPr>
                <w:rFonts w:ascii="宋体" w:hAnsi="宋体" w:cs="宋体"/>
                <w:color w:val="000000"/>
              </w:rPr>
            </w:pPr>
          </w:p>
        </w:tc>
        <w:tc>
          <w:tcPr>
            <w:tcW w:w="5203" w:type="dxa"/>
            <w:vAlign w:val="center"/>
          </w:tcPr>
          <w:p w14:paraId="0D2DC7C0">
            <w:pPr>
              <w:spacing w:line="360" w:lineRule="auto"/>
              <w:ind w:left="-2" w:leftChars="-1"/>
              <w:rPr>
                <w:rFonts w:ascii="宋体" w:hAnsi="宋体" w:cs="宋体"/>
                <w:color w:val="000000"/>
              </w:rPr>
            </w:pPr>
            <w:r>
              <w:rPr>
                <w:rFonts w:hint="eastAsia" w:ascii="宋体" w:hAnsi="宋体" w:cs="宋体"/>
                <w:color w:val="000000"/>
              </w:rPr>
              <w:t>供应商： (公章)</w:t>
            </w:r>
          </w:p>
        </w:tc>
      </w:tr>
      <w:tr w14:paraId="6A2B7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0500FB6">
            <w:pPr>
              <w:pStyle w:val="15"/>
              <w:rPr>
                <w:rFonts w:ascii="宋体" w:hAnsi="宋体" w:cs="宋体"/>
                <w:color w:val="000000"/>
              </w:rPr>
            </w:pPr>
            <w:r>
              <w:rPr>
                <w:rFonts w:hint="eastAsia" w:ascii="宋体" w:hAnsi="宋体" w:cs="宋体"/>
                <w:color w:val="000000"/>
              </w:rPr>
              <w:t>法定代表人或其委托代理人：</w:t>
            </w:r>
          </w:p>
          <w:p w14:paraId="4DF08B5F">
            <w:pPr>
              <w:pStyle w:val="15"/>
              <w:rPr>
                <w:rFonts w:ascii="宋体" w:hAnsi="宋体" w:cs="宋体"/>
                <w:color w:val="000000"/>
              </w:rPr>
            </w:pPr>
            <w:r>
              <w:rPr>
                <w:rFonts w:hint="eastAsia" w:ascii="宋体" w:hAnsi="宋体" w:cs="宋体"/>
                <w:color w:val="000000"/>
              </w:rPr>
              <w:t>（签字）</w:t>
            </w:r>
          </w:p>
        </w:tc>
        <w:tc>
          <w:tcPr>
            <w:tcW w:w="240" w:type="dxa"/>
            <w:vAlign w:val="center"/>
          </w:tcPr>
          <w:p w14:paraId="1D2589D6">
            <w:pPr>
              <w:spacing w:line="360" w:lineRule="auto"/>
              <w:ind w:left="-2" w:leftChars="-1"/>
              <w:rPr>
                <w:rFonts w:ascii="宋体" w:hAnsi="宋体" w:cs="宋体"/>
                <w:color w:val="000000"/>
              </w:rPr>
            </w:pPr>
          </w:p>
        </w:tc>
        <w:tc>
          <w:tcPr>
            <w:tcW w:w="5203" w:type="dxa"/>
            <w:vAlign w:val="center"/>
          </w:tcPr>
          <w:p w14:paraId="088282C2">
            <w:pPr>
              <w:pStyle w:val="15"/>
              <w:rPr>
                <w:rFonts w:ascii="宋体" w:hAnsi="宋体" w:cs="宋体"/>
                <w:color w:val="000000"/>
              </w:rPr>
            </w:pPr>
            <w:r>
              <w:rPr>
                <w:rFonts w:hint="eastAsia" w:ascii="宋体" w:hAnsi="宋体" w:cs="宋体"/>
                <w:color w:val="000000"/>
              </w:rPr>
              <w:t>法定代表人或其委托代理人：</w:t>
            </w:r>
          </w:p>
          <w:p w14:paraId="03D76047">
            <w:pPr>
              <w:spacing w:line="360" w:lineRule="auto"/>
              <w:ind w:left="-2" w:leftChars="-1"/>
              <w:rPr>
                <w:rFonts w:ascii="宋体" w:hAnsi="宋体" w:cs="宋体"/>
                <w:color w:val="000000"/>
              </w:rPr>
            </w:pPr>
            <w:r>
              <w:rPr>
                <w:rFonts w:hint="eastAsia" w:ascii="宋体" w:hAnsi="宋体" w:cs="宋体"/>
                <w:color w:val="000000"/>
              </w:rPr>
              <w:t>（签字）</w:t>
            </w:r>
          </w:p>
        </w:tc>
      </w:tr>
      <w:tr w14:paraId="1B91A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atLeast"/>
        </w:trPr>
        <w:tc>
          <w:tcPr>
            <w:tcW w:w="4575" w:type="dxa"/>
            <w:vAlign w:val="center"/>
          </w:tcPr>
          <w:p w14:paraId="710346B5">
            <w:pPr>
              <w:pStyle w:val="15"/>
              <w:rPr>
                <w:rFonts w:ascii="宋体" w:hAnsi="宋体" w:cs="宋体"/>
                <w:color w:val="000000"/>
              </w:rPr>
            </w:pPr>
            <w:r>
              <w:rPr>
                <w:rFonts w:hint="eastAsia" w:ascii="宋体" w:hAnsi="宋体" w:cs="宋体"/>
                <w:color w:val="000000"/>
              </w:rPr>
              <w:t xml:space="preserve">住所： </w:t>
            </w:r>
            <w:bookmarkStart w:id="6" w:name="unitAddress"/>
            <w:bookmarkEnd w:id="6"/>
          </w:p>
        </w:tc>
        <w:tc>
          <w:tcPr>
            <w:tcW w:w="240" w:type="dxa"/>
            <w:vAlign w:val="center"/>
          </w:tcPr>
          <w:p w14:paraId="5A5430BF">
            <w:pPr>
              <w:pStyle w:val="15"/>
              <w:rPr>
                <w:rFonts w:ascii="宋体" w:hAnsi="宋体" w:cs="宋体"/>
                <w:color w:val="000000"/>
              </w:rPr>
            </w:pPr>
          </w:p>
        </w:tc>
        <w:tc>
          <w:tcPr>
            <w:tcW w:w="5203" w:type="dxa"/>
            <w:vAlign w:val="center"/>
          </w:tcPr>
          <w:p w14:paraId="443A34AF">
            <w:pPr>
              <w:pStyle w:val="15"/>
              <w:rPr>
                <w:rFonts w:ascii="宋体" w:hAnsi="宋体" w:cs="宋体"/>
                <w:color w:val="000000"/>
              </w:rPr>
            </w:pPr>
            <w:r>
              <w:rPr>
                <w:rFonts w:hint="eastAsia" w:ascii="宋体" w:hAnsi="宋体" w:cs="宋体"/>
                <w:color w:val="000000"/>
              </w:rPr>
              <w:t>住所：</w:t>
            </w:r>
          </w:p>
        </w:tc>
      </w:tr>
      <w:tr w14:paraId="0579A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2B18267E">
            <w:pPr>
              <w:pStyle w:val="15"/>
              <w:rPr>
                <w:rFonts w:ascii="宋体" w:hAnsi="宋体" w:cs="宋体"/>
                <w:color w:val="000000"/>
              </w:rPr>
            </w:pPr>
            <w:r>
              <w:rPr>
                <w:rFonts w:hint="eastAsia" w:ascii="宋体" w:hAnsi="宋体" w:cs="宋体"/>
                <w:color w:val="000000"/>
              </w:rPr>
              <w:t>法定代表人：</w:t>
            </w:r>
          </w:p>
        </w:tc>
        <w:tc>
          <w:tcPr>
            <w:tcW w:w="240" w:type="dxa"/>
            <w:vAlign w:val="center"/>
          </w:tcPr>
          <w:p w14:paraId="5E70F0DE">
            <w:pPr>
              <w:pStyle w:val="15"/>
              <w:rPr>
                <w:rFonts w:ascii="宋体" w:hAnsi="宋体" w:cs="宋体"/>
                <w:color w:val="000000"/>
              </w:rPr>
            </w:pPr>
          </w:p>
        </w:tc>
        <w:tc>
          <w:tcPr>
            <w:tcW w:w="5203" w:type="dxa"/>
            <w:vAlign w:val="center"/>
          </w:tcPr>
          <w:p w14:paraId="3E9E9043">
            <w:pPr>
              <w:pStyle w:val="15"/>
              <w:rPr>
                <w:rFonts w:ascii="宋体" w:hAnsi="宋体" w:cs="宋体"/>
                <w:color w:val="000000"/>
              </w:rPr>
            </w:pPr>
            <w:r>
              <w:rPr>
                <w:rFonts w:hint="eastAsia" w:ascii="宋体" w:hAnsi="宋体" w:cs="宋体"/>
                <w:color w:val="000000"/>
              </w:rPr>
              <w:t>法定代表人：</w:t>
            </w:r>
          </w:p>
        </w:tc>
      </w:tr>
      <w:tr w14:paraId="14697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19003B32">
            <w:pPr>
              <w:pStyle w:val="15"/>
              <w:rPr>
                <w:rFonts w:ascii="宋体" w:hAnsi="宋体" w:cs="宋体"/>
                <w:color w:val="000000"/>
              </w:rPr>
            </w:pPr>
            <w:r>
              <w:rPr>
                <w:rFonts w:hint="eastAsia" w:ascii="宋体" w:hAnsi="宋体" w:cs="宋体"/>
                <w:color w:val="000000"/>
              </w:rPr>
              <w:t>委托代理人：</w:t>
            </w:r>
          </w:p>
        </w:tc>
        <w:tc>
          <w:tcPr>
            <w:tcW w:w="240" w:type="dxa"/>
            <w:vAlign w:val="center"/>
          </w:tcPr>
          <w:p w14:paraId="1BD1101C">
            <w:pPr>
              <w:pStyle w:val="15"/>
              <w:rPr>
                <w:rFonts w:ascii="宋体" w:hAnsi="宋体" w:cs="宋体"/>
                <w:color w:val="000000"/>
              </w:rPr>
            </w:pPr>
          </w:p>
        </w:tc>
        <w:tc>
          <w:tcPr>
            <w:tcW w:w="5203" w:type="dxa"/>
            <w:vAlign w:val="center"/>
          </w:tcPr>
          <w:p w14:paraId="16C59DB9">
            <w:pPr>
              <w:pStyle w:val="15"/>
              <w:rPr>
                <w:rFonts w:ascii="宋体" w:hAnsi="宋体" w:cs="宋体"/>
                <w:color w:val="000000"/>
              </w:rPr>
            </w:pPr>
            <w:r>
              <w:rPr>
                <w:rFonts w:hint="eastAsia" w:ascii="宋体" w:hAnsi="宋体" w:cs="宋体"/>
                <w:color w:val="000000"/>
              </w:rPr>
              <w:t>委托代理人：</w:t>
            </w:r>
          </w:p>
        </w:tc>
      </w:tr>
      <w:tr w14:paraId="3638A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16E5BA2">
            <w:pPr>
              <w:pStyle w:val="15"/>
              <w:rPr>
                <w:rFonts w:ascii="宋体" w:hAnsi="宋体" w:cs="宋体"/>
                <w:color w:val="000000"/>
              </w:rPr>
            </w:pPr>
            <w:r>
              <w:rPr>
                <w:rFonts w:hint="eastAsia" w:ascii="宋体" w:hAnsi="宋体" w:cs="宋体"/>
                <w:color w:val="000000"/>
              </w:rPr>
              <w:t xml:space="preserve">电 话： </w:t>
            </w:r>
          </w:p>
        </w:tc>
        <w:tc>
          <w:tcPr>
            <w:tcW w:w="240" w:type="dxa"/>
            <w:vAlign w:val="center"/>
          </w:tcPr>
          <w:p w14:paraId="4BCB8325">
            <w:pPr>
              <w:pStyle w:val="15"/>
              <w:rPr>
                <w:rFonts w:ascii="宋体" w:hAnsi="宋体" w:cs="宋体"/>
                <w:color w:val="000000"/>
              </w:rPr>
            </w:pPr>
          </w:p>
        </w:tc>
        <w:tc>
          <w:tcPr>
            <w:tcW w:w="5203" w:type="dxa"/>
            <w:vAlign w:val="center"/>
          </w:tcPr>
          <w:p w14:paraId="21A7A034">
            <w:pPr>
              <w:pStyle w:val="15"/>
              <w:rPr>
                <w:rFonts w:ascii="宋体" w:hAnsi="宋体" w:cs="宋体"/>
                <w:color w:val="000000"/>
              </w:rPr>
            </w:pPr>
            <w:r>
              <w:rPr>
                <w:rFonts w:hint="eastAsia" w:ascii="宋体" w:hAnsi="宋体" w:cs="宋体"/>
                <w:color w:val="000000"/>
              </w:rPr>
              <w:t xml:space="preserve">电 话： </w:t>
            </w:r>
          </w:p>
        </w:tc>
      </w:tr>
      <w:tr w14:paraId="0FABA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109FC08E">
            <w:pPr>
              <w:pStyle w:val="15"/>
              <w:rPr>
                <w:rFonts w:ascii="宋体" w:hAnsi="宋体" w:cs="宋体"/>
                <w:color w:val="000000"/>
              </w:rPr>
            </w:pPr>
            <w:r>
              <w:rPr>
                <w:rFonts w:hint="eastAsia" w:ascii="宋体" w:hAnsi="宋体" w:cs="宋体"/>
                <w:color w:val="000000"/>
              </w:rPr>
              <w:t>传真：</w:t>
            </w:r>
          </w:p>
        </w:tc>
        <w:tc>
          <w:tcPr>
            <w:tcW w:w="240" w:type="dxa"/>
            <w:vAlign w:val="center"/>
          </w:tcPr>
          <w:p w14:paraId="6AE3FAA4">
            <w:pPr>
              <w:pStyle w:val="15"/>
              <w:rPr>
                <w:rFonts w:ascii="宋体" w:hAnsi="宋体" w:cs="宋体"/>
                <w:color w:val="000000"/>
              </w:rPr>
            </w:pPr>
          </w:p>
        </w:tc>
        <w:tc>
          <w:tcPr>
            <w:tcW w:w="5203" w:type="dxa"/>
            <w:vAlign w:val="center"/>
          </w:tcPr>
          <w:p w14:paraId="47BA2F84">
            <w:pPr>
              <w:pStyle w:val="15"/>
              <w:rPr>
                <w:rFonts w:ascii="宋体" w:hAnsi="宋体" w:cs="宋体"/>
                <w:color w:val="000000"/>
              </w:rPr>
            </w:pPr>
            <w:r>
              <w:rPr>
                <w:rFonts w:hint="eastAsia" w:ascii="宋体" w:hAnsi="宋体" w:cs="宋体"/>
                <w:color w:val="000000"/>
              </w:rPr>
              <w:t>传真：</w:t>
            </w:r>
          </w:p>
        </w:tc>
      </w:tr>
      <w:tr w14:paraId="452E7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460E684">
            <w:pPr>
              <w:pStyle w:val="15"/>
              <w:rPr>
                <w:rFonts w:ascii="宋体" w:hAnsi="宋体" w:cs="宋体"/>
                <w:color w:val="000000"/>
              </w:rPr>
            </w:pPr>
            <w:r>
              <w:rPr>
                <w:rFonts w:hint="eastAsia" w:ascii="宋体" w:hAnsi="宋体" w:cs="宋体"/>
                <w:color w:val="000000"/>
              </w:rPr>
              <w:t>开户银行：</w:t>
            </w:r>
          </w:p>
        </w:tc>
        <w:tc>
          <w:tcPr>
            <w:tcW w:w="240" w:type="dxa"/>
            <w:vAlign w:val="center"/>
          </w:tcPr>
          <w:p w14:paraId="39F6CE62">
            <w:pPr>
              <w:pStyle w:val="15"/>
              <w:rPr>
                <w:rFonts w:ascii="宋体" w:hAnsi="宋体" w:cs="宋体"/>
                <w:color w:val="000000"/>
              </w:rPr>
            </w:pPr>
          </w:p>
        </w:tc>
        <w:tc>
          <w:tcPr>
            <w:tcW w:w="5203" w:type="dxa"/>
            <w:vAlign w:val="center"/>
          </w:tcPr>
          <w:p w14:paraId="08BE3A44">
            <w:pPr>
              <w:pStyle w:val="15"/>
              <w:rPr>
                <w:rFonts w:ascii="宋体" w:hAnsi="宋体" w:cs="宋体"/>
                <w:color w:val="000000"/>
              </w:rPr>
            </w:pPr>
            <w:r>
              <w:rPr>
                <w:rFonts w:hint="eastAsia" w:ascii="宋体" w:hAnsi="宋体" w:cs="宋体"/>
                <w:color w:val="000000"/>
              </w:rPr>
              <w:t xml:space="preserve">开户银行： </w:t>
            </w:r>
          </w:p>
        </w:tc>
      </w:tr>
      <w:tr w14:paraId="47EA1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1A8D8F1">
            <w:pPr>
              <w:pStyle w:val="15"/>
              <w:rPr>
                <w:rFonts w:ascii="宋体" w:hAnsi="宋体" w:cs="宋体"/>
                <w:color w:val="000000"/>
              </w:rPr>
            </w:pPr>
            <w:r>
              <w:rPr>
                <w:rFonts w:hint="eastAsia" w:ascii="宋体" w:hAnsi="宋体" w:cs="宋体"/>
                <w:color w:val="000000"/>
              </w:rPr>
              <w:t>账号：</w:t>
            </w:r>
          </w:p>
        </w:tc>
        <w:tc>
          <w:tcPr>
            <w:tcW w:w="240" w:type="dxa"/>
            <w:vAlign w:val="center"/>
          </w:tcPr>
          <w:p w14:paraId="3CC83D56">
            <w:pPr>
              <w:pStyle w:val="15"/>
              <w:rPr>
                <w:rFonts w:ascii="宋体" w:hAnsi="宋体" w:cs="宋体"/>
                <w:color w:val="000000"/>
              </w:rPr>
            </w:pPr>
          </w:p>
        </w:tc>
        <w:tc>
          <w:tcPr>
            <w:tcW w:w="5203" w:type="dxa"/>
            <w:vAlign w:val="center"/>
          </w:tcPr>
          <w:p w14:paraId="0E34A1C6">
            <w:pPr>
              <w:pStyle w:val="15"/>
              <w:rPr>
                <w:rFonts w:ascii="宋体" w:hAnsi="宋体" w:cs="宋体"/>
                <w:color w:val="000000"/>
              </w:rPr>
            </w:pPr>
            <w:r>
              <w:rPr>
                <w:rFonts w:hint="eastAsia" w:ascii="宋体" w:hAnsi="宋体" w:cs="宋体"/>
                <w:color w:val="000000"/>
              </w:rPr>
              <w:t xml:space="preserve">账号： </w:t>
            </w:r>
          </w:p>
        </w:tc>
      </w:tr>
      <w:tr w14:paraId="5E6E8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A069655">
            <w:pPr>
              <w:pStyle w:val="15"/>
              <w:rPr>
                <w:rFonts w:ascii="宋体" w:hAnsi="宋体" w:cs="宋体"/>
                <w:color w:val="000000"/>
              </w:rPr>
            </w:pPr>
            <w:r>
              <w:rPr>
                <w:rFonts w:hint="eastAsia" w:ascii="宋体" w:hAnsi="宋体" w:cs="宋体"/>
                <w:color w:val="000000"/>
              </w:rPr>
              <w:t>邮政编码：</w:t>
            </w:r>
          </w:p>
        </w:tc>
        <w:tc>
          <w:tcPr>
            <w:tcW w:w="240" w:type="dxa"/>
            <w:vAlign w:val="center"/>
          </w:tcPr>
          <w:p w14:paraId="7886E2D5">
            <w:pPr>
              <w:pStyle w:val="15"/>
              <w:rPr>
                <w:rFonts w:ascii="宋体" w:hAnsi="宋体" w:cs="宋体"/>
                <w:color w:val="000000"/>
              </w:rPr>
            </w:pPr>
          </w:p>
        </w:tc>
        <w:tc>
          <w:tcPr>
            <w:tcW w:w="5203" w:type="dxa"/>
            <w:vAlign w:val="center"/>
          </w:tcPr>
          <w:p w14:paraId="6A5FF523">
            <w:pPr>
              <w:pStyle w:val="15"/>
              <w:rPr>
                <w:rFonts w:ascii="宋体" w:hAnsi="宋体" w:cs="宋体"/>
                <w:color w:val="000000"/>
              </w:rPr>
            </w:pPr>
            <w:r>
              <w:rPr>
                <w:rFonts w:hint="eastAsia" w:ascii="宋体" w:hAnsi="宋体" w:cs="宋体"/>
                <w:color w:val="000000"/>
              </w:rPr>
              <w:t>邮政编码：</w:t>
            </w:r>
          </w:p>
        </w:tc>
      </w:tr>
    </w:tbl>
    <w:p w14:paraId="4521BE7C">
      <w:pPr>
        <w:spacing w:line="360" w:lineRule="auto"/>
        <w:ind w:firstLine="420" w:firstLineChars="200"/>
        <w:rPr>
          <w:rFonts w:ascii="宋体" w:cs="仿宋_GB2312"/>
        </w:rPr>
      </w:pPr>
    </w:p>
    <w:p w14:paraId="14EADA8A">
      <w:pPr>
        <w:pStyle w:val="30"/>
        <w:adjustRightInd w:val="0"/>
        <w:snapToGrid w:val="0"/>
        <w:spacing w:line="360" w:lineRule="auto"/>
        <w:jc w:val="center"/>
        <w:rPr>
          <w:color w:val="333333"/>
        </w:rPr>
      </w:pPr>
      <w:r>
        <w:rPr>
          <w:rFonts w:hint="eastAsia"/>
          <w:color w:val="333333"/>
        </w:rPr>
        <w:t>合同条款</w:t>
      </w:r>
    </w:p>
    <w:p w14:paraId="147EAEC5">
      <w:pPr>
        <w:pStyle w:val="30"/>
        <w:adjustRightInd w:val="0"/>
        <w:snapToGrid w:val="0"/>
        <w:spacing w:line="360" w:lineRule="auto"/>
        <w:rPr>
          <w:color w:val="333333"/>
        </w:rPr>
      </w:pPr>
      <w:r>
        <w:rPr>
          <w:rFonts w:hint="eastAsia"/>
          <w:color w:val="333333"/>
        </w:rPr>
        <w:t>第一条</w:t>
      </w:r>
      <w:r>
        <w:rPr>
          <w:color w:val="333333"/>
        </w:rPr>
        <w:t xml:space="preserve"> </w:t>
      </w:r>
      <w:r>
        <w:rPr>
          <w:rFonts w:hint="eastAsia"/>
          <w:color w:val="333333"/>
        </w:rPr>
        <w:t>合同内容</w:t>
      </w:r>
    </w:p>
    <w:p w14:paraId="2B52E6C2">
      <w:pPr>
        <w:pStyle w:val="30"/>
        <w:adjustRightInd w:val="0"/>
        <w:snapToGrid w:val="0"/>
        <w:spacing w:line="360" w:lineRule="auto"/>
        <w:rPr>
          <w:rFonts w:cs="仿宋"/>
          <w:color w:val="333333"/>
        </w:rPr>
      </w:pPr>
      <w:r>
        <w:rPr>
          <w:rFonts w:hint="eastAsia"/>
          <w:color w:val="333333"/>
        </w:rPr>
        <w:t>　　</w:t>
      </w:r>
      <w:r>
        <w:rPr>
          <w:color w:val="333333"/>
        </w:rPr>
        <w:t xml:space="preserve">1.1 </w:t>
      </w:r>
      <w:r>
        <w:rPr>
          <w:rFonts w:hint="eastAsia"/>
          <w:color w:val="333333"/>
        </w:rPr>
        <w:t>采购人委托供应商实施提供本项服务工作，供应商承诺提供并完成此项服务工作。</w:t>
      </w:r>
    </w:p>
    <w:p w14:paraId="6453A325">
      <w:pPr>
        <w:adjustRightInd w:val="0"/>
        <w:snapToGrid w:val="0"/>
        <w:spacing w:line="360" w:lineRule="auto"/>
        <w:ind w:firstLine="420" w:firstLineChars="200"/>
        <w:rPr>
          <w:rFonts w:ascii="宋体" w:cs="仿宋"/>
          <w:color w:val="333333"/>
        </w:rPr>
      </w:pPr>
      <w:r>
        <w:rPr>
          <w:rFonts w:ascii="宋体" w:hAnsi="宋体" w:cs="仿宋"/>
          <w:color w:val="333333"/>
        </w:rPr>
        <w:t>1.2</w:t>
      </w:r>
      <w:r>
        <w:rPr>
          <w:rFonts w:hint="eastAsia" w:ascii="宋体" w:hAnsi="宋体" w:cs="仿宋"/>
          <w:color w:val="333333"/>
        </w:rPr>
        <w:t>服务阶段：</w:t>
      </w:r>
      <w:r>
        <w:rPr>
          <w:rFonts w:ascii="宋体" w:hAnsi="宋体" w:cs="仿宋"/>
          <w:color w:val="333333"/>
          <w:u w:val="single"/>
        </w:rPr>
        <w:t xml:space="preserve">                         </w:t>
      </w:r>
      <w:r>
        <w:rPr>
          <w:rFonts w:hint="eastAsia" w:ascii="宋体" w:hAnsi="宋体" w:cs="仿宋"/>
          <w:color w:val="333333"/>
          <w:u w:val="single"/>
        </w:rPr>
        <w:t>。</w:t>
      </w:r>
    </w:p>
    <w:p w14:paraId="1019BBC6">
      <w:pPr>
        <w:adjustRightInd w:val="0"/>
        <w:snapToGrid w:val="0"/>
        <w:spacing w:line="360" w:lineRule="auto"/>
        <w:ind w:firstLine="420" w:firstLineChars="200"/>
        <w:rPr>
          <w:rFonts w:ascii="宋体" w:cs="仿宋"/>
          <w:u w:val="single"/>
        </w:rPr>
      </w:pPr>
      <w:r>
        <w:rPr>
          <w:rFonts w:ascii="宋体" w:hAnsi="宋体" w:cs="仿宋"/>
        </w:rPr>
        <w:t>1.3</w:t>
      </w:r>
      <w:r>
        <w:rPr>
          <w:rFonts w:hint="eastAsia" w:ascii="宋体" w:hAnsi="宋体" w:cs="仿宋"/>
        </w:rPr>
        <w:t>服务内容：</w:t>
      </w:r>
      <w:r>
        <w:rPr>
          <w:rFonts w:ascii="宋体" w:hAnsi="宋体" w:cs="仿宋"/>
          <w:u w:val="single"/>
        </w:rPr>
        <w:t xml:space="preserve">         </w:t>
      </w:r>
      <w:r>
        <w:rPr>
          <w:rFonts w:hint="eastAsia" w:ascii="宋体" w:hAnsi="宋体" w:cs="仿宋"/>
          <w:u w:val="single"/>
        </w:rPr>
        <w:t>。</w:t>
      </w:r>
    </w:p>
    <w:p w14:paraId="113D84E2">
      <w:pPr>
        <w:adjustRightInd w:val="0"/>
        <w:snapToGrid w:val="0"/>
        <w:spacing w:line="360" w:lineRule="auto"/>
        <w:ind w:firstLine="420" w:firstLineChars="200"/>
        <w:rPr>
          <w:rFonts w:ascii="宋体"/>
          <w:color w:val="333333"/>
          <w:u w:val="single"/>
        </w:rPr>
      </w:pPr>
      <w:r>
        <w:rPr>
          <w:rFonts w:hint="eastAsia" w:ascii="宋体" w:hAnsi="宋体" w:cs="仿宋"/>
          <w:u w:val="single"/>
        </w:rPr>
        <w:t>具体包括：</w:t>
      </w:r>
      <w:r>
        <w:rPr>
          <w:rFonts w:ascii="宋体" w:hAnsi="宋体" w:cs="仿宋"/>
          <w:u w:val="single"/>
        </w:rPr>
        <w:t xml:space="preserve">                                 </w:t>
      </w:r>
      <w:r>
        <w:rPr>
          <w:rFonts w:ascii="宋体" w:hAnsi="宋体"/>
          <w:u w:val="single"/>
        </w:rPr>
        <w:t xml:space="preserve">  </w:t>
      </w:r>
    </w:p>
    <w:p w14:paraId="735D5F8B">
      <w:pPr>
        <w:pStyle w:val="30"/>
        <w:adjustRightInd w:val="0"/>
        <w:snapToGrid w:val="0"/>
        <w:spacing w:line="360" w:lineRule="auto"/>
        <w:rPr>
          <w:color w:val="333333"/>
        </w:rPr>
      </w:pPr>
      <w:r>
        <w:rPr>
          <w:rFonts w:hint="eastAsia"/>
          <w:color w:val="333333"/>
        </w:rPr>
        <w:t>　　</w:t>
      </w:r>
      <w:r>
        <w:rPr>
          <w:color w:val="333333"/>
        </w:rPr>
        <w:t xml:space="preserve">1.4 </w:t>
      </w:r>
      <w:r>
        <w:rPr>
          <w:rFonts w:hint="eastAsia"/>
          <w:color w:val="333333"/>
        </w:rPr>
        <w:t>服务的进度安排：</w:t>
      </w:r>
      <w:r>
        <w:rPr>
          <w:color w:val="333333"/>
          <w:u w:val="single"/>
        </w:rPr>
        <w:t xml:space="preserve">                  </w:t>
      </w:r>
      <w:r>
        <w:rPr>
          <w:rFonts w:hint="eastAsia"/>
          <w:color w:val="333333"/>
          <w:u w:val="single"/>
        </w:rPr>
        <w:t>。</w:t>
      </w:r>
    </w:p>
    <w:p w14:paraId="0D40427A">
      <w:pPr>
        <w:adjustRightInd w:val="0"/>
        <w:snapToGrid w:val="0"/>
        <w:spacing w:line="360" w:lineRule="auto"/>
        <w:ind w:firstLine="420" w:firstLineChars="200"/>
        <w:rPr>
          <w:rFonts w:ascii="宋体"/>
        </w:rPr>
      </w:pPr>
      <w:r>
        <w:rPr>
          <w:rFonts w:ascii="宋体" w:hAnsi="宋体"/>
          <w:color w:val="333333"/>
        </w:rPr>
        <w:t xml:space="preserve">1.5 </w:t>
      </w:r>
      <w:r>
        <w:rPr>
          <w:rFonts w:hint="eastAsia" w:ascii="宋体" w:hAnsi="宋体"/>
        </w:rPr>
        <w:t>服务的机构、职责与人员配备安排</w:t>
      </w:r>
    </w:p>
    <w:p w14:paraId="0BF8C9A5">
      <w:pPr>
        <w:adjustRightInd w:val="0"/>
        <w:snapToGrid w:val="0"/>
        <w:spacing w:line="360" w:lineRule="auto"/>
        <w:ind w:firstLine="420" w:firstLineChars="200"/>
        <w:rPr>
          <w:rFonts w:ascii="宋体" w:hAnsi="宋体"/>
        </w:rPr>
      </w:pPr>
      <w:r>
        <w:rPr>
          <w:rFonts w:ascii="宋体" w:hAnsi="宋体"/>
        </w:rPr>
        <w:t>1.5.1</w:t>
      </w:r>
      <w:r>
        <w:rPr>
          <w:rFonts w:hint="eastAsia" w:ascii="宋体" w:hAnsi="宋体"/>
        </w:rPr>
        <w:t>服务机构。供应商按照服务内容和目标要求成立服务机构如下：</w:t>
      </w:r>
      <w:r>
        <w:rPr>
          <w:rFonts w:ascii="宋体" w:hAnsi="宋体"/>
        </w:rPr>
        <w:t>___________________________</w:t>
      </w:r>
      <w:r>
        <w:rPr>
          <w:rFonts w:hint="eastAsia" w:ascii="宋体" w:hAnsi="宋体"/>
        </w:rPr>
        <w:t>。</w:t>
      </w:r>
      <w:r>
        <w:rPr>
          <w:rFonts w:ascii="宋体" w:hAnsi="宋体"/>
        </w:rPr>
        <w:t xml:space="preserve"> </w:t>
      </w:r>
    </w:p>
    <w:p w14:paraId="5E62E116">
      <w:pPr>
        <w:adjustRightInd w:val="0"/>
        <w:snapToGrid w:val="0"/>
        <w:spacing w:line="360" w:lineRule="auto"/>
        <w:ind w:firstLine="420" w:firstLineChars="200"/>
        <w:rPr>
          <w:rFonts w:ascii="宋体"/>
        </w:rPr>
      </w:pPr>
      <w:r>
        <w:rPr>
          <w:rFonts w:ascii="宋体" w:hAnsi="宋体"/>
        </w:rPr>
        <w:t>1.5.2</w:t>
      </w:r>
      <w:r>
        <w:rPr>
          <w:rFonts w:hint="eastAsia" w:ascii="宋体" w:hAnsi="宋体"/>
        </w:rPr>
        <w:t>职责。服务机构在项目经理领导下，按照职能要求和目标任务确定工作职责，于项目启动后三日内建立健全各项规章制度。</w:t>
      </w:r>
    </w:p>
    <w:p w14:paraId="7613EEE8">
      <w:pPr>
        <w:adjustRightInd w:val="0"/>
        <w:snapToGrid w:val="0"/>
        <w:spacing w:line="360" w:lineRule="auto"/>
        <w:ind w:firstLine="420" w:firstLineChars="200"/>
        <w:rPr>
          <w:rFonts w:ascii="宋体"/>
          <w:color w:val="333333"/>
        </w:rPr>
      </w:pPr>
      <w:r>
        <w:rPr>
          <w:rFonts w:ascii="宋体" w:hAnsi="宋体"/>
        </w:rPr>
        <w:t>1.5.3</w:t>
      </w:r>
      <w:r>
        <w:rPr>
          <w:rFonts w:hint="eastAsia" w:ascii="宋体" w:hAnsi="宋体"/>
        </w:rPr>
        <w:t>人员。供应商根据部门职能和采购人需要配备有关专业人员。</w:t>
      </w:r>
    </w:p>
    <w:p w14:paraId="5A14F8D2">
      <w:pPr>
        <w:pStyle w:val="30"/>
        <w:adjustRightInd w:val="0"/>
        <w:snapToGrid w:val="0"/>
        <w:spacing w:line="360" w:lineRule="auto"/>
        <w:rPr>
          <w:color w:val="333333"/>
        </w:rPr>
      </w:pPr>
      <w:r>
        <w:rPr>
          <w:rFonts w:hint="eastAsia"/>
          <w:color w:val="333333"/>
        </w:rPr>
        <w:t>　　</w:t>
      </w:r>
      <w:r>
        <w:rPr>
          <w:color w:val="333333"/>
        </w:rPr>
        <w:t>1.6</w:t>
      </w:r>
      <w:r>
        <w:rPr>
          <w:rFonts w:hint="eastAsia"/>
          <w:color w:val="333333"/>
        </w:rPr>
        <w:t>服务自合同生效之日起至服务工作完成之日止，供应商提供服务的同时，应及时向采购人报告服务工作推进情况和进展。</w:t>
      </w:r>
    </w:p>
    <w:p w14:paraId="0CED6319">
      <w:pPr>
        <w:pStyle w:val="30"/>
        <w:adjustRightInd w:val="0"/>
        <w:snapToGrid w:val="0"/>
        <w:spacing w:line="360" w:lineRule="auto"/>
        <w:rPr>
          <w:color w:val="333333"/>
        </w:rPr>
      </w:pPr>
      <w:r>
        <w:rPr>
          <w:rFonts w:hint="eastAsia"/>
          <w:color w:val="333333"/>
        </w:rPr>
        <w:t>　　第二条</w:t>
      </w:r>
      <w:r>
        <w:rPr>
          <w:color w:val="333333"/>
        </w:rPr>
        <w:t xml:space="preserve"> </w:t>
      </w:r>
      <w:r>
        <w:rPr>
          <w:rFonts w:hint="eastAsia"/>
          <w:color w:val="333333"/>
        </w:rPr>
        <w:t>双方的责任和义务</w:t>
      </w:r>
    </w:p>
    <w:p w14:paraId="528D272F">
      <w:pPr>
        <w:pStyle w:val="30"/>
        <w:adjustRightInd w:val="0"/>
        <w:snapToGrid w:val="0"/>
        <w:spacing w:line="360" w:lineRule="auto"/>
        <w:rPr>
          <w:color w:val="333333"/>
        </w:rPr>
      </w:pPr>
      <w:r>
        <w:rPr>
          <w:rFonts w:hint="eastAsia"/>
          <w:color w:val="333333"/>
        </w:rPr>
        <w:t>　　</w:t>
      </w:r>
      <w:r>
        <w:rPr>
          <w:color w:val="333333"/>
        </w:rPr>
        <w:t xml:space="preserve">2.1 </w:t>
      </w:r>
      <w:r>
        <w:rPr>
          <w:rFonts w:hint="eastAsia"/>
          <w:color w:val="333333"/>
        </w:rPr>
        <w:t>采购人应向供应商提供与项目有关的资料、图纸、信息等，并给予供应商开展工作提供力所能及的协助，在适当时候指定一名代表与供应商联系。</w:t>
      </w:r>
    </w:p>
    <w:p w14:paraId="651CE6ED">
      <w:pPr>
        <w:pStyle w:val="30"/>
        <w:adjustRightInd w:val="0"/>
        <w:snapToGrid w:val="0"/>
        <w:spacing w:line="360" w:lineRule="auto"/>
        <w:rPr>
          <w:color w:val="333333"/>
        </w:rPr>
      </w:pPr>
      <w:r>
        <w:rPr>
          <w:rFonts w:hint="eastAsia"/>
          <w:color w:val="333333"/>
        </w:rPr>
        <w:t>　　</w:t>
      </w:r>
      <w:r>
        <w:rPr>
          <w:color w:val="333333"/>
        </w:rPr>
        <w:t xml:space="preserve">2.2 </w:t>
      </w:r>
      <w:r>
        <w:rPr>
          <w:rFonts w:hint="eastAsia"/>
          <w:color w:val="333333"/>
        </w:rPr>
        <w:t>采购人应为供应商就项目服务推进提供正当工作便利，费用由供应商负担。</w:t>
      </w:r>
    </w:p>
    <w:p w14:paraId="4A7AF85C">
      <w:pPr>
        <w:pStyle w:val="30"/>
        <w:adjustRightInd w:val="0"/>
        <w:snapToGrid w:val="0"/>
        <w:spacing w:line="360" w:lineRule="auto"/>
        <w:rPr>
          <w:color w:val="333333"/>
        </w:rPr>
      </w:pPr>
      <w:r>
        <w:rPr>
          <w:rFonts w:hint="eastAsia"/>
          <w:color w:val="333333"/>
        </w:rPr>
        <w:t>　　</w:t>
      </w:r>
      <w:r>
        <w:rPr>
          <w:color w:val="333333"/>
        </w:rPr>
        <w:t xml:space="preserve">2.3 </w:t>
      </w:r>
      <w:r>
        <w:rPr>
          <w:rFonts w:hint="eastAsia"/>
          <w:color w:val="333333"/>
        </w:rPr>
        <w:t>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456C7FDD">
      <w:pPr>
        <w:pStyle w:val="30"/>
        <w:adjustRightInd w:val="0"/>
        <w:snapToGrid w:val="0"/>
        <w:spacing w:line="360" w:lineRule="auto"/>
        <w:rPr>
          <w:color w:val="333333"/>
        </w:rPr>
      </w:pPr>
      <w:r>
        <w:rPr>
          <w:rFonts w:hint="eastAsia"/>
          <w:color w:val="333333"/>
        </w:rPr>
        <w:t>　　</w:t>
      </w:r>
      <w:r>
        <w:rPr>
          <w:color w:val="333333"/>
        </w:rPr>
        <w:t xml:space="preserve">2.4 </w:t>
      </w:r>
      <w:r>
        <w:rPr>
          <w:rFonts w:hint="eastAsia"/>
          <w:color w:val="333333"/>
        </w:rPr>
        <w:t>供应商应根据服务的内容和进度安排，按时提交技术报告及有关资料。</w:t>
      </w:r>
    </w:p>
    <w:p w14:paraId="3B99D01E">
      <w:pPr>
        <w:pStyle w:val="30"/>
        <w:adjustRightInd w:val="0"/>
        <w:snapToGrid w:val="0"/>
        <w:spacing w:line="360" w:lineRule="auto"/>
        <w:rPr>
          <w:color w:val="333333"/>
        </w:rPr>
      </w:pPr>
      <w:r>
        <w:rPr>
          <w:rFonts w:hint="eastAsia"/>
          <w:color w:val="333333"/>
        </w:rPr>
        <w:t>　　</w:t>
      </w:r>
      <w:r>
        <w:rPr>
          <w:color w:val="333333"/>
        </w:rPr>
        <w:t xml:space="preserve">2.5 </w:t>
      </w:r>
      <w:r>
        <w:rPr>
          <w:rFonts w:hint="eastAsia"/>
          <w:color w:val="333333"/>
        </w:rPr>
        <w:t>供应商为采购人的技术人员前往供应商驻地和考察提供必要的设施和交通便利。</w:t>
      </w:r>
    </w:p>
    <w:p w14:paraId="589A46E5">
      <w:pPr>
        <w:pStyle w:val="30"/>
        <w:adjustRightInd w:val="0"/>
        <w:snapToGrid w:val="0"/>
        <w:spacing w:line="360" w:lineRule="auto"/>
        <w:rPr>
          <w:color w:val="333333"/>
        </w:rPr>
      </w:pPr>
      <w:r>
        <w:rPr>
          <w:rFonts w:hint="eastAsia"/>
          <w:color w:val="333333"/>
        </w:rPr>
        <w:t>　　</w:t>
      </w:r>
      <w:r>
        <w:rPr>
          <w:color w:val="333333"/>
        </w:rPr>
        <w:t xml:space="preserve">2.6 </w:t>
      </w:r>
      <w:r>
        <w:rPr>
          <w:rFonts w:hint="eastAsia"/>
          <w:color w:val="333333"/>
        </w:rPr>
        <w:t>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6BAE10A0">
      <w:pPr>
        <w:pStyle w:val="30"/>
        <w:adjustRightInd w:val="0"/>
        <w:snapToGrid w:val="0"/>
        <w:spacing w:line="360" w:lineRule="auto"/>
        <w:rPr>
          <w:color w:val="333333"/>
        </w:rPr>
      </w:pPr>
      <w:r>
        <w:rPr>
          <w:rFonts w:hint="eastAsia"/>
          <w:color w:val="333333"/>
        </w:rPr>
        <w:t>　　</w:t>
      </w:r>
      <w:r>
        <w:rPr>
          <w:color w:val="333333"/>
        </w:rPr>
        <w:t xml:space="preserve">2.7 </w:t>
      </w:r>
      <w:r>
        <w:rPr>
          <w:rFonts w:hint="eastAsia"/>
          <w:color w:val="333333"/>
        </w:rPr>
        <w:t>供应商对本合同的任何付出和所有责任都限定在供应商因付出专业服务而收到的合同总价之内。</w:t>
      </w:r>
    </w:p>
    <w:p w14:paraId="3FB64450">
      <w:pPr>
        <w:pStyle w:val="30"/>
        <w:adjustRightInd w:val="0"/>
        <w:snapToGrid w:val="0"/>
        <w:spacing w:line="360" w:lineRule="auto"/>
        <w:ind w:firstLine="560"/>
        <w:rPr>
          <w:color w:val="333333"/>
        </w:rPr>
      </w:pPr>
      <w:r>
        <w:rPr>
          <w:rFonts w:hint="eastAsia"/>
          <w:color w:val="333333"/>
        </w:rPr>
        <w:t>第三条</w:t>
      </w:r>
      <w:r>
        <w:rPr>
          <w:color w:val="333333"/>
        </w:rPr>
        <w:t xml:space="preserve"> </w:t>
      </w:r>
      <w:r>
        <w:rPr>
          <w:rFonts w:hint="eastAsia"/>
          <w:color w:val="333333"/>
        </w:rPr>
        <w:t>服务报酬</w:t>
      </w:r>
    </w:p>
    <w:p w14:paraId="0F145F4F">
      <w:pPr>
        <w:adjustRightInd w:val="0"/>
        <w:snapToGrid w:val="0"/>
        <w:spacing w:line="360" w:lineRule="auto"/>
        <w:ind w:firstLine="420" w:firstLineChars="200"/>
        <w:rPr>
          <w:rFonts w:ascii="宋体"/>
          <w:color w:val="333333"/>
        </w:rPr>
      </w:pPr>
      <w:r>
        <w:rPr>
          <w:rFonts w:ascii="宋体" w:hAnsi="宋体"/>
          <w:bCs/>
        </w:rPr>
        <w:t>3.1</w:t>
      </w:r>
      <w:r>
        <w:rPr>
          <w:rFonts w:hint="eastAsia" w:ascii="宋体" w:hAnsi="宋体"/>
          <w:bCs/>
        </w:rPr>
        <w:t>计取依据：</w:t>
      </w:r>
      <w:r>
        <w:rPr>
          <w:rFonts w:ascii="宋体" w:hAnsi="宋体"/>
          <w:bCs/>
        </w:rPr>
        <w:t>________________________</w:t>
      </w:r>
      <w:r>
        <w:rPr>
          <w:rFonts w:hint="eastAsia" w:ascii="宋体" w:hAnsi="宋体"/>
        </w:rPr>
        <w:t>。</w:t>
      </w:r>
    </w:p>
    <w:p w14:paraId="45C0D345">
      <w:pPr>
        <w:pStyle w:val="30"/>
        <w:adjustRightInd w:val="0"/>
        <w:snapToGrid w:val="0"/>
        <w:spacing w:line="360" w:lineRule="auto"/>
        <w:rPr>
          <w:color w:val="333333"/>
        </w:rPr>
      </w:pPr>
      <w:r>
        <w:rPr>
          <w:rFonts w:hint="eastAsia"/>
          <w:color w:val="333333"/>
        </w:rPr>
        <w:t>　　</w:t>
      </w:r>
      <w:r>
        <w:rPr>
          <w:color w:val="333333"/>
        </w:rPr>
        <w:t xml:space="preserve">3.2 </w:t>
      </w:r>
      <w:r>
        <w:rPr>
          <w:rFonts w:hint="eastAsia"/>
          <w:color w:val="333333"/>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0698AC90">
      <w:pPr>
        <w:pStyle w:val="30"/>
        <w:adjustRightInd w:val="0"/>
        <w:snapToGrid w:val="0"/>
        <w:spacing w:line="360" w:lineRule="auto"/>
        <w:rPr>
          <w:color w:val="333333"/>
        </w:rPr>
      </w:pPr>
      <w:r>
        <w:rPr>
          <w:rFonts w:hint="eastAsia"/>
          <w:color w:val="333333"/>
        </w:rPr>
        <w:t>　　</w:t>
      </w:r>
      <w:r>
        <w:rPr>
          <w:color w:val="333333"/>
        </w:rPr>
        <w:t>3.3</w:t>
      </w:r>
      <w:r>
        <w:rPr>
          <w:rFonts w:hint="eastAsia"/>
          <w:color w:val="333333"/>
        </w:rPr>
        <w:t>服务价款支付：</w:t>
      </w:r>
      <w:r>
        <w:rPr>
          <w:color w:val="333333"/>
        </w:rPr>
        <w:t>______________________________</w:t>
      </w:r>
      <w:r>
        <w:rPr>
          <w:rFonts w:hint="eastAsia"/>
          <w:color w:val="333333"/>
        </w:rPr>
        <w:t>。</w:t>
      </w:r>
    </w:p>
    <w:p w14:paraId="10CA1F95">
      <w:pPr>
        <w:pStyle w:val="30"/>
        <w:adjustRightInd w:val="0"/>
        <w:snapToGrid w:val="0"/>
        <w:spacing w:line="360" w:lineRule="auto"/>
        <w:ind w:firstLine="560"/>
        <w:rPr>
          <w:rFonts w:cs="仿宋"/>
          <w:color w:val="000000"/>
        </w:rPr>
      </w:pPr>
      <w:r>
        <w:rPr>
          <w:color w:val="333333"/>
        </w:rPr>
        <w:t xml:space="preserve">3.4 </w:t>
      </w:r>
      <w:r>
        <w:rPr>
          <w:rFonts w:hint="eastAsia"/>
          <w:color w:val="333333"/>
        </w:rPr>
        <w:t>对供应商提供的服务，采购人将以上述方式或比例予以付款。</w:t>
      </w:r>
      <w:r>
        <w:rPr>
          <w:rFonts w:hint="eastAsia" w:cs="仿宋"/>
          <w:color w:val="000000"/>
        </w:rPr>
        <w:t>采购人向供应商支付服务报酬时，供应商按照财务制度提供发票。</w:t>
      </w:r>
    </w:p>
    <w:p w14:paraId="446977E2">
      <w:pPr>
        <w:pStyle w:val="30"/>
        <w:adjustRightInd w:val="0"/>
        <w:snapToGrid w:val="0"/>
        <w:spacing w:line="360" w:lineRule="auto"/>
        <w:rPr>
          <w:color w:val="333333"/>
        </w:rPr>
      </w:pPr>
      <w:r>
        <w:rPr>
          <w:rFonts w:hint="eastAsia"/>
          <w:color w:val="333333"/>
        </w:rPr>
        <w:t>　　第四条</w:t>
      </w:r>
      <w:r>
        <w:rPr>
          <w:color w:val="333333"/>
        </w:rPr>
        <w:t xml:space="preserve"> </w:t>
      </w:r>
      <w:r>
        <w:rPr>
          <w:rFonts w:hint="eastAsia"/>
          <w:color w:val="333333"/>
        </w:rPr>
        <w:t>保密</w:t>
      </w:r>
    </w:p>
    <w:p w14:paraId="4E510589">
      <w:pPr>
        <w:pStyle w:val="30"/>
        <w:adjustRightInd w:val="0"/>
        <w:snapToGrid w:val="0"/>
        <w:spacing w:line="360" w:lineRule="auto"/>
        <w:rPr>
          <w:color w:val="333333"/>
        </w:rPr>
      </w:pPr>
      <w:r>
        <w:rPr>
          <w:rFonts w:hint="eastAsia"/>
          <w:color w:val="333333"/>
        </w:rPr>
        <w:t>　　</w:t>
      </w:r>
      <w:r>
        <w:rPr>
          <w:color w:val="333333"/>
        </w:rPr>
        <w:t xml:space="preserve">4.1 </w:t>
      </w:r>
      <w:r>
        <w:rPr>
          <w:rFonts w:hint="eastAsia"/>
          <w:color w:val="333333"/>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5EEA2782">
      <w:pPr>
        <w:pStyle w:val="30"/>
        <w:adjustRightInd w:val="0"/>
        <w:snapToGrid w:val="0"/>
        <w:spacing w:line="360" w:lineRule="auto"/>
        <w:rPr>
          <w:color w:val="333333"/>
        </w:rPr>
      </w:pPr>
      <w:r>
        <w:rPr>
          <w:rFonts w:hint="eastAsia"/>
          <w:color w:val="333333"/>
        </w:rPr>
        <w:t>　　</w:t>
      </w:r>
      <w:r>
        <w:rPr>
          <w:color w:val="333333"/>
        </w:rPr>
        <w:t xml:space="preserve">4.2 </w:t>
      </w:r>
      <w:r>
        <w:rPr>
          <w:rFonts w:hint="eastAsia"/>
          <w:color w:val="333333"/>
        </w:rPr>
        <w:t>合同有效期内，双方采取适当措施对相关资料或信息予以严格保密，未经一方的书面同意，另一方不得泄露给任何第三方。</w:t>
      </w:r>
    </w:p>
    <w:p w14:paraId="732F9233">
      <w:pPr>
        <w:pStyle w:val="30"/>
        <w:adjustRightInd w:val="0"/>
        <w:snapToGrid w:val="0"/>
        <w:spacing w:line="360" w:lineRule="auto"/>
        <w:rPr>
          <w:color w:val="333333"/>
        </w:rPr>
      </w:pPr>
      <w:r>
        <w:rPr>
          <w:rFonts w:hint="eastAsia"/>
          <w:color w:val="333333"/>
        </w:rPr>
        <w:t>　　</w:t>
      </w:r>
      <w:r>
        <w:rPr>
          <w:color w:val="333333"/>
        </w:rPr>
        <w:t xml:space="preserve">4.3 </w:t>
      </w:r>
      <w:r>
        <w:rPr>
          <w:rFonts w:hint="eastAsia"/>
          <w:color w:val="333333"/>
        </w:rPr>
        <w:t>一方和其技术人员在履行合同过程中所获得或接触到的任何保密信息，另一方有义务予以保密，未经其书面同意，任何一方不得使用或泄露从他方获得的上述保密信息。</w:t>
      </w:r>
    </w:p>
    <w:p w14:paraId="56B445A7">
      <w:pPr>
        <w:pStyle w:val="30"/>
        <w:adjustRightInd w:val="0"/>
        <w:snapToGrid w:val="0"/>
        <w:spacing w:line="360" w:lineRule="auto"/>
        <w:rPr>
          <w:color w:val="333333"/>
        </w:rPr>
      </w:pPr>
      <w:r>
        <w:rPr>
          <w:rFonts w:hint="eastAsia"/>
          <w:color w:val="333333"/>
        </w:rPr>
        <w:t>　　第五条</w:t>
      </w:r>
      <w:r>
        <w:rPr>
          <w:color w:val="333333"/>
        </w:rPr>
        <w:t xml:space="preserve"> </w:t>
      </w:r>
      <w:r>
        <w:rPr>
          <w:rFonts w:hint="eastAsia"/>
          <w:color w:val="333333"/>
        </w:rPr>
        <w:t>税费</w:t>
      </w:r>
    </w:p>
    <w:p w14:paraId="4511D381">
      <w:pPr>
        <w:pStyle w:val="30"/>
        <w:adjustRightInd w:val="0"/>
        <w:snapToGrid w:val="0"/>
        <w:spacing w:line="360" w:lineRule="auto"/>
        <w:rPr>
          <w:color w:val="333333"/>
        </w:rPr>
      </w:pPr>
      <w:r>
        <w:rPr>
          <w:rFonts w:hint="eastAsia"/>
          <w:color w:val="333333"/>
        </w:rPr>
        <w:t>　　</w:t>
      </w:r>
      <w:r>
        <w:rPr>
          <w:color w:val="333333"/>
        </w:rPr>
        <w:t xml:space="preserve">5.1 </w:t>
      </w:r>
      <w:r>
        <w:rPr>
          <w:rFonts w:hint="eastAsia"/>
          <w:color w:val="333333"/>
        </w:rPr>
        <w:t>国家根据税法对甲乙双方征收的与执行本合同或与本合同有关的一切税费均由甲乙双方各自方负担。</w:t>
      </w:r>
    </w:p>
    <w:p w14:paraId="0B81A22A">
      <w:pPr>
        <w:pStyle w:val="30"/>
        <w:adjustRightInd w:val="0"/>
        <w:snapToGrid w:val="0"/>
        <w:spacing w:line="360" w:lineRule="auto"/>
        <w:rPr>
          <w:color w:val="333333"/>
        </w:rPr>
      </w:pPr>
      <w:r>
        <w:rPr>
          <w:rFonts w:hint="eastAsia"/>
          <w:color w:val="333333"/>
        </w:rPr>
        <w:t>　　第六条</w:t>
      </w:r>
      <w:r>
        <w:rPr>
          <w:color w:val="333333"/>
        </w:rPr>
        <w:t xml:space="preserve"> </w:t>
      </w:r>
      <w:r>
        <w:rPr>
          <w:rFonts w:hint="eastAsia"/>
          <w:color w:val="333333"/>
        </w:rPr>
        <w:t>保证</w:t>
      </w:r>
    </w:p>
    <w:p w14:paraId="661DD4AB">
      <w:pPr>
        <w:pStyle w:val="30"/>
        <w:adjustRightInd w:val="0"/>
        <w:snapToGrid w:val="0"/>
        <w:spacing w:line="360" w:lineRule="auto"/>
        <w:rPr>
          <w:color w:val="333333"/>
        </w:rPr>
      </w:pPr>
      <w:r>
        <w:rPr>
          <w:rFonts w:hint="eastAsia"/>
          <w:color w:val="333333"/>
        </w:rPr>
        <w:t>　　</w:t>
      </w:r>
      <w:r>
        <w:rPr>
          <w:color w:val="333333"/>
        </w:rPr>
        <w:t xml:space="preserve">6.1 </w:t>
      </w:r>
      <w:r>
        <w:rPr>
          <w:rFonts w:hint="eastAsia"/>
          <w:color w:val="333333"/>
        </w:rPr>
        <w:t>供应商保证其经验和能力能以令人满意的方式富有效率且迅速地开展服务，其合同项下的服务由胜任的技术人员依据双方接受的标准完成。</w:t>
      </w:r>
    </w:p>
    <w:p w14:paraId="3E10F451">
      <w:pPr>
        <w:pStyle w:val="30"/>
        <w:adjustRightInd w:val="0"/>
        <w:snapToGrid w:val="0"/>
        <w:spacing w:line="360" w:lineRule="auto"/>
        <w:rPr>
          <w:color w:val="333333"/>
        </w:rPr>
      </w:pPr>
      <w:r>
        <w:rPr>
          <w:rFonts w:hint="eastAsia"/>
          <w:color w:val="333333"/>
        </w:rPr>
        <w:t>　　</w:t>
      </w:r>
      <w:r>
        <w:rPr>
          <w:color w:val="333333"/>
        </w:rPr>
        <w:t xml:space="preserve">6.2 </w:t>
      </w:r>
      <w:r>
        <w:rPr>
          <w:rFonts w:hint="eastAsia"/>
          <w:color w:val="333333"/>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52474D21">
      <w:pPr>
        <w:pStyle w:val="30"/>
        <w:adjustRightInd w:val="0"/>
        <w:snapToGrid w:val="0"/>
        <w:spacing w:line="360" w:lineRule="auto"/>
        <w:rPr>
          <w:color w:val="333333"/>
        </w:rPr>
      </w:pPr>
      <w:r>
        <w:rPr>
          <w:rFonts w:hint="eastAsia"/>
          <w:color w:val="333333"/>
        </w:rPr>
        <w:t>　　第七条</w:t>
      </w:r>
      <w:r>
        <w:rPr>
          <w:color w:val="333333"/>
        </w:rPr>
        <w:t xml:space="preserve"> </w:t>
      </w:r>
      <w:r>
        <w:rPr>
          <w:rFonts w:hint="eastAsia"/>
          <w:color w:val="333333"/>
        </w:rPr>
        <w:t>服务成果的归属</w:t>
      </w:r>
    </w:p>
    <w:p w14:paraId="7727F659">
      <w:pPr>
        <w:pStyle w:val="30"/>
        <w:adjustRightInd w:val="0"/>
        <w:snapToGrid w:val="0"/>
        <w:spacing w:line="360" w:lineRule="auto"/>
        <w:rPr>
          <w:color w:val="333333"/>
        </w:rPr>
      </w:pPr>
      <w:r>
        <w:rPr>
          <w:rFonts w:hint="eastAsia"/>
          <w:color w:val="333333"/>
        </w:rPr>
        <w:t>　　</w:t>
      </w:r>
      <w:r>
        <w:rPr>
          <w:color w:val="333333"/>
        </w:rPr>
        <w:t xml:space="preserve">7.1 </w:t>
      </w:r>
      <w:r>
        <w:rPr>
          <w:rFonts w:hint="eastAsia"/>
          <w:color w:val="333333"/>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71C2F6F7">
      <w:pPr>
        <w:pStyle w:val="30"/>
        <w:adjustRightInd w:val="0"/>
        <w:snapToGrid w:val="0"/>
        <w:spacing w:line="360" w:lineRule="auto"/>
        <w:rPr>
          <w:color w:val="333333"/>
        </w:rPr>
      </w:pPr>
      <w:r>
        <w:rPr>
          <w:rFonts w:hint="eastAsia"/>
          <w:color w:val="333333"/>
        </w:rPr>
        <w:t>　　</w:t>
      </w:r>
      <w:r>
        <w:rPr>
          <w:color w:val="333333"/>
        </w:rPr>
        <w:t xml:space="preserve">7.2 </w:t>
      </w:r>
      <w:r>
        <w:rPr>
          <w:rFonts w:hint="eastAsia"/>
          <w:color w:val="333333"/>
        </w:rPr>
        <w:t>供应商可保存上述资料的复印件，包括采购人提供的资料，但未经采购人的书面同意，供应商不得将上述资料用于与本服务项目之外的任何项目。</w:t>
      </w:r>
    </w:p>
    <w:p w14:paraId="40F977E4">
      <w:pPr>
        <w:pStyle w:val="30"/>
        <w:adjustRightInd w:val="0"/>
        <w:snapToGrid w:val="0"/>
        <w:spacing w:line="360" w:lineRule="auto"/>
        <w:rPr>
          <w:color w:val="333333"/>
        </w:rPr>
      </w:pPr>
      <w:r>
        <w:rPr>
          <w:rFonts w:hint="eastAsia"/>
          <w:color w:val="333333"/>
        </w:rPr>
        <w:t>　　第八条</w:t>
      </w:r>
      <w:r>
        <w:rPr>
          <w:color w:val="333333"/>
        </w:rPr>
        <w:t xml:space="preserve"> </w:t>
      </w:r>
      <w:r>
        <w:rPr>
          <w:rFonts w:hint="eastAsia"/>
          <w:color w:val="333333"/>
        </w:rPr>
        <w:t>转让</w:t>
      </w:r>
    </w:p>
    <w:p w14:paraId="076C5DB5">
      <w:pPr>
        <w:pStyle w:val="30"/>
        <w:adjustRightInd w:val="0"/>
        <w:snapToGrid w:val="0"/>
        <w:spacing w:line="360" w:lineRule="auto"/>
        <w:rPr>
          <w:color w:val="333333"/>
        </w:rPr>
      </w:pPr>
      <w:r>
        <w:rPr>
          <w:rFonts w:hint="eastAsia"/>
          <w:color w:val="333333"/>
        </w:rPr>
        <w:t>　　</w:t>
      </w:r>
      <w:r>
        <w:rPr>
          <w:color w:val="333333"/>
        </w:rPr>
        <w:t xml:space="preserve">8.1 </w:t>
      </w:r>
      <w:r>
        <w:rPr>
          <w:rFonts w:hint="eastAsia"/>
          <w:color w:val="333333"/>
        </w:rPr>
        <w:t>未经另一方事先书面同意，无论是采购人或是供应商均不得将其合同权利或义务转让或转包给他人。</w:t>
      </w:r>
    </w:p>
    <w:p w14:paraId="6D11BFA1">
      <w:pPr>
        <w:pStyle w:val="30"/>
        <w:adjustRightInd w:val="0"/>
        <w:snapToGrid w:val="0"/>
        <w:spacing w:line="360" w:lineRule="auto"/>
        <w:rPr>
          <w:color w:val="333333"/>
        </w:rPr>
      </w:pPr>
      <w:r>
        <w:rPr>
          <w:rFonts w:hint="eastAsia"/>
          <w:color w:val="333333"/>
        </w:rPr>
        <w:t>　　第九条</w:t>
      </w:r>
      <w:r>
        <w:rPr>
          <w:color w:val="333333"/>
        </w:rPr>
        <w:t xml:space="preserve"> </w:t>
      </w:r>
      <w:r>
        <w:rPr>
          <w:rFonts w:hint="eastAsia"/>
          <w:color w:val="333333"/>
        </w:rPr>
        <w:t>不可抗力</w:t>
      </w:r>
    </w:p>
    <w:p w14:paraId="074D8AFD">
      <w:pPr>
        <w:pStyle w:val="30"/>
        <w:adjustRightInd w:val="0"/>
        <w:snapToGrid w:val="0"/>
        <w:spacing w:line="360" w:lineRule="auto"/>
        <w:rPr>
          <w:color w:val="333333"/>
        </w:rPr>
      </w:pPr>
      <w:r>
        <w:rPr>
          <w:rFonts w:hint="eastAsia"/>
          <w:color w:val="333333"/>
        </w:rPr>
        <w:t>　　</w:t>
      </w:r>
      <w:r>
        <w:rPr>
          <w:color w:val="333333"/>
        </w:rPr>
        <w:t xml:space="preserve">9.1 </w:t>
      </w:r>
      <w:r>
        <w:rPr>
          <w:rFonts w:hint="eastAsia"/>
          <w:color w:val="333333"/>
        </w:rPr>
        <w:t>任何一方由于战争及严重的火灾、台风、地震、水灾和其它不能预见、不可避免和不能克服的事件而影响其履行合同所规定的义务的，受事故影响的一方将发生的不可抗力事故的情况及时通知另一方。</w:t>
      </w:r>
    </w:p>
    <w:p w14:paraId="309ED6B4">
      <w:pPr>
        <w:pStyle w:val="30"/>
        <w:adjustRightInd w:val="0"/>
        <w:snapToGrid w:val="0"/>
        <w:spacing w:line="360" w:lineRule="auto"/>
        <w:rPr>
          <w:color w:val="333333"/>
        </w:rPr>
      </w:pPr>
      <w:r>
        <w:rPr>
          <w:rFonts w:hint="eastAsia"/>
          <w:color w:val="333333"/>
        </w:rPr>
        <w:t>　　</w:t>
      </w:r>
      <w:r>
        <w:rPr>
          <w:color w:val="333333"/>
        </w:rPr>
        <w:t xml:space="preserve">9.2 </w:t>
      </w:r>
      <w:r>
        <w:rPr>
          <w:rFonts w:hint="eastAsia"/>
          <w:color w:val="333333"/>
        </w:rPr>
        <w:t>受影响的一方对因不可抗力而不能履行或延迟履行合同义务不承担责任。受影响的一方应在不可抗力事故消除后尽快通知另一方。</w:t>
      </w:r>
    </w:p>
    <w:p w14:paraId="44EA01F7">
      <w:pPr>
        <w:pStyle w:val="30"/>
        <w:adjustRightInd w:val="0"/>
        <w:snapToGrid w:val="0"/>
        <w:spacing w:line="360" w:lineRule="auto"/>
        <w:rPr>
          <w:color w:val="333333"/>
        </w:rPr>
      </w:pPr>
      <w:r>
        <w:rPr>
          <w:rFonts w:hint="eastAsia"/>
          <w:color w:val="333333"/>
        </w:rPr>
        <w:t>　　</w:t>
      </w:r>
      <w:r>
        <w:rPr>
          <w:color w:val="333333"/>
        </w:rPr>
        <w:t xml:space="preserve">9.3 </w:t>
      </w:r>
      <w:r>
        <w:rPr>
          <w:rFonts w:hint="eastAsia"/>
          <w:color w:val="333333"/>
        </w:rPr>
        <w:t>双方在不可抗力事故停止后或影响消除后立即继续履行合同义务，合同有效期和</w:t>
      </w:r>
      <w:r>
        <w:rPr>
          <w:color w:val="333333"/>
        </w:rPr>
        <w:t>/</w:t>
      </w:r>
      <w:r>
        <w:rPr>
          <w:rFonts w:hint="eastAsia"/>
          <w:color w:val="333333"/>
        </w:rPr>
        <w:t>或有关履行合同的预定的期限相应延长。</w:t>
      </w:r>
    </w:p>
    <w:p w14:paraId="33A15C37">
      <w:pPr>
        <w:pStyle w:val="30"/>
        <w:adjustRightInd w:val="0"/>
        <w:snapToGrid w:val="0"/>
        <w:spacing w:line="360" w:lineRule="auto"/>
        <w:rPr>
          <w:color w:val="333333"/>
        </w:rPr>
      </w:pPr>
      <w:r>
        <w:rPr>
          <w:rFonts w:hint="eastAsia"/>
          <w:color w:val="333333"/>
        </w:rPr>
        <w:t>　　第十条</w:t>
      </w:r>
      <w:r>
        <w:rPr>
          <w:color w:val="333333"/>
        </w:rPr>
        <w:t xml:space="preserve"> </w:t>
      </w:r>
      <w:r>
        <w:rPr>
          <w:rFonts w:hint="eastAsia"/>
          <w:color w:val="333333"/>
        </w:rPr>
        <w:t>仲裁</w:t>
      </w:r>
    </w:p>
    <w:p w14:paraId="1533340A">
      <w:pPr>
        <w:pStyle w:val="30"/>
        <w:adjustRightInd w:val="0"/>
        <w:snapToGrid w:val="0"/>
        <w:spacing w:line="360" w:lineRule="auto"/>
        <w:rPr>
          <w:color w:val="333333"/>
        </w:rPr>
      </w:pPr>
      <w:r>
        <w:rPr>
          <w:rFonts w:hint="eastAsia"/>
          <w:color w:val="333333"/>
        </w:rPr>
        <w:t>　　</w:t>
      </w:r>
      <w:r>
        <w:rPr>
          <w:color w:val="333333"/>
        </w:rPr>
        <w:t xml:space="preserve">10.1 </w:t>
      </w:r>
      <w:r>
        <w:rPr>
          <w:rFonts w:hint="eastAsia"/>
          <w:color w:val="333333"/>
        </w:rPr>
        <w:t>因本合同履行引起的或与本合同有关的任何争议，可提交</w:t>
      </w:r>
      <w:r>
        <w:rPr>
          <w:color w:val="333333"/>
        </w:rPr>
        <w:t>_______</w:t>
      </w:r>
      <w:r>
        <w:rPr>
          <w:rFonts w:hint="eastAsia"/>
          <w:color w:val="333333"/>
        </w:rPr>
        <w:t>仲裁委员会仲裁，仲裁裁决是终局的，对双方均有约束力。</w:t>
      </w:r>
    </w:p>
    <w:p w14:paraId="5B388BFD">
      <w:pPr>
        <w:pStyle w:val="30"/>
        <w:adjustRightInd w:val="0"/>
        <w:snapToGrid w:val="0"/>
        <w:spacing w:line="360" w:lineRule="auto"/>
        <w:rPr>
          <w:color w:val="333333"/>
        </w:rPr>
      </w:pPr>
      <w:r>
        <w:rPr>
          <w:rFonts w:hint="eastAsia"/>
          <w:color w:val="333333"/>
        </w:rPr>
        <w:t>　　</w:t>
      </w:r>
      <w:r>
        <w:rPr>
          <w:color w:val="333333"/>
        </w:rPr>
        <w:t xml:space="preserve">10.2 </w:t>
      </w:r>
      <w:r>
        <w:rPr>
          <w:rFonts w:hint="eastAsia"/>
          <w:color w:val="333333"/>
        </w:rPr>
        <w:t>除非另有规定，仲裁不得影响合同双方继续履行合同所规定的义务。</w:t>
      </w:r>
    </w:p>
    <w:p w14:paraId="37E86539">
      <w:pPr>
        <w:pStyle w:val="30"/>
        <w:adjustRightInd w:val="0"/>
        <w:snapToGrid w:val="0"/>
        <w:spacing w:line="360" w:lineRule="auto"/>
        <w:rPr>
          <w:color w:val="333333"/>
        </w:rPr>
      </w:pPr>
      <w:r>
        <w:rPr>
          <w:rFonts w:hint="eastAsia"/>
          <w:color w:val="333333"/>
        </w:rPr>
        <w:t>　　第十一条</w:t>
      </w:r>
      <w:r>
        <w:rPr>
          <w:color w:val="333333"/>
        </w:rPr>
        <w:t xml:space="preserve"> </w:t>
      </w:r>
      <w:r>
        <w:rPr>
          <w:rFonts w:hint="eastAsia"/>
          <w:color w:val="333333"/>
        </w:rPr>
        <w:t>语言和标准</w:t>
      </w:r>
    </w:p>
    <w:p w14:paraId="5EA8248B">
      <w:pPr>
        <w:pStyle w:val="30"/>
        <w:adjustRightInd w:val="0"/>
        <w:snapToGrid w:val="0"/>
        <w:spacing w:line="360" w:lineRule="auto"/>
        <w:rPr>
          <w:color w:val="333333"/>
        </w:rPr>
      </w:pPr>
      <w:r>
        <w:rPr>
          <w:rFonts w:hint="eastAsia"/>
          <w:color w:val="333333"/>
        </w:rPr>
        <w:t>　　</w:t>
      </w:r>
      <w:r>
        <w:rPr>
          <w:color w:val="333333"/>
        </w:rPr>
        <w:t xml:space="preserve">11.1 </w:t>
      </w:r>
      <w:r>
        <w:rPr>
          <w:rFonts w:hint="eastAsia"/>
          <w:color w:val="333333"/>
        </w:rPr>
        <w:t>除本合同及附件外，采购人和供应商之间的所有往来函件，供应商给采购人的资料、文件和技术咨询报告、图纸等均采用中文。</w:t>
      </w:r>
    </w:p>
    <w:p w14:paraId="64E78062">
      <w:pPr>
        <w:pStyle w:val="30"/>
        <w:adjustRightInd w:val="0"/>
        <w:snapToGrid w:val="0"/>
        <w:spacing w:line="360" w:lineRule="auto"/>
        <w:rPr>
          <w:color w:val="333333"/>
        </w:rPr>
      </w:pPr>
      <w:r>
        <w:rPr>
          <w:rFonts w:hint="eastAsia"/>
          <w:color w:val="333333"/>
        </w:rPr>
        <w:t>　　第十二条</w:t>
      </w:r>
      <w:r>
        <w:rPr>
          <w:color w:val="333333"/>
        </w:rPr>
        <w:t xml:space="preserve"> </w:t>
      </w:r>
      <w:r>
        <w:rPr>
          <w:rFonts w:hint="eastAsia"/>
          <w:color w:val="333333"/>
        </w:rPr>
        <w:t>合同的生效及其它</w:t>
      </w:r>
    </w:p>
    <w:p w14:paraId="78D7C10B">
      <w:pPr>
        <w:pStyle w:val="30"/>
        <w:adjustRightInd w:val="0"/>
        <w:snapToGrid w:val="0"/>
        <w:spacing w:line="360" w:lineRule="auto"/>
        <w:rPr>
          <w:color w:val="333333"/>
        </w:rPr>
      </w:pPr>
      <w:r>
        <w:rPr>
          <w:rFonts w:hint="eastAsia"/>
          <w:color w:val="333333"/>
        </w:rPr>
        <w:t>　　</w:t>
      </w:r>
      <w:r>
        <w:rPr>
          <w:color w:val="333333"/>
        </w:rPr>
        <w:t>12.1</w:t>
      </w:r>
      <w:r>
        <w:rPr>
          <w:rFonts w:hint="eastAsia"/>
          <w:color w:val="333333"/>
        </w:rPr>
        <w:t>本合同自双方签字盖章之日起生效，有效期自合同生效之日起为服务工作结束且支付完毕服务报酬后失效。。</w:t>
      </w:r>
    </w:p>
    <w:p w14:paraId="58427A1C">
      <w:pPr>
        <w:pStyle w:val="30"/>
        <w:adjustRightInd w:val="0"/>
        <w:snapToGrid w:val="0"/>
        <w:spacing w:line="360" w:lineRule="auto"/>
        <w:rPr>
          <w:color w:val="333333"/>
        </w:rPr>
      </w:pPr>
      <w:r>
        <w:rPr>
          <w:rFonts w:hint="eastAsia"/>
          <w:color w:val="333333"/>
        </w:rPr>
        <w:t>　　</w:t>
      </w:r>
      <w:r>
        <w:rPr>
          <w:color w:val="333333"/>
        </w:rPr>
        <w:t xml:space="preserve">12.2 </w:t>
      </w:r>
      <w:r>
        <w:rPr>
          <w:rFonts w:hint="eastAsia"/>
          <w:color w:val="333333"/>
        </w:rPr>
        <w:t>所有对本合同的修订、补充、删减、或变更等均以书面完成并经双方授权代表签字后生效。生效的修订、补充、删减、或变更构成本合同不可分割的组成部分，与合同正文具有同等法律效力。</w:t>
      </w:r>
    </w:p>
    <w:p w14:paraId="379A8626">
      <w:pPr>
        <w:pStyle w:val="30"/>
        <w:adjustRightInd w:val="0"/>
        <w:snapToGrid w:val="0"/>
        <w:spacing w:line="360" w:lineRule="auto"/>
        <w:ind w:firstLine="480"/>
        <w:rPr>
          <w:color w:val="333333"/>
        </w:rPr>
      </w:pPr>
      <w:r>
        <w:rPr>
          <w:color w:val="333333"/>
        </w:rPr>
        <w:t>12.3</w:t>
      </w:r>
      <w:r>
        <w:rPr>
          <w:rFonts w:hint="eastAsia"/>
          <w:color w:val="333333"/>
        </w:rPr>
        <w:t>双方之间的联系应以书面形式进行。</w:t>
      </w:r>
    </w:p>
    <w:p w14:paraId="3EBA7D93">
      <w:pPr>
        <w:pStyle w:val="30"/>
        <w:adjustRightInd w:val="0"/>
        <w:snapToGrid w:val="0"/>
        <w:spacing w:line="360" w:lineRule="auto"/>
        <w:ind w:firstLine="480"/>
        <w:rPr>
          <w:color w:val="333333"/>
        </w:rPr>
      </w:pPr>
      <w:r>
        <w:rPr>
          <w:color w:val="333333"/>
        </w:rPr>
        <w:t xml:space="preserve">12.4 </w:t>
      </w:r>
      <w:r>
        <w:rPr>
          <w:rFonts w:hint="eastAsia"/>
          <w:color w:val="333333"/>
        </w:rPr>
        <w:t>补充条款：</w:t>
      </w:r>
      <w:r>
        <w:rPr>
          <w:color w:val="333333"/>
        </w:rPr>
        <w:t>_____________________</w:t>
      </w:r>
      <w:r>
        <w:rPr>
          <w:rFonts w:hint="eastAsia"/>
          <w:color w:val="333333"/>
        </w:rPr>
        <w:t>。</w:t>
      </w:r>
    </w:p>
    <w:p w14:paraId="59835C7D">
      <w:pPr>
        <w:pStyle w:val="30"/>
        <w:spacing w:line="440" w:lineRule="exact"/>
        <w:ind w:firstLine="560"/>
        <w:rPr>
          <w:color w:val="333333"/>
          <w:sz w:val="28"/>
          <w:szCs w:val="28"/>
        </w:rPr>
      </w:pPr>
    </w:p>
    <w:p w14:paraId="69C63B2F">
      <w:pPr>
        <w:pStyle w:val="30"/>
        <w:spacing w:line="440" w:lineRule="exact"/>
        <w:ind w:firstLine="560"/>
        <w:rPr>
          <w:rFonts w:cs="仿宋"/>
          <w:sz w:val="28"/>
          <w:szCs w:val="28"/>
        </w:rPr>
      </w:pPr>
    </w:p>
    <w:sectPr>
      <w:footerReference r:id="rId21" w:type="default"/>
      <w:type w:val="continuous"/>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modern"/>
    <w:pitch w:val="default"/>
    <w:sig w:usb0="00000000" w:usb1="00000000" w:usb2="00000000"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2E9B4">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B0652">
    <w:pPr>
      <w:jc w:val="center"/>
    </w:pPr>
    <w:r>
      <w:fldChar w:fldCharType="begin"/>
    </w:r>
    <w:r>
      <w:instrText xml:space="preserve"> PAGE   \* MERGEFORMAT </w:instrText>
    </w:r>
    <w:r>
      <w:fldChar w:fldCharType="separate"/>
    </w:r>
    <w: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03EE">
    <w:pPr>
      <w:pStyle w:val="23"/>
      <w:ind w:left="420" w:hanging="420"/>
      <w:jc w:val="center"/>
    </w:pPr>
    <w:r>
      <w:fldChar w:fldCharType="begin"/>
    </w:r>
    <w:r>
      <w:instrText xml:space="preserve">PAGE   \* MERGEFORMAT</w:instrText>
    </w:r>
    <w:r>
      <w:fldChar w:fldCharType="separate"/>
    </w:r>
    <w:r>
      <w:rPr>
        <w:lang w:val="zh-CN"/>
      </w:rPr>
      <w:t>53</w:t>
    </w:r>
    <w:r>
      <w:fldChar w:fldCharType="end"/>
    </w:r>
  </w:p>
  <w:p w14:paraId="5208A71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A0C2">
    <w:pPr>
      <w:jc w:val="center"/>
    </w:pPr>
    <w:r>
      <w:fldChar w:fldCharType="begin"/>
    </w:r>
    <w:r>
      <w:instrText xml:space="preserve"> PAGE   \* MERGEFORMAT </w:instrText>
    </w:r>
    <w:r>
      <w:fldChar w:fldCharType="separate"/>
    </w:r>
    <w:r>
      <w:t>54</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00E8C">
    <w:pPr>
      <w:pStyle w:val="23"/>
      <w:jc w:val="center"/>
    </w:pPr>
    <w:r>
      <w:fldChar w:fldCharType="begin"/>
    </w:r>
    <w:r>
      <w:instrText xml:space="preserve">PAGE   \* MERGEFORMAT</w:instrText>
    </w:r>
    <w:r>
      <w:fldChar w:fldCharType="separate"/>
    </w:r>
    <w:r>
      <w:rPr>
        <w:lang w:val="zh-CN"/>
      </w:rPr>
      <w:t>65</w:t>
    </w:r>
    <w:r>
      <w:fldChar w:fldCharType="end"/>
    </w:r>
  </w:p>
  <w:p w14:paraId="4E3B4E6A">
    <w:pPr>
      <w:pStyle w:val="23"/>
      <w:tabs>
        <w:tab w:val="clear" w:pos="4153"/>
        <w:tab w:val="clear" w:pos="8306"/>
      </w:tabs>
      <w:rPr>
        <w:rFonts w:ascii="宋体" w:hAnsi="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F2C69">
    <w:pPr>
      <w:jc w:val="center"/>
    </w:pPr>
    <w:r>
      <w:fldChar w:fldCharType="begin"/>
    </w:r>
    <w:r>
      <w:instrText xml:space="preserve"> PAGE   \* MERGEFORMAT </w:instrText>
    </w:r>
    <w:r>
      <w:fldChar w:fldCharType="separate"/>
    </w:r>
    <w:r>
      <w:t>66</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5552F"/>
  <w:p w14:paraId="131AF448">
    <w:pP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E1C84">
    <w:pPr>
      <w:pStyle w:val="23"/>
      <w:jc w:val="center"/>
    </w:pPr>
    <w:r>
      <w:fldChar w:fldCharType="begin"/>
    </w:r>
    <w:r>
      <w:instrText xml:space="preserve">PAGE   \* MERGEFORMAT</w:instrText>
    </w:r>
    <w:r>
      <w:fldChar w:fldCharType="separate"/>
    </w:r>
    <w:r>
      <w:rPr>
        <w:lang w:val="zh-CN"/>
      </w:rPr>
      <w:t>95</w:t>
    </w:r>
    <w:r>
      <w:rPr>
        <w:lang w:val="zh-CN"/>
      </w:rPr>
      <w:fldChar w:fldCharType="end"/>
    </w:r>
  </w:p>
  <w:p w14:paraId="751CD1D0">
    <w:pPr>
      <w:pStyle w:val="11"/>
      <w:spacing w:line="14" w:lineRule="auto"/>
      <w:jc w:val="center"/>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3D1B">
    <w:pPr>
      <w:spacing w:after="120" w:afterLines="50" w:line="360" w:lineRule="auto"/>
      <w:jc w:val="left"/>
      <w:rPr>
        <w:rFonts w:ascii="方正小标宋简体" w:hAnsi="黑体" w:eastAsia="方正小标宋简体"/>
        <w:color w:val="80808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C221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81DE3">
    <w:pPr>
      <w:tabs>
        <w:tab w:val="left" w:pos="3135"/>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3EC43">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0E10">
    <w:pPr>
      <w:pStyle w:val="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3081E">
    <w:pPr>
      <w:pStyle w:val="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424C">
    <w:pPr>
      <w:pStyle w:val="24"/>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E49BE">
    <w:pPr>
      <w:pStyle w:val="24"/>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6CD05">
    <w:pPr>
      <w:pStyle w:val="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82D7">
    <w:pPr>
      <w:pStyle w:val="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FD0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B61D5"/>
    <w:multiLevelType w:val="multilevel"/>
    <w:tmpl w:val="1E3B61D5"/>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6228093F"/>
    <w:multiLevelType w:val="singleLevel"/>
    <w:tmpl w:val="6228093F"/>
    <w:lvl w:ilvl="0" w:tentative="0">
      <w:start w:val="1"/>
      <w:numFmt w:val="decimal"/>
      <w:lvlText w:val="%1."/>
      <w:lvlJc w:val="left"/>
      <w:pPr>
        <w:ind w:left="425" w:hanging="425"/>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E2MThjY2UyNWI5M2NiZjFhMDg1MDkzZThlNTNlODMifQ=="/>
  </w:docVars>
  <w:rsids>
    <w:rsidRoot w:val="00172A27"/>
    <w:rsid w:val="00062389"/>
    <w:rsid w:val="00065228"/>
    <w:rsid w:val="00083C6E"/>
    <w:rsid w:val="0009276B"/>
    <w:rsid w:val="000C5E00"/>
    <w:rsid w:val="0010788D"/>
    <w:rsid w:val="001212FC"/>
    <w:rsid w:val="00122BAE"/>
    <w:rsid w:val="00136528"/>
    <w:rsid w:val="00143ABF"/>
    <w:rsid w:val="0016513E"/>
    <w:rsid w:val="00172A27"/>
    <w:rsid w:val="001F2CA5"/>
    <w:rsid w:val="002049E9"/>
    <w:rsid w:val="00265FB1"/>
    <w:rsid w:val="002667AA"/>
    <w:rsid w:val="00292A0F"/>
    <w:rsid w:val="00295BBB"/>
    <w:rsid w:val="002B3D2B"/>
    <w:rsid w:val="00305CE7"/>
    <w:rsid w:val="00310233"/>
    <w:rsid w:val="003153F9"/>
    <w:rsid w:val="0034132D"/>
    <w:rsid w:val="003459E8"/>
    <w:rsid w:val="00346D76"/>
    <w:rsid w:val="0035764B"/>
    <w:rsid w:val="00394F2E"/>
    <w:rsid w:val="0039511D"/>
    <w:rsid w:val="003A25FF"/>
    <w:rsid w:val="003D0285"/>
    <w:rsid w:val="00412C71"/>
    <w:rsid w:val="0041475A"/>
    <w:rsid w:val="00445F0C"/>
    <w:rsid w:val="004478DB"/>
    <w:rsid w:val="00454B0B"/>
    <w:rsid w:val="00472BBE"/>
    <w:rsid w:val="004C55D6"/>
    <w:rsid w:val="004E3304"/>
    <w:rsid w:val="00512FCB"/>
    <w:rsid w:val="0052298D"/>
    <w:rsid w:val="0052569F"/>
    <w:rsid w:val="00545005"/>
    <w:rsid w:val="005C36C3"/>
    <w:rsid w:val="005C69A7"/>
    <w:rsid w:val="005D5AEC"/>
    <w:rsid w:val="00611337"/>
    <w:rsid w:val="006157A0"/>
    <w:rsid w:val="006227E1"/>
    <w:rsid w:val="00630ECC"/>
    <w:rsid w:val="00632B15"/>
    <w:rsid w:val="00637130"/>
    <w:rsid w:val="0065426E"/>
    <w:rsid w:val="00677624"/>
    <w:rsid w:val="0069111A"/>
    <w:rsid w:val="006B3379"/>
    <w:rsid w:val="006D45FA"/>
    <w:rsid w:val="00706744"/>
    <w:rsid w:val="00714651"/>
    <w:rsid w:val="007160E8"/>
    <w:rsid w:val="007216A4"/>
    <w:rsid w:val="007B1B33"/>
    <w:rsid w:val="00806E29"/>
    <w:rsid w:val="00825D95"/>
    <w:rsid w:val="008654D7"/>
    <w:rsid w:val="008A3FB3"/>
    <w:rsid w:val="008A7B87"/>
    <w:rsid w:val="008B23A8"/>
    <w:rsid w:val="008C52D3"/>
    <w:rsid w:val="008C7139"/>
    <w:rsid w:val="008D179D"/>
    <w:rsid w:val="00926428"/>
    <w:rsid w:val="009B6594"/>
    <w:rsid w:val="009C18E2"/>
    <w:rsid w:val="00A03E29"/>
    <w:rsid w:val="00A2660F"/>
    <w:rsid w:val="00A33C81"/>
    <w:rsid w:val="00A41ED7"/>
    <w:rsid w:val="00A44403"/>
    <w:rsid w:val="00A50699"/>
    <w:rsid w:val="00A62D9C"/>
    <w:rsid w:val="00A70B8E"/>
    <w:rsid w:val="00A826B8"/>
    <w:rsid w:val="00A95C73"/>
    <w:rsid w:val="00AB2820"/>
    <w:rsid w:val="00AB3F7A"/>
    <w:rsid w:val="00AC449B"/>
    <w:rsid w:val="00AD2F17"/>
    <w:rsid w:val="00AF1178"/>
    <w:rsid w:val="00AF2B91"/>
    <w:rsid w:val="00B66F58"/>
    <w:rsid w:val="00C331D6"/>
    <w:rsid w:val="00C835BC"/>
    <w:rsid w:val="00C86946"/>
    <w:rsid w:val="00CA2578"/>
    <w:rsid w:val="00CC2C27"/>
    <w:rsid w:val="00CD5BC3"/>
    <w:rsid w:val="00CE18D1"/>
    <w:rsid w:val="00CE5086"/>
    <w:rsid w:val="00D05204"/>
    <w:rsid w:val="00D17815"/>
    <w:rsid w:val="00D220B8"/>
    <w:rsid w:val="00D3651E"/>
    <w:rsid w:val="00D451D2"/>
    <w:rsid w:val="00D464EE"/>
    <w:rsid w:val="00D82D98"/>
    <w:rsid w:val="00D95EBB"/>
    <w:rsid w:val="00DB7E28"/>
    <w:rsid w:val="00DD3242"/>
    <w:rsid w:val="00DF5C40"/>
    <w:rsid w:val="00E34AED"/>
    <w:rsid w:val="00E371C0"/>
    <w:rsid w:val="00E83CB9"/>
    <w:rsid w:val="00E955B1"/>
    <w:rsid w:val="00EA47A6"/>
    <w:rsid w:val="00EE7048"/>
    <w:rsid w:val="00F03B82"/>
    <w:rsid w:val="00F749BD"/>
    <w:rsid w:val="03D97898"/>
    <w:rsid w:val="041618B2"/>
    <w:rsid w:val="04C85FB6"/>
    <w:rsid w:val="0580501B"/>
    <w:rsid w:val="060D7C05"/>
    <w:rsid w:val="06906F63"/>
    <w:rsid w:val="06994B73"/>
    <w:rsid w:val="06AD5DEF"/>
    <w:rsid w:val="06D03D80"/>
    <w:rsid w:val="070B6B66"/>
    <w:rsid w:val="07283BBC"/>
    <w:rsid w:val="07DC7382"/>
    <w:rsid w:val="07EB4DD2"/>
    <w:rsid w:val="087A0447"/>
    <w:rsid w:val="09102B5A"/>
    <w:rsid w:val="0A1E4802"/>
    <w:rsid w:val="0A2F7870"/>
    <w:rsid w:val="0B3E6D93"/>
    <w:rsid w:val="0B955598"/>
    <w:rsid w:val="0C01398D"/>
    <w:rsid w:val="0C013BD1"/>
    <w:rsid w:val="0C107DE7"/>
    <w:rsid w:val="0C3A0BF9"/>
    <w:rsid w:val="0C5E025D"/>
    <w:rsid w:val="0CD143AE"/>
    <w:rsid w:val="0CE61730"/>
    <w:rsid w:val="0DA81358"/>
    <w:rsid w:val="0E7F130A"/>
    <w:rsid w:val="0E8D69FB"/>
    <w:rsid w:val="0EAA3109"/>
    <w:rsid w:val="0EFD6FC4"/>
    <w:rsid w:val="0F671D1F"/>
    <w:rsid w:val="0F6C6610"/>
    <w:rsid w:val="102302A3"/>
    <w:rsid w:val="111156C1"/>
    <w:rsid w:val="11767941"/>
    <w:rsid w:val="11AB1672"/>
    <w:rsid w:val="11C32B06"/>
    <w:rsid w:val="11DF454E"/>
    <w:rsid w:val="12A731F1"/>
    <w:rsid w:val="12BA444B"/>
    <w:rsid w:val="13135720"/>
    <w:rsid w:val="140824E8"/>
    <w:rsid w:val="143050D5"/>
    <w:rsid w:val="15237771"/>
    <w:rsid w:val="15962B1A"/>
    <w:rsid w:val="165D4F05"/>
    <w:rsid w:val="165F00C7"/>
    <w:rsid w:val="16F07406"/>
    <w:rsid w:val="16F57DAA"/>
    <w:rsid w:val="186143C2"/>
    <w:rsid w:val="18D538B2"/>
    <w:rsid w:val="18EA6F40"/>
    <w:rsid w:val="19591F42"/>
    <w:rsid w:val="1B590E16"/>
    <w:rsid w:val="1B657F7F"/>
    <w:rsid w:val="1BA55252"/>
    <w:rsid w:val="1BDD5CF8"/>
    <w:rsid w:val="1C0B744D"/>
    <w:rsid w:val="1C335094"/>
    <w:rsid w:val="1D9C4CF5"/>
    <w:rsid w:val="1DE32193"/>
    <w:rsid w:val="1E676920"/>
    <w:rsid w:val="1EAB0F03"/>
    <w:rsid w:val="1F147139"/>
    <w:rsid w:val="1F236147"/>
    <w:rsid w:val="1F262338"/>
    <w:rsid w:val="1FC90C74"/>
    <w:rsid w:val="20273BE0"/>
    <w:rsid w:val="205B0707"/>
    <w:rsid w:val="205B4263"/>
    <w:rsid w:val="20B816B5"/>
    <w:rsid w:val="212F35D3"/>
    <w:rsid w:val="231E2ADA"/>
    <w:rsid w:val="23370BF7"/>
    <w:rsid w:val="241762E3"/>
    <w:rsid w:val="25E4098B"/>
    <w:rsid w:val="261421C9"/>
    <w:rsid w:val="261A6E64"/>
    <w:rsid w:val="263F1D94"/>
    <w:rsid w:val="264C094A"/>
    <w:rsid w:val="2659489A"/>
    <w:rsid w:val="27E2723A"/>
    <w:rsid w:val="28A569C3"/>
    <w:rsid w:val="28C66939"/>
    <w:rsid w:val="28E55011"/>
    <w:rsid w:val="29045AE5"/>
    <w:rsid w:val="29820AB2"/>
    <w:rsid w:val="29A104CA"/>
    <w:rsid w:val="29DF7FFE"/>
    <w:rsid w:val="29FF0198"/>
    <w:rsid w:val="2A7E3970"/>
    <w:rsid w:val="2B6366C1"/>
    <w:rsid w:val="2C0B606B"/>
    <w:rsid w:val="2C1B1D16"/>
    <w:rsid w:val="2CC04930"/>
    <w:rsid w:val="2D2B1D16"/>
    <w:rsid w:val="2D9275CC"/>
    <w:rsid w:val="2ED753FC"/>
    <w:rsid w:val="3076141A"/>
    <w:rsid w:val="30984044"/>
    <w:rsid w:val="30C6397A"/>
    <w:rsid w:val="312F12CC"/>
    <w:rsid w:val="31A35A6A"/>
    <w:rsid w:val="31D33384"/>
    <w:rsid w:val="322A1CE7"/>
    <w:rsid w:val="325B3430"/>
    <w:rsid w:val="33686A48"/>
    <w:rsid w:val="339E1C11"/>
    <w:rsid w:val="340547BA"/>
    <w:rsid w:val="343727FD"/>
    <w:rsid w:val="348D6F59"/>
    <w:rsid w:val="34E44894"/>
    <w:rsid w:val="35095CA0"/>
    <w:rsid w:val="361C403D"/>
    <w:rsid w:val="36CF7301"/>
    <w:rsid w:val="36DF21AF"/>
    <w:rsid w:val="37024FE0"/>
    <w:rsid w:val="38C52A81"/>
    <w:rsid w:val="390D34D8"/>
    <w:rsid w:val="39574BC0"/>
    <w:rsid w:val="39922906"/>
    <w:rsid w:val="3AC90909"/>
    <w:rsid w:val="3B482338"/>
    <w:rsid w:val="3B9D365E"/>
    <w:rsid w:val="3BA62666"/>
    <w:rsid w:val="3BB865B6"/>
    <w:rsid w:val="3CD72AC5"/>
    <w:rsid w:val="3D3E6EDD"/>
    <w:rsid w:val="3E2671A5"/>
    <w:rsid w:val="3E953FCA"/>
    <w:rsid w:val="3EDB4A95"/>
    <w:rsid w:val="3EEE3B85"/>
    <w:rsid w:val="3F170A05"/>
    <w:rsid w:val="3F1735F3"/>
    <w:rsid w:val="3F302CD7"/>
    <w:rsid w:val="3FE17C4C"/>
    <w:rsid w:val="402B37FA"/>
    <w:rsid w:val="40330989"/>
    <w:rsid w:val="40A67248"/>
    <w:rsid w:val="423E6174"/>
    <w:rsid w:val="424262B6"/>
    <w:rsid w:val="42DA32B5"/>
    <w:rsid w:val="43287BAC"/>
    <w:rsid w:val="44474231"/>
    <w:rsid w:val="446B6021"/>
    <w:rsid w:val="44755126"/>
    <w:rsid w:val="44AA35C7"/>
    <w:rsid w:val="453E4987"/>
    <w:rsid w:val="455366AC"/>
    <w:rsid w:val="471E3B4E"/>
    <w:rsid w:val="474E6020"/>
    <w:rsid w:val="47756D0B"/>
    <w:rsid w:val="47ED3987"/>
    <w:rsid w:val="4A142614"/>
    <w:rsid w:val="4B4F25D9"/>
    <w:rsid w:val="4B897627"/>
    <w:rsid w:val="4C4C2315"/>
    <w:rsid w:val="4CDF028F"/>
    <w:rsid w:val="4CE834F7"/>
    <w:rsid w:val="4D05311E"/>
    <w:rsid w:val="4D096C71"/>
    <w:rsid w:val="4DAD257F"/>
    <w:rsid w:val="4DFE60AA"/>
    <w:rsid w:val="4E8312B4"/>
    <w:rsid w:val="4ECA6880"/>
    <w:rsid w:val="50407B31"/>
    <w:rsid w:val="504276DB"/>
    <w:rsid w:val="50506965"/>
    <w:rsid w:val="50830AE8"/>
    <w:rsid w:val="51CE2237"/>
    <w:rsid w:val="523302EC"/>
    <w:rsid w:val="528F23FD"/>
    <w:rsid w:val="52C901FD"/>
    <w:rsid w:val="53825ABB"/>
    <w:rsid w:val="53B8319F"/>
    <w:rsid w:val="53EC2E48"/>
    <w:rsid w:val="541E58BA"/>
    <w:rsid w:val="544967CB"/>
    <w:rsid w:val="55550D7C"/>
    <w:rsid w:val="558A0B6B"/>
    <w:rsid w:val="56F91B04"/>
    <w:rsid w:val="579519AD"/>
    <w:rsid w:val="58656C44"/>
    <w:rsid w:val="58782EFD"/>
    <w:rsid w:val="59F24396"/>
    <w:rsid w:val="5A0C1B4F"/>
    <w:rsid w:val="5A405EA0"/>
    <w:rsid w:val="5A4802D0"/>
    <w:rsid w:val="5ACC33F4"/>
    <w:rsid w:val="5B0B44FC"/>
    <w:rsid w:val="5B9C6F02"/>
    <w:rsid w:val="5C1653E5"/>
    <w:rsid w:val="5D327B1E"/>
    <w:rsid w:val="5DA12EF6"/>
    <w:rsid w:val="5DFC5CDC"/>
    <w:rsid w:val="5E8343A9"/>
    <w:rsid w:val="5F061262"/>
    <w:rsid w:val="5F17110D"/>
    <w:rsid w:val="5F4633A5"/>
    <w:rsid w:val="5F7F2DC3"/>
    <w:rsid w:val="5FDF3861"/>
    <w:rsid w:val="6037369D"/>
    <w:rsid w:val="61D72BD6"/>
    <w:rsid w:val="62FA2A50"/>
    <w:rsid w:val="634B139F"/>
    <w:rsid w:val="64437147"/>
    <w:rsid w:val="653D7A20"/>
    <w:rsid w:val="65706BAB"/>
    <w:rsid w:val="65723AE7"/>
    <w:rsid w:val="65CE23AE"/>
    <w:rsid w:val="671D183F"/>
    <w:rsid w:val="6832131A"/>
    <w:rsid w:val="68324E76"/>
    <w:rsid w:val="69026F3E"/>
    <w:rsid w:val="69083E29"/>
    <w:rsid w:val="692B1BDD"/>
    <w:rsid w:val="6985167E"/>
    <w:rsid w:val="6A4B7B26"/>
    <w:rsid w:val="6B036F9E"/>
    <w:rsid w:val="6B114CED"/>
    <w:rsid w:val="6C1E77EA"/>
    <w:rsid w:val="6E0E7524"/>
    <w:rsid w:val="6E4F505A"/>
    <w:rsid w:val="6EA168B2"/>
    <w:rsid w:val="70143B03"/>
    <w:rsid w:val="70170F8D"/>
    <w:rsid w:val="71E035A2"/>
    <w:rsid w:val="71FD38E6"/>
    <w:rsid w:val="72640322"/>
    <w:rsid w:val="726D5E88"/>
    <w:rsid w:val="73165394"/>
    <w:rsid w:val="73245D03"/>
    <w:rsid w:val="73662996"/>
    <w:rsid w:val="73F01C79"/>
    <w:rsid w:val="758F36A5"/>
    <w:rsid w:val="761E2EDE"/>
    <w:rsid w:val="76556891"/>
    <w:rsid w:val="76A04B8A"/>
    <w:rsid w:val="7719386F"/>
    <w:rsid w:val="777C7EBC"/>
    <w:rsid w:val="77A92794"/>
    <w:rsid w:val="77B921EE"/>
    <w:rsid w:val="7A4D3D91"/>
    <w:rsid w:val="7B31395C"/>
    <w:rsid w:val="7BCE3534"/>
    <w:rsid w:val="7C584673"/>
    <w:rsid w:val="7C9C6BA2"/>
    <w:rsid w:val="7D513B99"/>
    <w:rsid w:val="7D741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link w:val="43"/>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4"/>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45"/>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46"/>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47"/>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48"/>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49"/>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50"/>
    <w:qFormat/>
    <w:uiPriority w:val="0"/>
    <w:pPr>
      <w:ind w:firstLine="420"/>
    </w:pPr>
    <w:rPr>
      <w:szCs w:val="21"/>
    </w:rPr>
  </w:style>
  <w:style w:type="paragraph" w:styleId="12">
    <w:name w:val="List Bullet"/>
    <w:basedOn w:val="1"/>
    <w:qFormat/>
    <w:uiPriority w:val="0"/>
    <w:pPr>
      <w:tabs>
        <w:tab w:val="left" w:pos="360"/>
      </w:tabs>
      <w:ind w:left="360" w:hanging="200" w:hangingChars="200"/>
    </w:pPr>
    <w:rPr>
      <w:szCs w:val="21"/>
    </w:rPr>
  </w:style>
  <w:style w:type="paragraph" w:styleId="13">
    <w:name w:val="Document Map"/>
    <w:basedOn w:val="1"/>
    <w:link w:val="51"/>
    <w:qFormat/>
    <w:uiPriority w:val="0"/>
    <w:rPr>
      <w:rFonts w:ascii="宋体"/>
      <w:sz w:val="18"/>
      <w:szCs w:val="18"/>
    </w:rPr>
  </w:style>
  <w:style w:type="paragraph" w:styleId="14">
    <w:name w:val="annotation text"/>
    <w:basedOn w:val="1"/>
    <w:link w:val="52"/>
    <w:qFormat/>
    <w:uiPriority w:val="0"/>
    <w:pPr>
      <w:jc w:val="left"/>
    </w:pPr>
    <w:rPr>
      <w:kern w:val="0"/>
      <w:sz w:val="28"/>
      <w:szCs w:val="28"/>
    </w:rPr>
  </w:style>
  <w:style w:type="paragraph" w:styleId="15">
    <w:name w:val="Body Text"/>
    <w:basedOn w:val="1"/>
    <w:link w:val="53"/>
    <w:qFormat/>
    <w:uiPriority w:val="0"/>
    <w:pPr>
      <w:spacing w:line="420" w:lineRule="auto"/>
    </w:pPr>
    <w:rPr>
      <w:kern w:val="0"/>
      <w:sz w:val="24"/>
      <w:szCs w:val="24"/>
    </w:rPr>
  </w:style>
  <w:style w:type="paragraph" w:styleId="16">
    <w:name w:val="Body Text Indent"/>
    <w:basedOn w:val="1"/>
    <w:link w:val="54"/>
    <w:qFormat/>
    <w:uiPriority w:val="0"/>
    <w:pPr>
      <w:ind w:firstLine="600"/>
    </w:pPr>
    <w:rPr>
      <w:kern w:val="0"/>
      <w:sz w:val="20"/>
      <w:szCs w:val="20"/>
    </w:rPr>
  </w:style>
  <w:style w:type="paragraph" w:styleId="17">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szCs w:val="24"/>
    </w:rPr>
  </w:style>
  <w:style w:type="paragraph" w:styleId="18">
    <w:name w:val="toc 3"/>
    <w:basedOn w:val="1"/>
    <w:next w:val="1"/>
    <w:qFormat/>
    <w:uiPriority w:val="0"/>
    <w:pPr>
      <w:ind w:left="840" w:leftChars="400"/>
    </w:pPr>
    <w:rPr>
      <w:szCs w:val="21"/>
    </w:rPr>
  </w:style>
  <w:style w:type="paragraph" w:styleId="19">
    <w:name w:val="Plain Text"/>
    <w:basedOn w:val="1"/>
    <w:link w:val="55"/>
    <w:qFormat/>
    <w:uiPriority w:val="0"/>
    <w:rPr>
      <w:rFonts w:ascii="宋体" w:hAnsi="Courier New"/>
      <w:kern w:val="0"/>
      <w:szCs w:val="21"/>
    </w:rPr>
  </w:style>
  <w:style w:type="paragraph" w:styleId="20">
    <w:name w:val="Date"/>
    <w:basedOn w:val="1"/>
    <w:next w:val="1"/>
    <w:link w:val="56"/>
    <w:qFormat/>
    <w:uiPriority w:val="0"/>
    <w:pPr>
      <w:ind w:left="100" w:leftChars="2500"/>
    </w:pPr>
    <w:rPr>
      <w:rFonts w:eastAsia="等线"/>
      <w:szCs w:val="21"/>
    </w:rPr>
  </w:style>
  <w:style w:type="paragraph" w:styleId="21">
    <w:name w:val="Body Text Indent 2"/>
    <w:basedOn w:val="1"/>
    <w:link w:val="57"/>
    <w:qFormat/>
    <w:uiPriority w:val="0"/>
    <w:pPr>
      <w:spacing w:after="120" w:line="480" w:lineRule="auto"/>
      <w:ind w:left="420" w:leftChars="200"/>
    </w:pPr>
    <w:rPr>
      <w:rFonts w:eastAsia="等线"/>
      <w:szCs w:val="21"/>
    </w:rPr>
  </w:style>
  <w:style w:type="paragraph" w:styleId="22">
    <w:name w:val="Balloon Text"/>
    <w:basedOn w:val="1"/>
    <w:link w:val="58"/>
    <w:qFormat/>
    <w:uiPriority w:val="0"/>
    <w:rPr>
      <w:kern w:val="0"/>
      <w:sz w:val="18"/>
      <w:szCs w:val="18"/>
    </w:rPr>
  </w:style>
  <w:style w:type="paragraph" w:styleId="23">
    <w:name w:val="footer"/>
    <w:basedOn w:val="1"/>
    <w:link w:val="59"/>
    <w:qFormat/>
    <w:uiPriority w:val="99"/>
    <w:pPr>
      <w:tabs>
        <w:tab w:val="center" w:pos="4153"/>
        <w:tab w:val="right" w:pos="8306"/>
      </w:tabs>
      <w:snapToGrid w:val="0"/>
      <w:jc w:val="left"/>
    </w:pPr>
    <w:rPr>
      <w:kern w:val="0"/>
      <w:sz w:val="18"/>
      <w:szCs w:val="18"/>
    </w:rPr>
  </w:style>
  <w:style w:type="paragraph" w:styleId="24">
    <w:name w:val="header"/>
    <w:basedOn w:val="1"/>
    <w:link w:val="60"/>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0"/>
    <w:rPr>
      <w:szCs w:val="21"/>
    </w:rPr>
  </w:style>
  <w:style w:type="paragraph" w:styleId="26">
    <w:name w:val="index heading"/>
    <w:basedOn w:val="1"/>
    <w:next w:val="27"/>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7">
    <w:name w:val="index 1"/>
    <w:basedOn w:val="1"/>
    <w:next w:val="1"/>
    <w:unhideWhenUsed/>
    <w:qFormat/>
    <w:uiPriority w:val="99"/>
  </w:style>
  <w:style w:type="paragraph" w:styleId="28">
    <w:name w:val="Body Text Indent 3"/>
    <w:basedOn w:val="1"/>
    <w:link w:val="61"/>
    <w:qFormat/>
    <w:uiPriority w:val="0"/>
    <w:pPr>
      <w:spacing w:after="120"/>
      <w:ind w:left="420" w:leftChars="200"/>
    </w:pPr>
    <w:rPr>
      <w:kern w:val="0"/>
      <w:sz w:val="16"/>
      <w:szCs w:val="16"/>
    </w:rPr>
  </w:style>
  <w:style w:type="paragraph" w:styleId="29">
    <w:name w:val="Body Text 2"/>
    <w:basedOn w:val="1"/>
    <w:link w:val="62"/>
    <w:qFormat/>
    <w:uiPriority w:val="0"/>
    <w:pPr>
      <w:spacing w:after="120" w:line="480" w:lineRule="auto"/>
    </w:pPr>
    <w:rPr>
      <w:kern w:val="0"/>
      <w:sz w:val="24"/>
      <w:szCs w:val="24"/>
    </w:rPr>
  </w:style>
  <w:style w:type="paragraph" w:styleId="30">
    <w:name w:val="Normal (Web)"/>
    <w:basedOn w:val="1"/>
    <w:qFormat/>
    <w:uiPriority w:val="0"/>
    <w:rPr>
      <w:sz w:val="24"/>
      <w:szCs w:val="24"/>
    </w:rPr>
  </w:style>
  <w:style w:type="paragraph" w:styleId="31">
    <w:name w:val="Title"/>
    <w:basedOn w:val="1"/>
    <w:next w:val="1"/>
    <w:link w:val="63"/>
    <w:qFormat/>
    <w:uiPriority w:val="0"/>
    <w:pPr>
      <w:spacing w:before="240" w:after="60"/>
      <w:jc w:val="center"/>
      <w:outlineLvl w:val="0"/>
    </w:pPr>
    <w:rPr>
      <w:rFonts w:ascii="Cambria" w:hAnsi="Cambria"/>
      <w:b/>
      <w:bCs/>
      <w:kern w:val="0"/>
      <w:sz w:val="32"/>
      <w:szCs w:val="32"/>
    </w:rPr>
  </w:style>
  <w:style w:type="paragraph" w:styleId="32">
    <w:name w:val="annotation subject"/>
    <w:basedOn w:val="14"/>
    <w:next w:val="14"/>
    <w:link w:val="64"/>
    <w:qFormat/>
    <w:uiPriority w:val="0"/>
    <w:rPr>
      <w:rFonts w:eastAsia="等线"/>
      <w:b/>
      <w:bCs/>
      <w:kern w:val="2"/>
      <w:sz w:val="24"/>
      <w:szCs w:val="24"/>
    </w:rPr>
  </w:style>
  <w:style w:type="table" w:styleId="34">
    <w:name w:val="Table Grid"/>
    <w:basedOn w:val="3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Strong"/>
    <w:qFormat/>
    <w:uiPriority w:val="0"/>
    <w:rPr>
      <w:b/>
      <w:bCs/>
    </w:rPr>
  </w:style>
  <w:style w:type="character" w:styleId="37">
    <w:name w:val="page number"/>
    <w:qFormat/>
    <w:uiPriority w:val="0"/>
  </w:style>
  <w:style w:type="character" w:styleId="38">
    <w:name w:val="FollowedHyperlink"/>
    <w:qFormat/>
    <w:uiPriority w:val="99"/>
    <w:rPr>
      <w:color w:val="800080"/>
      <w:u w:val="single"/>
    </w:rPr>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character" w:customStyle="1" w:styleId="41">
    <w:name w:val="标题 1 Char"/>
    <w:link w:val="2"/>
    <w:qFormat/>
    <w:uiPriority w:val="0"/>
    <w:rPr>
      <w:rFonts w:ascii="Times New Roman" w:hAnsi="Times New Roman" w:eastAsia="宋体" w:cs="Times New Roman"/>
      <w:b/>
      <w:bCs/>
      <w:kern w:val="44"/>
      <w:sz w:val="44"/>
      <w:szCs w:val="44"/>
    </w:rPr>
  </w:style>
  <w:style w:type="character" w:customStyle="1" w:styleId="42">
    <w:name w:val="标题 2 Char"/>
    <w:link w:val="3"/>
    <w:qFormat/>
    <w:uiPriority w:val="0"/>
    <w:rPr>
      <w:rFonts w:ascii="Cambria" w:hAnsi="Cambria" w:eastAsia="宋体" w:cs="Times New Roman"/>
      <w:b/>
      <w:bCs/>
      <w:kern w:val="0"/>
      <w:sz w:val="28"/>
      <w:szCs w:val="28"/>
    </w:rPr>
  </w:style>
  <w:style w:type="character" w:customStyle="1" w:styleId="43">
    <w:name w:val="标题 3 Char"/>
    <w:link w:val="4"/>
    <w:qFormat/>
    <w:uiPriority w:val="0"/>
    <w:rPr>
      <w:rFonts w:ascii="Times New Roman" w:hAnsi="Times New Roman" w:eastAsia="宋体" w:cs="Times New Roman"/>
      <w:b/>
      <w:bCs/>
      <w:kern w:val="0"/>
      <w:sz w:val="32"/>
      <w:szCs w:val="32"/>
    </w:rPr>
  </w:style>
  <w:style w:type="character" w:customStyle="1" w:styleId="44">
    <w:name w:val="标题 4 Char1"/>
    <w:link w:val="5"/>
    <w:qFormat/>
    <w:uiPriority w:val="0"/>
    <w:rPr>
      <w:rFonts w:ascii="Cambria" w:hAnsi="Cambria" w:eastAsia="宋体" w:cs="Times New Roman"/>
      <w:b/>
      <w:bCs/>
      <w:kern w:val="0"/>
      <w:sz w:val="28"/>
      <w:szCs w:val="28"/>
    </w:rPr>
  </w:style>
  <w:style w:type="character" w:customStyle="1" w:styleId="45">
    <w:name w:val="标题 5 Char"/>
    <w:link w:val="6"/>
    <w:qFormat/>
    <w:uiPriority w:val="0"/>
    <w:rPr>
      <w:rFonts w:ascii="Times New Roman" w:hAnsi="Times New Roman" w:eastAsia="宋体" w:cs="Times New Roman"/>
      <w:b/>
      <w:bCs/>
      <w:kern w:val="0"/>
      <w:sz w:val="28"/>
      <w:szCs w:val="28"/>
    </w:rPr>
  </w:style>
  <w:style w:type="character" w:customStyle="1" w:styleId="46">
    <w:name w:val="标题 6 Char"/>
    <w:link w:val="7"/>
    <w:qFormat/>
    <w:uiPriority w:val="9"/>
    <w:rPr>
      <w:rFonts w:ascii="Arial" w:hAnsi="Arial" w:eastAsia="黑体" w:cs="Times New Roman"/>
      <w:b/>
      <w:bCs/>
      <w:kern w:val="0"/>
      <w:sz w:val="24"/>
      <w:szCs w:val="24"/>
    </w:rPr>
  </w:style>
  <w:style w:type="character" w:customStyle="1" w:styleId="47">
    <w:name w:val="标题 7 Char"/>
    <w:link w:val="8"/>
    <w:qFormat/>
    <w:uiPriority w:val="0"/>
    <w:rPr>
      <w:rFonts w:ascii="Times New Roman" w:hAnsi="Times New Roman" w:eastAsia="宋体" w:cs="Times New Roman"/>
      <w:b/>
      <w:bCs/>
      <w:kern w:val="0"/>
      <w:sz w:val="24"/>
      <w:szCs w:val="24"/>
    </w:rPr>
  </w:style>
  <w:style w:type="character" w:customStyle="1" w:styleId="48">
    <w:name w:val="标题 8 Char"/>
    <w:link w:val="9"/>
    <w:qFormat/>
    <w:uiPriority w:val="0"/>
    <w:rPr>
      <w:rFonts w:ascii="Arial" w:hAnsi="Arial" w:eastAsia="黑体" w:cs="Times New Roman"/>
      <w:kern w:val="0"/>
      <w:sz w:val="24"/>
      <w:szCs w:val="24"/>
    </w:rPr>
  </w:style>
  <w:style w:type="character" w:customStyle="1" w:styleId="49">
    <w:name w:val="标题 9 Char"/>
    <w:link w:val="10"/>
    <w:qFormat/>
    <w:uiPriority w:val="0"/>
    <w:rPr>
      <w:rFonts w:ascii="Arial" w:hAnsi="Arial" w:eastAsia="黑体" w:cs="Times New Roman"/>
      <w:kern w:val="0"/>
      <w:sz w:val="20"/>
      <w:szCs w:val="20"/>
    </w:rPr>
  </w:style>
  <w:style w:type="character" w:customStyle="1" w:styleId="50">
    <w:name w:val="正文缩进 Char"/>
    <w:link w:val="11"/>
    <w:qFormat/>
    <w:locked/>
    <w:uiPriority w:val="0"/>
    <w:rPr>
      <w:rFonts w:ascii="Times New Roman" w:hAnsi="Times New Roman" w:eastAsia="宋体" w:cs="Times New Roman"/>
      <w:szCs w:val="21"/>
    </w:rPr>
  </w:style>
  <w:style w:type="character" w:customStyle="1" w:styleId="51">
    <w:name w:val="文档结构图 Char"/>
    <w:link w:val="13"/>
    <w:qFormat/>
    <w:uiPriority w:val="0"/>
    <w:rPr>
      <w:rFonts w:ascii="宋体" w:hAnsi="Times New Roman" w:eastAsia="宋体" w:cs="Times New Roman"/>
      <w:sz w:val="18"/>
      <w:szCs w:val="18"/>
    </w:rPr>
  </w:style>
  <w:style w:type="character" w:customStyle="1" w:styleId="52">
    <w:name w:val="批注文字 Char"/>
    <w:link w:val="14"/>
    <w:qFormat/>
    <w:uiPriority w:val="0"/>
    <w:rPr>
      <w:rFonts w:ascii="Times New Roman" w:hAnsi="Times New Roman" w:eastAsia="宋体" w:cs="Times New Roman"/>
      <w:kern w:val="0"/>
      <w:sz w:val="28"/>
      <w:szCs w:val="28"/>
    </w:rPr>
  </w:style>
  <w:style w:type="character" w:customStyle="1" w:styleId="53">
    <w:name w:val="正文文本 Char"/>
    <w:link w:val="15"/>
    <w:qFormat/>
    <w:uiPriority w:val="0"/>
    <w:rPr>
      <w:rFonts w:ascii="Times New Roman" w:hAnsi="Times New Roman" w:eastAsia="宋体" w:cs="Times New Roman"/>
      <w:kern w:val="0"/>
      <w:sz w:val="24"/>
      <w:szCs w:val="24"/>
    </w:rPr>
  </w:style>
  <w:style w:type="character" w:customStyle="1" w:styleId="54">
    <w:name w:val="正文文本缩进 Char"/>
    <w:link w:val="16"/>
    <w:qFormat/>
    <w:uiPriority w:val="0"/>
    <w:rPr>
      <w:rFonts w:ascii="Times New Roman" w:hAnsi="Times New Roman" w:eastAsia="宋体" w:cs="Times New Roman"/>
      <w:kern w:val="0"/>
      <w:sz w:val="20"/>
      <w:szCs w:val="20"/>
    </w:rPr>
  </w:style>
  <w:style w:type="character" w:customStyle="1" w:styleId="55">
    <w:name w:val="纯文本 Char"/>
    <w:link w:val="19"/>
    <w:qFormat/>
    <w:uiPriority w:val="0"/>
    <w:rPr>
      <w:rFonts w:ascii="宋体" w:hAnsi="Courier New" w:eastAsia="宋体" w:cs="Times New Roman"/>
      <w:kern w:val="0"/>
      <w:szCs w:val="21"/>
    </w:rPr>
  </w:style>
  <w:style w:type="character" w:customStyle="1" w:styleId="56">
    <w:name w:val="日期 Char"/>
    <w:link w:val="20"/>
    <w:qFormat/>
    <w:locked/>
    <w:uiPriority w:val="0"/>
    <w:rPr>
      <w:rFonts w:ascii="Times New Roman" w:hAnsi="Times New Roman"/>
      <w:szCs w:val="21"/>
    </w:rPr>
  </w:style>
  <w:style w:type="character" w:customStyle="1" w:styleId="57">
    <w:name w:val="正文文本缩进 2 Char"/>
    <w:link w:val="21"/>
    <w:qFormat/>
    <w:locked/>
    <w:uiPriority w:val="0"/>
    <w:rPr>
      <w:rFonts w:ascii="Times New Roman" w:hAnsi="Times New Roman"/>
      <w:szCs w:val="21"/>
    </w:rPr>
  </w:style>
  <w:style w:type="character" w:customStyle="1" w:styleId="58">
    <w:name w:val="批注框文本 Char"/>
    <w:link w:val="22"/>
    <w:qFormat/>
    <w:uiPriority w:val="0"/>
    <w:rPr>
      <w:rFonts w:ascii="Times New Roman" w:hAnsi="Times New Roman" w:eastAsia="宋体" w:cs="Times New Roman"/>
      <w:kern w:val="0"/>
      <w:sz w:val="18"/>
      <w:szCs w:val="18"/>
    </w:rPr>
  </w:style>
  <w:style w:type="character" w:customStyle="1" w:styleId="59">
    <w:name w:val="页脚 Char"/>
    <w:link w:val="23"/>
    <w:qFormat/>
    <w:uiPriority w:val="99"/>
    <w:rPr>
      <w:rFonts w:ascii="Times New Roman" w:hAnsi="Times New Roman" w:eastAsia="宋体" w:cs="Times New Roman"/>
      <w:kern w:val="0"/>
      <w:sz w:val="18"/>
      <w:szCs w:val="18"/>
    </w:rPr>
  </w:style>
  <w:style w:type="character" w:customStyle="1" w:styleId="60">
    <w:name w:val="页眉 Char"/>
    <w:link w:val="24"/>
    <w:qFormat/>
    <w:uiPriority w:val="0"/>
    <w:rPr>
      <w:rFonts w:ascii="Times New Roman" w:hAnsi="Times New Roman" w:eastAsia="宋体" w:cs="Times New Roman"/>
      <w:kern w:val="0"/>
      <w:sz w:val="18"/>
      <w:szCs w:val="18"/>
    </w:rPr>
  </w:style>
  <w:style w:type="character" w:customStyle="1" w:styleId="61">
    <w:name w:val="正文文本缩进 3 Char"/>
    <w:link w:val="28"/>
    <w:qFormat/>
    <w:uiPriority w:val="0"/>
    <w:rPr>
      <w:rFonts w:ascii="Times New Roman" w:hAnsi="Times New Roman" w:eastAsia="宋体" w:cs="Times New Roman"/>
      <w:kern w:val="0"/>
      <w:sz w:val="16"/>
      <w:szCs w:val="16"/>
    </w:rPr>
  </w:style>
  <w:style w:type="character" w:customStyle="1" w:styleId="62">
    <w:name w:val="正文文本 2 Char"/>
    <w:link w:val="29"/>
    <w:qFormat/>
    <w:uiPriority w:val="0"/>
    <w:rPr>
      <w:rFonts w:ascii="Times New Roman" w:hAnsi="Times New Roman" w:eastAsia="宋体" w:cs="Times New Roman"/>
      <w:kern w:val="0"/>
      <w:sz w:val="24"/>
      <w:szCs w:val="24"/>
    </w:rPr>
  </w:style>
  <w:style w:type="character" w:customStyle="1" w:styleId="63">
    <w:name w:val="标题 Char"/>
    <w:link w:val="31"/>
    <w:qFormat/>
    <w:uiPriority w:val="0"/>
    <w:rPr>
      <w:rFonts w:ascii="Cambria" w:hAnsi="Cambria" w:eastAsia="宋体" w:cs="Times New Roman"/>
      <w:b/>
      <w:bCs/>
      <w:kern w:val="0"/>
      <w:sz w:val="32"/>
      <w:szCs w:val="32"/>
    </w:rPr>
  </w:style>
  <w:style w:type="character" w:customStyle="1" w:styleId="64">
    <w:name w:val="批注主题 Char"/>
    <w:link w:val="32"/>
    <w:qFormat/>
    <w:locked/>
    <w:uiPriority w:val="0"/>
    <w:rPr>
      <w:rFonts w:ascii="Times New Roman" w:hAnsi="Times New Roman"/>
      <w:b/>
      <w:bCs/>
      <w:sz w:val="24"/>
      <w:szCs w:val="24"/>
    </w:rPr>
  </w:style>
  <w:style w:type="paragraph" w:styleId="65">
    <w:name w:val="List Paragraph"/>
    <w:basedOn w:val="1"/>
    <w:qFormat/>
    <w:uiPriority w:val="0"/>
    <w:pPr>
      <w:ind w:firstLine="420" w:firstLineChars="200"/>
    </w:pPr>
    <w:rPr>
      <w:sz w:val="28"/>
      <w:szCs w:val="28"/>
    </w:rPr>
  </w:style>
  <w:style w:type="character" w:customStyle="1" w:styleId="66">
    <w:name w:val="标题 4 Char"/>
    <w:qFormat/>
    <w:uiPriority w:val="0"/>
    <w:rPr>
      <w:rFonts w:ascii="Cambria" w:hAnsi="Cambria" w:cs="宋体"/>
      <w:b/>
      <w:bCs/>
      <w:kern w:val="2"/>
      <w:sz w:val="28"/>
      <w:szCs w:val="28"/>
    </w:rPr>
  </w:style>
  <w:style w:type="table" w:customStyle="1" w:styleId="67">
    <w:name w:val="网格型1"/>
    <w:basedOn w:val="33"/>
    <w:qFormat/>
    <w:uiPriority w:val="0"/>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列出段落1"/>
    <w:basedOn w:val="1"/>
    <w:qFormat/>
    <w:uiPriority w:val="0"/>
    <w:pPr>
      <w:ind w:firstLine="420" w:firstLineChars="200"/>
    </w:pPr>
    <w:rPr>
      <w:rFonts w:cs="Calibri"/>
      <w:szCs w:val="21"/>
    </w:rPr>
  </w:style>
  <w:style w:type="paragraph" w:customStyle="1" w:styleId="69">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70">
    <w:name w:val="Char Char"/>
    <w:basedOn w:val="1"/>
    <w:qFormat/>
    <w:uiPriority w:val="0"/>
    <w:rPr>
      <w:rFonts w:ascii="Tahoma" w:hAnsi="Tahoma" w:cs="Tahoma"/>
      <w:sz w:val="24"/>
      <w:szCs w:val="24"/>
    </w:rPr>
  </w:style>
  <w:style w:type="paragraph" w:customStyle="1" w:styleId="71">
    <w:name w:val="大汉方案正文"/>
    <w:basedOn w:val="1"/>
    <w:qFormat/>
    <w:uiPriority w:val="0"/>
    <w:pPr>
      <w:spacing w:line="360" w:lineRule="auto"/>
      <w:ind w:firstLine="200" w:firstLineChars="200"/>
    </w:pPr>
    <w:rPr>
      <w:rFonts w:ascii="Arial" w:hAnsi="Arial" w:cs="Arial"/>
      <w:sz w:val="24"/>
      <w:szCs w:val="24"/>
    </w:rPr>
  </w:style>
  <w:style w:type="character" w:customStyle="1" w:styleId="72">
    <w:name w:val="纯文本 Char1"/>
    <w:qFormat/>
    <w:uiPriority w:val="0"/>
    <w:rPr>
      <w:rFonts w:ascii="宋体" w:hAnsi="Courier New" w:cs="宋体"/>
      <w:kern w:val="2"/>
      <w:sz w:val="21"/>
      <w:szCs w:val="21"/>
    </w:rPr>
  </w:style>
  <w:style w:type="character" w:customStyle="1" w:styleId="73">
    <w:name w:val="批注文字 Char1"/>
    <w:qFormat/>
    <w:uiPriority w:val="0"/>
    <w:rPr>
      <w:rFonts w:ascii="Times New Roman" w:hAnsi="Times New Roman" w:eastAsia="宋体" w:cs="Times New Roman"/>
      <w:sz w:val="24"/>
      <w:szCs w:val="24"/>
    </w:rPr>
  </w:style>
  <w:style w:type="paragraph" w:customStyle="1" w:styleId="74">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75">
    <w:name w:val="apple-converted-space"/>
    <w:qFormat/>
    <w:uiPriority w:val="0"/>
  </w:style>
  <w:style w:type="paragraph" w:customStyle="1" w:styleId="7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8">
    <w:name w:val="列出段落2"/>
    <w:basedOn w:val="1"/>
    <w:qFormat/>
    <w:uiPriority w:val="0"/>
    <w:pPr>
      <w:ind w:firstLine="420" w:firstLineChars="200"/>
    </w:pPr>
    <w:rPr>
      <w:rFonts w:cs="Calibri"/>
      <w:szCs w:val="21"/>
    </w:rPr>
  </w:style>
  <w:style w:type="paragraph" w:customStyle="1" w:styleId="79">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80">
    <w:name w:val="标题 3 Char1"/>
    <w:qFormat/>
    <w:uiPriority w:val="0"/>
    <w:rPr>
      <w:rFonts w:ascii="Times New Roman" w:hAnsi="Times New Roman" w:eastAsia="宋体" w:cs="Times New Roman"/>
      <w:sz w:val="20"/>
      <w:szCs w:val="20"/>
    </w:rPr>
  </w:style>
  <w:style w:type="paragraph" w:customStyle="1" w:styleId="81">
    <w:name w:val="Char Char11 Char Char Char Char"/>
    <w:basedOn w:val="1"/>
    <w:qFormat/>
    <w:uiPriority w:val="0"/>
    <w:pPr>
      <w:tabs>
        <w:tab w:val="left" w:pos="360"/>
      </w:tabs>
    </w:pPr>
    <w:rPr>
      <w:szCs w:val="21"/>
    </w:rPr>
  </w:style>
  <w:style w:type="paragraph" w:customStyle="1" w:styleId="82">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3">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4">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5">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6">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7">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0">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1">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2">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3">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4">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5">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6">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7">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98">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9">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0">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1">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2">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3">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4">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5">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6">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7">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8">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9">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0">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1">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2">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4">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5">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6">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7">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8">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19">
    <w:name w:val="Table Normal1"/>
    <w:qFormat/>
    <w:uiPriority w:val="0"/>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120">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21">
    <w:name w:val="纯文本 Char3"/>
    <w:qFormat/>
    <w:uiPriority w:val="0"/>
    <w:rPr>
      <w:rFonts w:ascii="宋体" w:hAnsi="Courier New"/>
      <w:sz w:val="21"/>
      <w:szCs w:val="21"/>
    </w:rPr>
  </w:style>
  <w:style w:type="character" w:customStyle="1" w:styleId="122">
    <w:name w:val="正文文本缩进 2 字符1"/>
    <w:semiHidden/>
    <w:qFormat/>
    <w:uiPriority w:val="99"/>
    <w:rPr>
      <w:rFonts w:ascii="Times New Roman" w:hAnsi="Times New Roman" w:eastAsia="宋体" w:cs="Times New Roman"/>
    </w:rPr>
  </w:style>
  <w:style w:type="character" w:customStyle="1" w:styleId="123">
    <w:name w:val="正文文本缩进 2 Char1"/>
    <w:qFormat/>
    <w:uiPriority w:val="0"/>
    <w:rPr>
      <w:kern w:val="2"/>
      <w:sz w:val="21"/>
      <w:szCs w:val="22"/>
    </w:rPr>
  </w:style>
  <w:style w:type="character" w:customStyle="1" w:styleId="124">
    <w:name w:val="日期 字符1"/>
    <w:semiHidden/>
    <w:qFormat/>
    <w:uiPriority w:val="99"/>
    <w:rPr>
      <w:rFonts w:ascii="Times New Roman" w:hAnsi="Times New Roman" w:eastAsia="宋体" w:cs="Times New Roman"/>
    </w:rPr>
  </w:style>
  <w:style w:type="character" w:customStyle="1" w:styleId="125">
    <w:name w:val="日期 Char1"/>
    <w:qFormat/>
    <w:uiPriority w:val="0"/>
    <w:rPr>
      <w:kern w:val="2"/>
      <w:sz w:val="21"/>
      <w:szCs w:val="22"/>
    </w:rPr>
  </w:style>
  <w:style w:type="character" w:customStyle="1" w:styleId="126">
    <w:name w:val="标题 Char1"/>
    <w:qFormat/>
    <w:uiPriority w:val="0"/>
    <w:rPr>
      <w:rFonts w:ascii="Cambria" w:hAnsi="Cambria" w:cs="Times New Roman"/>
      <w:b/>
      <w:bCs/>
      <w:kern w:val="2"/>
      <w:sz w:val="32"/>
      <w:szCs w:val="32"/>
    </w:rPr>
  </w:style>
  <w:style w:type="character" w:customStyle="1" w:styleId="127">
    <w:name w:val="纯文本 字符1"/>
    <w:semiHidden/>
    <w:qFormat/>
    <w:uiPriority w:val="99"/>
    <w:rPr>
      <w:rFonts w:ascii="等线" w:hAnsi="Courier New" w:eastAsia="等线" w:cs="Courier New"/>
      <w:kern w:val="2"/>
      <w:sz w:val="21"/>
      <w:szCs w:val="22"/>
    </w:rPr>
  </w:style>
  <w:style w:type="character" w:customStyle="1" w:styleId="128">
    <w:name w:val="批注主题 字符1"/>
    <w:semiHidden/>
    <w:qFormat/>
    <w:uiPriority w:val="99"/>
    <w:rPr>
      <w:rFonts w:ascii="Times New Roman" w:hAnsi="Times New Roman" w:eastAsia="宋体" w:cs="Times New Roman"/>
      <w:b/>
      <w:bCs/>
      <w:kern w:val="0"/>
      <w:sz w:val="28"/>
      <w:szCs w:val="28"/>
    </w:rPr>
  </w:style>
  <w:style w:type="character" w:customStyle="1" w:styleId="129">
    <w:name w:val="批注主题 Char1"/>
    <w:qFormat/>
    <w:uiPriority w:val="0"/>
    <w:rPr>
      <w:b/>
      <w:bCs/>
      <w:kern w:val="2"/>
      <w:sz w:val="21"/>
      <w:szCs w:val="22"/>
    </w:rPr>
  </w:style>
  <w:style w:type="character" w:customStyle="1" w:styleId="130">
    <w:name w:val="纯文本 Char2"/>
    <w:qFormat/>
    <w:uiPriority w:val="0"/>
    <w:rPr>
      <w:rFonts w:ascii="宋体" w:hAnsi="Courier New"/>
      <w:sz w:val="21"/>
      <w:szCs w:val="21"/>
    </w:rPr>
  </w:style>
  <w:style w:type="character" w:customStyle="1" w:styleId="131">
    <w:name w:val="未处理的提及1"/>
    <w:unhideWhenUsed/>
    <w:qFormat/>
    <w:uiPriority w:val="99"/>
    <w:rPr>
      <w:color w:val="605E5C"/>
      <w:shd w:val="clear" w:color="auto" w:fill="E1DFDD"/>
    </w:rPr>
  </w:style>
  <w:style w:type="paragraph" w:customStyle="1" w:styleId="132">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styleId="133">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96</Pages>
  <Words>21513</Words>
  <Characters>23091</Characters>
  <Lines>324</Lines>
  <Paragraphs>91</Paragraphs>
  <TotalTime>40</TotalTime>
  <ScaleCrop>false</ScaleCrop>
  <LinksUpToDate>false</LinksUpToDate>
  <CharactersWithSpaces>23250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2024-05-11T06:57:00Z</dcterms:created>
  <dc:creator>Administrator</dc:creator>
  <cp:lastModifiedBy>cl</cp:lastModifiedBy>
  <dcterms:modified xsi:type="dcterms:W3CDTF">2024-12-12T01:10:16Z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199B4301D46E4ACA98FCB46D84911E1C_13</vt:lpwstr>
  </property>
</Properties>
</file>