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2521E02">
      <w:pPr>
        <w:ind w:firstLine="565" w:firstLineChars="201"/>
        <w:jc w:val="center"/>
        <w:rPr>
          <w:rFonts w:ascii="宋体" w:hAnsi="宋体"/>
          <w:b/>
          <w:bCs/>
          <w:color w:val="000000" w:themeColor="text1"/>
          <w:kern w:val="0"/>
          <w:szCs w:val="28"/>
          <w14:textFill>
            <w14:solidFill>
              <w14:schemeClr w14:val="tx1"/>
            </w14:solidFill>
          </w14:textFill>
        </w:rPr>
      </w:pPr>
    </w:p>
    <w:p w14:paraId="629D9B82">
      <w:pPr>
        <w:pStyle w:val="2"/>
        <w:ind w:left="0" w:leftChars="0" w:firstLine="0" w:firstLineChars="0"/>
        <w:rPr>
          <w:rFonts w:ascii="宋体" w:hAnsi="宋体"/>
          <w:b/>
          <w:bCs/>
          <w:color w:val="000000" w:themeColor="text1"/>
          <w:kern w:val="0"/>
          <w:szCs w:val="28"/>
          <w14:textFill>
            <w14:solidFill>
              <w14:schemeClr w14:val="tx1"/>
            </w14:solidFill>
          </w14:textFill>
        </w:rPr>
      </w:pPr>
    </w:p>
    <w:p w14:paraId="78462C6B">
      <w:pPr>
        <w:pStyle w:val="2"/>
        <w:rPr>
          <w:rFonts w:ascii="宋体" w:hAnsi="宋体"/>
          <w:b/>
          <w:bCs/>
          <w:color w:val="000000" w:themeColor="text1"/>
          <w:kern w:val="0"/>
          <w:szCs w:val="28"/>
          <w14:textFill>
            <w14:solidFill>
              <w14:schemeClr w14:val="tx1"/>
            </w14:solidFill>
          </w14:textFill>
        </w:rPr>
      </w:pPr>
    </w:p>
    <w:p w14:paraId="21BDEEAF">
      <w:pPr>
        <w:pStyle w:val="2"/>
        <w:rPr>
          <w:rFonts w:ascii="宋体" w:hAnsi="宋体"/>
          <w:b/>
          <w:bCs/>
          <w:color w:val="000000" w:themeColor="text1"/>
          <w:kern w:val="0"/>
          <w:szCs w:val="28"/>
          <w14:textFill>
            <w14:solidFill>
              <w14:schemeClr w14:val="tx1"/>
            </w14:solidFill>
          </w14:textFill>
        </w:rPr>
      </w:pPr>
    </w:p>
    <w:p w14:paraId="3CD84EF3">
      <w:pPr>
        <w:snapToGrid w:val="0"/>
        <w:ind w:firstLine="1120"/>
        <w:jc w:val="center"/>
        <w:rPr>
          <w:rFonts w:ascii="方正小标宋简体" w:hAnsi="黑体" w:eastAsia="方正小标宋简体" w:cs="方正小标宋简体"/>
          <w:color w:val="000000" w:themeColor="text1"/>
          <w:kern w:val="0"/>
          <w:sz w:val="56"/>
          <w:szCs w:val="52"/>
          <w14:textFill>
            <w14:solidFill>
              <w14:schemeClr w14:val="tx1"/>
            </w14:solidFill>
          </w14:textFill>
        </w:rPr>
      </w:pPr>
      <w:r>
        <w:rPr>
          <w:rFonts w:ascii="方正小标宋简体" w:hAnsi="黑体" w:eastAsia="方正小标宋简体" w:cs="方正小标宋简体"/>
          <w:color w:val="000000" w:themeColor="text1"/>
          <w:kern w:val="0"/>
          <w:sz w:val="56"/>
          <w:szCs w:val="52"/>
          <w14:textFill>
            <w14:solidFill>
              <w14:schemeClr w14:val="tx1"/>
            </w14:solidFill>
          </w14:textFill>
        </w:rPr>
        <w:t>乳山市水利事务服务中心</w:t>
      </w:r>
    </w:p>
    <w:p w14:paraId="52222889">
      <w:pPr>
        <w:spacing w:before="624" w:beforeLines="200"/>
        <w:ind w:firstLine="1440"/>
        <w:jc w:val="center"/>
        <w:rPr>
          <w:rFonts w:ascii="方正小标宋简体" w:hAnsi="黑体" w:eastAsia="方正小标宋简体"/>
          <w:color w:val="000000" w:themeColor="text1"/>
          <w:kern w:val="0"/>
          <w:sz w:val="72"/>
          <w:szCs w:val="52"/>
          <w14:textFill>
            <w14:solidFill>
              <w14:schemeClr w14:val="tx1"/>
            </w14:solidFill>
          </w14:textFill>
        </w:rPr>
      </w:pPr>
      <w:r>
        <w:rPr>
          <w:rFonts w:hint="eastAsia" w:ascii="方正小标宋简体" w:hAnsi="黑体" w:eastAsia="方正小标宋简体" w:cs="方正小标宋简体"/>
          <w:color w:val="000000" w:themeColor="text1"/>
          <w:kern w:val="0"/>
          <w:sz w:val="72"/>
          <w:szCs w:val="52"/>
          <w14:textFill>
            <w14:solidFill>
              <w14:schemeClr w14:val="tx1"/>
            </w14:solidFill>
          </w14:textFill>
        </w:rPr>
        <w:t>竞争性磋商文件</w:t>
      </w:r>
    </w:p>
    <w:p w14:paraId="5230319D">
      <w:pPr>
        <w:ind w:firstLine="723" w:firstLineChars="201"/>
        <w:jc w:val="left"/>
        <w:rPr>
          <w:rFonts w:ascii="宋体" w:hAnsi="宋体"/>
          <w:color w:val="000000" w:themeColor="text1"/>
          <w:sz w:val="36"/>
          <w:szCs w:val="36"/>
          <w14:textFill>
            <w14:solidFill>
              <w14:schemeClr w14:val="tx1"/>
            </w14:solidFill>
          </w14:textFill>
        </w:rPr>
      </w:pPr>
    </w:p>
    <w:p w14:paraId="745CB381">
      <w:pPr>
        <w:ind w:firstLine="720"/>
        <w:jc w:val="left"/>
        <w:rPr>
          <w:rFonts w:ascii="宋体" w:hAnsi="宋体"/>
          <w:color w:val="000000" w:themeColor="text1"/>
          <w:sz w:val="36"/>
          <w:szCs w:val="36"/>
          <w14:textFill>
            <w14:solidFill>
              <w14:schemeClr w14:val="tx1"/>
            </w14:solidFill>
          </w14:textFill>
        </w:rPr>
      </w:pPr>
    </w:p>
    <w:p w14:paraId="708DFCBE">
      <w:pPr>
        <w:spacing w:after="156" w:afterLines="50"/>
        <w:ind w:firstLine="726" w:firstLineChars="201"/>
        <w:jc w:val="left"/>
        <w:rPr>
          <w:rFonts w:hint="eastAsia" w:ascii="仿宋_GB2312" w:hAnsi="仿宋" w:eastAsia="仿宋_GB2312" w:cs="方正楷体简体"/>
          <w:b/>
          <w:color w:val="000000" w:themeColor="text1"/>
          <w:sz w:val="36"/>
          <w:szCs w:val="36"/>
          <w:lang w:eastAsia="zh-CN"/>
          <w14:textFill>
            <w14:solidFill>
              <w14:schemeClr w14:val="tx1"/>
            </w14:solidFill>
          </w14:textFill>
        </w:rPr>
      </w:pPr>
      <w:r>
        <w:rPr>
          <w:rFonts w:hint="eastAsia" w:ascii="仿宋_GB2312" w:hAnsi="仿宋" w:cs="方正楷体简体"/>
          <w:b/>
          <w:color w:val="000000" w:themeColor="text1"/>
          <w:sz w:val="36"/>
          <w:szCs w:val="36"/>
          <w14:textFill>
            <w14:solidFill>
              <w14:schemeClr w14:val="tx1"/>
            </w14:solidFill>
          </w14:textFill>
        </w:rPr>
        <w:t>项目名称：</w:t>
      </w:r>
      <w:r>
        <w:rPr>
          <w:rFonts w:hint="eastAsia" w:ascii="仿宋_GB2312" w:hAnsi="仿宋" w:cs="方正楷体简体"/>
          <w:color w:val="000000" w:themeColor="text1"/>
          <w:sz w:val="36"/>
          <w:szCs w:val="36"/>
          <w:lang w:eastAsia="zh-CN"/>
          <w14:textFill>
            <w14:solidFill>
              <w14:schemeClr w14:val="tx1"/>
            </w14:solidFill>
          </w14:textFill>
        </w:rPr>
        <w:t>乳山市2024年小型水库维修养护项目</w:t>
      </w:r>
    </w:p>
    <w:p w14:paraId="4894E240">
      <w:pPr>
        <w:spacing w:after="156" w:afterLines="50"/>
        <w:ind w:firstLine="726" w:firstLineChars="201"/>
        <w:jc w:val="left"/>
        <w:rPr>
          <w:rFonts w:hint="eastAsia" w:ascii="仿宋_GB2312" w:hAnsi="仿宋" w:eastAsia="仿宋_GB2312" w:cs="方正楷体简体"/>
          <w:b/>
          <w:color w:val="000000" w:themeColor="text1"/>
          <w:sz w:val="36"/>
          <w:szCs w:val="36"/>
          <w:lang w:eastAsia="zh-CN"/>
          <w14:textFill>
            <w14:solidFill>
              <w14:schemeClr w14:val="tx1"/>
            </w14:solidFill>
          </w14:textFill>
        </w:rPr>
      </w:pPr>
      <w:r>
        <w:rPr>
          <w:rFonts w:hint="eastAsia" w:ascii="仿宋_GB2312" w:hAnsi="仿宋" w:cs="方正楷体简体"/>
          <w:b/>
          <w:color w:val="000000" w:themeColor="text1"/>
          <w:sz w:val="36"/>
          <w:szCs w:val="36"/>
          <w14:textFill>
            <w14:solidFill>
              <w14:schemeClr w14:val="tx1"/>
            </w14:solidFill>
          </w14:textFill>
        </w:rPr>
        <w:t>项目编号：</w:t>
      </w:r>
      <w:bookmarkStart w:id="3603" w:name="_GoBack"/>
      <w:bookmarkEnd w:id="3603"/>
      <w:r>
        <w:rPr>
          <w:rFonts w:hint="eastAsia" w:ascii="仿宋_GB2312" w:hAnsi="仿宋" w:cs="方正楷体简体"/>
          <w:color w:val="000000" w:themeColor="text1"/>
          <w:sz w:val="36"/>
          <w:szCs w:val="36"/>
          <w:lang w:eastAsia="zh-CN"/>
          <w14:textFill>
            <w14:solidFill>
              <w14:schemeClr w14:val="tx1"/>
            </w14:solidFill>
          </w14:textFill>
        </w:rPr>
        <w:t>SDGP371083000202402000122</w:t>
      </w:r>
    </w:p>
    <w:p w14:paraId="51890911">
      <w:pPr>
        <w:spacing w:after="156" w:afterLines="50"/>
        <w:ind w:firstLine="726" w:firstLineChars="201"/>
        <w:jc w:val="left"/>
        <w:rPr>
          <w:rFonts w:ascii="仿宋_GB2312" w:hAnsi="仿宋" w:cs="方正楷体简体"/>
          <w:color w:val="000000" w:themeColor="text1"/>
          <w:sz w:val="36"/>
          <w:szCs w:val="36"/>
          <w14:textFill>
            <w14:solidFill>
              <w14:schemeClr w14:val="tx1"/>
            </w14:solidFill>
          </w14:textFill>
        </w:rPr>
      </w:pPr>
      <w:r>
        <w:rPr>
          <w:rFonts w:hint="eastAsia" w:ascii="仿宋_GB2312" w:hAnsi="仿宋" w:cs="方正楷体简体"/>
          <w:b/>
          <w:color w:val="000000" w:themeColor="text1"/>
          <w:sz w:val="36"/>
          <w:szCs w:val="36"/>
          <w14:textFill>
            <w14:solidFill>
              <w14:schemeClr w14:val="tx1"/>
            </w14:solidFill>
          </w14:textFill>
        </w:rPr>
        <w:t>包段名称：</w:t>
      </w:r>
      <w:r>
        <w:rPr>
          <w:rFonts w:hint="eastAsia" w:ascii="仿宋_GB2312" w:hAnsi="仿宋" w:cs="方正楷体简体"/>
          <w:color w:val="000000" w:themeColor="text1"/>
          <w:sz w:val="36"/>
          <w:szCs w:val="36"/>
          <w:lang w:eastAsia="zh-CN"/>
          <w14:textFill>
            <w14:solidFill>
              <w14:schemeClr w14:val="tx1"/>
            </w14:solidFill>
          </w14:textFill>
        </w:rPr>
        <w:t>乳山市2024年小型水库维修养护项目</w:t>
      </w:r>
      <w:r>
        <w:rPr>
          <w:rFonts w:ascii="仿宋_GB2312" w:hAnsi="仿宋" w:cs="方正楷体简体"/>
          <w:color w:val="000000" w:themeColor="text1"/>
          <w:sz w:val="36"/>
          <w:szCs w:val="36"/>
          <w14:textFill>
            <w14:solidFill>
              <w14:schemeClr w14:val="tx1"/>
            </w14:solidFill>
          </w14:textFill>
        </w:rPr>
        <w:t>施工</w:t>
      </w:r>
      <w:r>
        <w:rPr>
          <w:rFonts w:hint="eastAsia" w:ascii="仿宋_GB2312" w:hAnsi="仿宋" w:cs="方正楷体简体"/>
          <w:color w:val="000000" w:themeColor="text1"/>
          <w:sz w:val="36"/>
          <w:szCs w:val="36"/>
          <w14:textFill>
            <w14:solidFill>
              <w14:schemeClr w14:val="tx1"/>
            </w14:solidFill>
          </w14:textFill>
        </w:rPr>
        <w:t xml:space="preserve"> (第</w:t>
      </w:r>
      <w:r>
        <w:rPr>
          <w:rFonts w:ascii="仿宋_GB2312" w:hAnsi="仿宋" w:cs="方正楷体简体"/>
          <w:color w:val="000000" w:themeColor="text1"/>
          <w:sz w:val="36"/>
          <w:szCs w:val="36"/>
          <w14:textFill>
            <w14:solidFill>
              <w14:schemeClr w14:val="tx1"/>
            </w14:solidFill>
          </w14:textFill>
        </w:rPr>
        <w:t>A</w:t>
      </w:r>
      <w:r>
        <w:rPr>
          <w:rFonts w:hint="eastAsia" w:ascii="仿宋_GB2312" w:hAnsi="仿宋" w:cs="方正楷体简体"/>
          <w:color w:val="000000" w:themeColor="text1"/>
          <w:sz w:val="36"/>
          <w:szCs w:val="36"/>
          <w14:textFill>
            <w14:solidFill>
              <w14:schemeClr w14:val="tx1"/>
            </w14:solidFill>
          </w14:textFill>
        </w:rPr>
        <w:t>包，共</w:t>
      </w:r>
      <w:r>
        <w:rPr>
          <w:rFonts w:ascii="仿宋_GB2312" w:hAnsi="仿宋" w:cs="方正楷体简体"/>
          <w:color w:val="000000" w:themeColor="text1"/>
          <w:sz w:val="36"/>
          <w:szCs w:val="36"/>
          <w14:textFill>
            <w14:solidFill>
              <w14:schemeClr w14:val="tx1"/>
            </w14:solidFill>
          </w14:textFill>
        </w:rPr>
        <w:t>2</w:t>
      </w:r>
      <w:r>
        <w:rPr>
          <w:rFonts w:hint="eastAsia" w:ascii="仿宋_GB2312" w:hAnsi="仿宋" w:cs="方正楷体简体"/>
          <w:color w:val="000000" w:themeColor="text1"/>
          <w:sz w:val="36"/>
          <w:szCs w:val="36"/>
          <w14:textFill>
            <w14:solidFill>
              <w14:schemeClr w14:val="tx1"/>
            </w14:solidFill>
          </w14:textFill>
        </w:rPr>
        <w:t xml:space="preserve">包) </w:t>
      </w:r>
    </w:p>
    <w:p w14:paraId="7C54D35B">
      <w:pPr>
        <w:spacing w:after="156" w:afterLines="50"/>
        <w:ind w:firstLine="726" w:firstLineChars="201"/>
        <w:jc w:val="left"/>
        <w:rPr>
          <w:rFonts w:hint="eastAsia" w:ascii="仿宋_GB2312" w:hAnsi="仿宋" w:cs="方正楷体简体"/>
          <w:color w:val="000000" w:themeColor="text1"/>
          <w:sz w:val="36"/>
          <w:szCs w:val="36"/>
          <w14:textFill>
            <w14:solidFill>
              <w14:schemeClr w14:val="tx1"/>
            </w14:solidFill>
          </w14:textFill>
        </w:rPr>
      </w:pPr>
      <w:r>
        <w:rPr>
          <w:rFonts w:hint="eastAsia" w:ascii="仿宋_GB2312" w:hAnsi="仿宋" w:cs="方正楷体简体"/>
          <w:b/>
          <w:color w:val="000000" w:themeColor="text1"/>
          <w:sz w:val="36"/>
          <w:szCs w:val="36"/>
          <w14:textFill>
            <w14:solidFill>
              <w14:schemeClr w14:val="tx1"/>
            </w14:solidFill>
          </w14:textFill>
        </w:rPr>
        <w:t>采购方式：</w:t>
      </w:r>
      <w:r>
        <w:rPr>
          <w:rFonts w:hint="eastAsia" w:ascii="仿宋_GB2312" w:hAnsi="仿宋" w:cs="方正楷体简体"/>
          <w:color w:val="000000" w:themeColor="text1"/>
          <w:sz w:val="36"/>
          <w:szCs w:val="36"/>
          <w14:textFill>
            <w14:solidFill>
              <w14:schemeClr w14:val="tx1"/>
            </w14:solidFill>
          </w14:textFill>
        </w:rPr>
        <w:t>竞争性磋商</w:t>
      </w:r>
    </w:p>
    <w:p w14:paraId="71545E83">
      <w:pPr>
        <w:pStyle w:val="2"/>
        <w:rPr>
          <w:color w:val="000000" w:themeColor="text1"/>
          <w14:textFill>
            <w14:solidFill>
              <w14:schemeClr w14:val="tx1"/>
            </w14:solidFill>
          </w14:textFill>
        </w:rPr>
      </w:pPr>
    </w:p>
    <w:p w14:paraId="5D845129">
      <w:pPr>
        <w:spacing w:before="156" w:beforeLines="50"/>
        <w:ind w:firstLine="726" w:firstLineChars="201"/>
        <w:jc w:val="center"/>
        <w:rPr>
          <w:rFonts w:hint="eastAsia" w:ascii="仿宋_GB2312" w:hAnsi="仿宋" w:eastAsia="仿宋_GB2312"/>
          <w:b/>
          <w:bCs/>
          <w:color w:val="000000" w:themeColor="text1"/>
          <w:kern w:val="0"/>
          <w:sz w:val="36"/>
          <w:szCs w:val="36"/>
          <w:lang w:eastAsia="zh-CN"/>
          <w14:textFill>
            <w14:solidFill>
              <w14:schemeClr w14:val="tx1"/>
            </w14:solidFill>
          </w14:textFill>
        </w:rPr>
      </w:pPr>
      <w:r>
        <w:rPr>
          <w:rFonts w:hint="eastAsia" w:ascii="仿宋_GB2312" w:hAnsi="仿宋" w:cs="方正楷体简体"/>
          <w:b/>
          <w:color w:val="000000" w:themeColor="text1"/>
          <w:sz w:val="36"/>
          <w:szCs w:val="36"/>
          <w14:textFill>
            <w14:solidFill>
              <w14:schemeClr w14:val="tx1"/>
            </w14:solidFill>
          </w14:textFill>
        </w:rPr>
        <w:t>代理机构：</w:t>
      </w:r>
      <w:r>
        <w:rPr>
          <w:rFonts w:hint="eastAsia" w:ascii="仿宋_GB2312" w:hAnsi="仿宋" w:cs="方正楷体简体"/>
          <w:color w:val="000000" w:themeColor="text1"/>
          <w:sz w:val="36"/>
          <w:szCs w:val="36"/>
          <w14:textFill>
            <w14:solidFill>
              <w14:schemeClr w14:val="tx1"/>
            </w14:solidFill>
          </w14:textFill>
        </w:rPr>
        <w:t xml:space="preserve"> </w:t>
      </w:r>
      <w:r>
        <w:rPr>
          <w:rFonts w:hint="eastAsia" w:ascii="仿宋_GB2312" w:hAnsi="仿宋" w:cs="方正楷体简体"/>
          <w:color w:val="000000" w:themeColor="text1"/>
          <w:sz w:val="36"/>
          <w:szCs w:val="36"/>
          <w:lang w:eastAsia="zh-CN"/>
          <w14:textFill>
            <w14:solidFill>
              <w14:schemeClr w14:val="tx1"/>
            </w14:solidFill>
          </w14:textFill>
        </w:rPr>
        <w:t>乳山市方识建设工程咨询有限公司</w:t>
      </w:r>
    </w:p>
    <w:p w14:paraId="040B145A">
      <w:pPr>
        <w:spacing w:before="156" w:beforeLines="50"/>
        <w:ind w:firstLine="726" w:firstLineChars="201"/>
        <w:jc w:val="center"/>
        <w:rPr>
          <w:rFonts w:hint="eastAsia" w:ascii="仿宋_GB2312" w:hAnsi="仿宋" w:eastAsia="仿宋_GB2312" w:cs="方正楷体简体"/>
          <w:color w:val="000000" w:themeColor="text1"/>
          <w:sz w:val="36"/>
          <w:szCs w:val="36"/>
          <w:lang w:eastAsia="zh-CN"/>
          <w14:textFill>
            <w14:solidFill>
              <w14:schemeClr w14:val="tx1"/>
            </w14:solidFill>
          </w14:textFill>
        </w:rPr>
      </w:pPr>
      <w:r>
        <w:rPr>
          <w:rFonts w:hint="eastAsia" w:ascii="仿宋_GB2312" w:hAnsi="仿宋" w:cs="方正楷体简体"/>
          <w:b/>
          <w:color w:val="000000" w:themeColor="text1"/>
          <w:sz w:val="36"/>
          <w:szCs w:val="36"/>
          <w14:textFill>
            <w14:solidFill>
              <w14:schemeClr w14:val="tx1"/>
            </w14:solidFill>
          </w14:textFill>
        </w:rPr>
        <w:t>编制时间：</w:t>
      </w:r>
      <w:r>
        <w:rPr>
          <w:rFonts w:ascii="仿宋_GB2312" w:hAnsi="仿宋" w:cs="方正楷体简体"/>
          <w:color w:val="000000" w:themeColor="text1"/>
          <w:sz w:val="36"/>
          <w:szCs w:val="36"/>
          <w14:textFill>
            <w14:solidFill>
              <w14:schemeClr w14:val="tx1"/>
            </w14:solidFill>
          </w14:textFill>
        </w:rPr>
        <w:t>2024年</w:t>
      </w:r>
      <w:r>
        <w:rPr>
          <w:rFonts w:hint="eastAsia" w:ascii="仿宋_GB2312" w:hAnsi="仿宋" w:cs="方正楷体简体"/>
          <w:color w:val="000000" w:themeColor="text1"/>
          <w:sz w:val="36"/>
          <w:szCs w:val="36"/>
          <w:lang w:eastAsia="zh-CN"/>
          <w14:textFill>
            <w14:solidFill>
              <w14:schemeClr w14:val="tx1"/>
            </w14:solidFill>
          </w14:textFill>
        </w:rPr>
        <w:t>12月26日</w:t>
      </w:r>
    </w:p>
    <w:p w14:paraId="48B924A2">
      <w:pPr>
        <w:spacing w:before="156" w:beforeLines="50"/>
        <w:ind w:firstLine="726" w:firstLineChars="201"/>
        <w:jc w:val="center"/>
        <w:rPr>
          <w:rFonts w:ascii="仿宋_GB2312" w:hAnsi="仿宋" w:cs="方正楷体简体"/>
          <w:b/>
          <w:color w:val="000000" w:themeColor="text1"/>
          <w:sz w:val="36"/>
          <w:szCs w:val="36"/>
          <w14:textFill>
            <w14:solidFill>
              <w14:schemeClr w14:val="tx1"/>
            </w14:solidFill>
          </w14:textFill>
        </w:rPr>
      </w:pPr>
    </w:p>
    <w:p w14:paraId="06FC6300">
      <w:pPr>
        <w:ind w:firstLine="1045" w:firstLineChars="201"/>
        <w:jc w:val="center"/>
        <w:rPr>
          <w:rFonts w:ascii="黑体" w:hAnsi="黑体" w:eastAsia="黑体" w:cs="方正小标宋简体"/>
          <w:color w:val="000000" w:themeColor="text1"/>
          <w:kern w:val="0"/>
          <w:sz w:val="52"/>
          <w:szCs w:val="52"/>
          <w14:textFill>
            <w14:solidFill>
              <w14:schemeClr w14:val="tx1"/>
            </w14:solidFill>
          </w14:textFill>
        </w:rPr>
        <w:sectPr>
          <w:headerReference r:id="rId7" w:type="first"/>
          <w:footerReference r:id="rId10" w:type="first"/>
          <w:headerReference r:id="rId5" w:type="default"/>
          <w:footerReference r:id="rId8" w:type="default"/>
          <w:headerReference r:id="rId6" w:type="even"/>
          <w:footerReference r:id="rId9" w:type="even"/>
          <w:pgSz w:w="11906" w:h="16838"/>
          <w:pgMar w:top="1440" w:right="1080" w:bottom="1440" w:left="1080" w:header="851" w:footer="992" w:gutter="0"/>
          <w:pgNumType w:start="1"/>
          <w:cols w:space="720" w:num="1"/>
          <w:docGrid w:type="lines" w:linePitch="312" w:charSpace="0"/>
        </w:sectPr>
      </w:pPr>
    </w:p>
    <w:p w14:paraId="6CEDA980">
      <w:pPr>
        <w:ind w:firstLine="1045" w:firstLineChars="201"/>
        <w:jc w:val="center"/>
        <w:rPr>
          <w:rFonts w:ascii="黑体" w:hAnsi="黑体" w:eastAsia="黑体"/>
          <w:b/>
          <w:color w:val="000000" w:themeColor="text1"/>
          <w:sz w:val="44"/>
          <w:szCs w:val="44"/>
          <w14:textFill>
            <w14:solidFill>
              <w14:schemeClr w14:val="tx1"/>
            </w14:solidFill>
          </w14:textFill>
        </w:rPr>
      </w:pPr>
      <w:r>
        <w:rPr>
          <w:rFonts w:hint="eastAsia" w:ascii="黑体" w:hAnsi="黑体" w:eastAsia="黑体" w:cs="方正小标宋简体"/>
          <w:color w:val="000000" w:themeColor="text1"/>
          <w:kern w:val="0"/>
          <w:sz w:val="52"/>
          <w:szCs w:val="52"/>
          <w14:textFill>
            <w14:solidFill>
              <w14:schemeClr w14:val="tx1"/>
            </w14:solidFill>
          </w14:textFill>
        </w:rPr>
        <w:t>目  录</w:t>
      </w:r>
    </w:p>
    <w:p w14:paraId="089BF4FE">
      <w:pPr>
        <w:spacing w:line="560" w:lineRule="exact"/>
        <w:ind w:firstLine="562" w:firstLineChars="201"/>
        <w:jc w:val="left"/>
        <w:rPr>
          <w:rFonts w:ascii="宋体" w:hAnsi="宋体" w:cs="方正楷体简体"/>
          <w:color w:val="000000" w:themeColor="text1"/>
          <w:szCs w:val="28"/>
          <w14:textFill>
            <w14:solidFill>
              <w14:schemeClr w14:val="tx1"/>
            </w14:solidFill>
          </w14:textFill>
        </w:rPr>
      </w:pPr>
    </w:p>
    <w:p w14:paraId="24564D1E">
      <w:pPr>
        <w:spacing w:line="560" w:lineRule="exact"/>
        <w:ind w:firstLine="565" w:firstLineChars="201"/>
        <w:jc w:val="left"/>
        <w:rPr>
          <w:rFonts w:ascii="仿宋_GB2312" w:hAnsi="宋体" w:cs="宋体"/>
          <w:b/>
          <w:bCs/>
          <w:caps/>
          <w:color w:val="000000" w:themeColor="text1"/>
          <w:szCs w:val="28"/>
          <w14:textFill>
            <w14:solidFill>
              <w14:schemeClr w14:val="tx1"/>
            </w14:solidFill>
          </w14:textFill>
        </w:rPr>
      </w:pPr>
    </w:p>
    <w:p w14:paraId="4E015446">
      <w:pPr>
        <w:ind w:firstLine="562"/>
        <w:rPr>
          <w:rFonts w:ascii="仿宋_GB2312" w:hAnsi="宋体"/>
          <w:b/>
          <w:color w:val="000000" w:themeColor="text1"/>
          <w14:textFill>
            <w14:solidFill>
              <w14:schemeClr w14:val="tx1"/>
            </w14:solidFill>
          </w14:textFill>
        </w:rPr>
      </w:pPr>
    </w:p>
    <w:p w14:paraId="64F0EA0E">
      <w:pPr>
        <w:spacing w:line="560" w:lineRule="exact"/>
        <w:ind w:firstLine="565" w:firstLineChars="201"/>
        <w:jc w:val="left"/>
        <w:rPr>
          <w:rFonts w:ascii="仿宋_GB2312" w:hAnsi="宋体"/>
          <w:b/>
          <w:bCs/>
          <w:caps/>
          <w:color w:val="000000" w:themeColor="text1"/>
          <w:szCs w:val="28"/>
          <w14:textFill>
            <w14:solidFill>
              <w14:schemeClr w14:val="tx1"/>
            </w14:solidFill>
          </w14:textFill>
        </w:rPr>
      </w:pPr>
    </w:p>
    <w:p w14:paraId="5469409E">
      <w:pPr>
        <w:spacing w:line="560" w:lineRule="exact"/>
        <w:ind w:firstLine="565" w:firstLineChars="201"/>
        <w:jc w:val="left"/>
        <w:rPr>
          <w:rFonts w:ascii="仿宋_GB2312" w:hAnsi="宋体" w:cs="方正楷体简体"/>
          <w:b/>
          <w:color w:val="000000" w:themeColor="text1"/>
          <w:szCs w:val="28"/>
          <w14:textFill>
            <w14:solidFill>
              <w14:schemeClr w14:val="tx1"/>
            </w14:solidFill>
          </w14:textFill>
        </w:rPr>
      </w:pPr>
    </w:p>
    <w:p w14:paraId="672F1EEE">
      <w:pPr>
        <w:spacing w:line="720" w:lineRule="exact"/>
        <w:ind w:firstLine="565" w:firstLineChars="201"/>
        <w:jc w:val="left"/>
        <w:rPr>
          <w:rFonts w:ascii="仿宋_GB2312" w:hAnsi="黑体" w:cs="宋体"/>
          <w:b/>
          <w:bCs/>
          <w:caps/>
          <w:color w:val="000000" w:themeColor="text1"/>
          <w:szCs w:val="28"/>
          <w14:textFill>
            <w14:solidFill>
              <w14:schemeClr w14:val="tx1"/>
            </w14:solidFill>
          </w14:textFill>
        </w:rPr>
      </w:pPr>
      <w:r>
        <w:rPr>
          <w:rFonts w:hint="eastAsia" w:ascii="仿宋_GB2312" w:hAnsi="黑体" w:cs="宋体"/>
          <w:b/>
          <w:bCs/>
          <w:caps/>
          <w:color w:val="000000" w:themeColor="text1"/>
          <w:szCs w:val="28"/>
          <w14:textFill>
            <w14:solidFill>
              <w14:schemeClr w14:val="tx1"/>
            </w14:solidFill>
          </w14:textFill>
        </w:rPr>
        <w:t xml:space="preserve">第一章   竞争性磋商公告 </w:t>
      </w:r>
    </w:p>
    <w:p w14:paraId="144B2775">
      <w:pPr>
        <w:spacing w:line="720" w:lineRule="exact"/>
        <w:ind w:firstLine="565" w:firstLineChars="201"/>
        <w:jc w:val="left"/>
        <w:rPr>
          <w:rFonts w:ascii="仿宋_GB2312" w:hAnsi="黑体" w:cs="宋体"/>
          <w:b/>
          <w:bCs/>
          <w:caps/>
          <w:color w:val="000000" w:themeColor="text1"/>
          <w:szCs w:val="28"/>
          <w14:textFill>
            <w14:solidFill>
              <w14:schemeClr w14:val="tx1"/>
            </w14:solidFill>
          </w14:textFill>
        </w:rPr>
      </w:pPr>
      <w:r>
        <w:rPr>
          <w:rFonts w:hint="eastAsia" w:ascii="仿宋_GB2312" w:hAnsi="黑体" w:cs="宋体"/>
          <w:b/>
          <w:bCs/>
          <w:caps/>
          <w:color w:val="000000" w:themeColor="text1"/>
          <w:szCs w:val="28"/>
          <w14:textFill>
            <w14:solidFill>
              <w14:schemeClr w14:val="tx1"/>
            </w14:solidFill>
          </w14:textFill>
        </w:rPr>
        <w:t>第二章   磋商须知</w:t>
      </w:r>
    </w:p>
    <w:p w14:paraId="66FCA10A">
      <w:pPr>
        <w:spacing w:line="720" w:lineRule="exact"/>
        <w:ind w:firstLine="565" w:firstLineChars="201"/>
        <w:jc w:val="left"/>
        <w:rPr>
          <w:rFonts w:ascii="仿宋_GB2312" w:hAnsi="黑体" w:cs="宋体"/>
          <w:b/>
          <w:bCs/>
          <w:caps/>
          <w:color w:val="000000" w:themeColor="text1"/>
          <w:szCs w:val="28"/>
          <w14:textFill>
            <w14:solidFill>
              <w14:schemeClr w14:val="tx1"/>
            </w14:solidFill>
          </w14:textFill>
        </w:rPr>
      </w:pPr>
      <w:r>
        <w:rPr>
          <w:rFonts w:hint="eastAsia" w:ascii="仿宋_GB2312" w:hAnsi="黑体" w:cs="宋体"/>
          <w:b/>
          <w:bCs/>
          <w:caps/>
          <w:color w:val="000000" w:themeColor="text1"/>
          <w:szCs w:val="28"/>
          <w14:textFill>
            <w14:solidFill>
              <w14:schemeClr w14:val="tx1"/>
            </w14:solidFill>
          </w14:textFill>
        </w:rPr>
        <w:t>第三章   采购内容与要求</w:t>
      </w:r>
    </w:p>
    <w:p w14:paraId="61339671">
      <w:pPr>
        <w:spacing w:line="720" w:lineRule="exact"/>
        <w:ind w:firstLine="565" w:firstLineChars="201"/>
        <w:jc w:val="left"/>
        <w:rPr>
          <w:rFonts w:ascii="仿宋_GB2312" w:hAnsi="黑体" w:cs="宋体"/>
          <w:b/>
          <w:bCs/>
          <w:caps/>
          <w:color w:val="000000" w:themeColor="text1"/>
          <w:szCs w:val="28"/>
          <w14:textFill>
            <w14:solidFill>
              <w14:schemeClr w14:val="tx1"/>
            </w14:solidFill>
          </w14:textFill>
        </w:rPr>
      </w:pPr>
      <w:r>
        <w:rPr>
          <w:rFonts w:hint="eastAsia" w:ascii="仿宋_GB2312" w:hAnsi="黑体" w:cs="宋体"/>
          <w:b/>
          <w:bCs/>
          <w:caps/>
          <w:color w:val="000000" w:themeColor="text1"/>
          <w:szCs w:val="28"/>
          <w14:textFill>
            <w14:solidFill>
              <w14:schemeClr w14:val="tx1"/>
            </w14:solidFill>
          </w14:textFill>
        </w:rPr>
        <w:t>第四章   磋商原则、程序与方法</w:t>
      </w:r>
    </w:p>
    <w:p w14:paraId="71A29823">
      <w:pPr>
        <w:spacing w:line="720" w:lineRule="exact"/>
        <w:ind w:firstLine="565" w:firstLineChars="201"/>
        <w:jc w:val="left"/>
        <w:rPr>
          <w:rFonts w:ascii="仿宋_GB2312" w:hAnsi="黑体" w:cs="宋体"/>
          <w:b/>
          <w:bCs/>
          <w:caps/>
          <w:color w:val="000000" w:themeColor="text1"/>
          <w:szCs w:val="28"/>
          <w14:textFill>
            <w14:solidFill>
              <w14:schemeClr w14:val="tx1"/>
            </w14:solidFill>
          </w14:textFill>
        </w:rPr>
      </w:pPr>
      <w:r>
        <w:rPr>
          <w:rFonts w:hint="eastAsia" w:ascii="仿宋_GB2312" w:hAnsi="黑体" w:cs="宋体"/>
          <w:b/>
          <w:bCs/>
          <w:caps/>
          <w:color w:val="000000" w:themeColor="text1"/>
          <w:szCs w:val="28"/>
          <w14:textFill>
            <w14:solidFill>
              <w14:schemeClr w14:val="tx1"/>
            </w14:solidFill>
          </w14:textFill>
        </w:rPr>
        <w:t>第五章   响应文件格式与要求</w:t>
      </w:r>
    </w:p>
    <w:p w14:paraId="508A5B4A">
      <w:pPr>
        <w:spacing w:line="720" w:lineRule="exact"/>
        <w:ind w:firstLine="565" w:firstLineChars="201"/>
        <w:jc w:val="left"/>
        <w:rPr>
          <w:rFonts w:ascii="仿宋_GB2312" w:hAnsi="黑体" w:cs="宋体"/>
          <w:b/>
          <w:bCs/>
          <w:caps/>
          <w:color w:val="000000" w:themeColor="text1"/>
          <w:szCs w:val="28"/>
          <w14:textFill>
            <w14:solidFill>
              <w14:schemeClr w14:val="tx1"/>
            </w14:solidFill>
          </w14:textFill>
        </w:rPr>
      </w:pPr>
      <w:r>
        <w:rPr>
          <w:rFonts w:hint="eastAsia" w:ascii="仿宋_GB2312" w:hAnsi="黑体" w:cs="宋体"/>
          <w:b/>
          <w:bCs/>
          <w:caps/>
          <w:color w:val="000000" w:themeColor="text1"/>
          <w:szCs w:val="28"/>
          <w14:textFill>
            <w14:solidFill>
              <w14:schemeClr w14:val="tx1"/>
            </w14:solidFill>
          </w14:textFill>
        </w:rPr>
        <w:t>第六章   政府采购合同（范本）</w:t>
      </w:r>
    </w:p>
    <w:p w14:paraId="7C73D66A">
      <w:pPr>
        <w:spacing w:line="560" w:lineRule="exact"/>
        <w:ind w:firstLine="424" w:firstLineChars="151"/>
        <w:jc w:val="left"/>
        <w:rPr>
          <w:rFonts w:ascii="仿宋_GB2312" w:hAnsi="宋体" w:cs="宋体"/>
          <w:b/>
          <w:bCs/>
          <w:caps/>
          <w:color w:val="000000" w:themeColor="text1"/>
          <w:szCs w:val="28"/>
          <w14:textFill>
            <w14:solidFill>
              <w14:schemeClr w14:val="tx1"/>
            </w14:solidFill>
          </w14:textFill>
        </w:rPr>
      </w:pPr>
    </w:p>
    <w:p w14:paraId="10307DDF">
      <w:pPr>
        <w:spacing w:line="560" w:lineRule="exact"/>
        <w:ind w:firstLine="424" w:firstLineChars="151"/>
        <w:jc w:val="left"/>
        <w:rPr>
          <w:rFonts w:ascii="仿宋_GB2312" w:hAnsi="宋体"/>
          <w:b/>
          <w:bCs/>
          <w:caps/>
          <w:color w:val="000000" w:themeColor="text1"/>
          <w:szCs w:val="28"/>
          <w14:textFill>
            <w14:solidFill>
              <w14:schemeClr w14:val="tx1"/>
            </w14:solidFill>
          </w14:textFill>
        </w:rPr>
      </w:pPr>
    </w:p>
    <w:p w14:paraId="0F5D05C0">
      <w:pPr>
        <w:ind w:firstLine="560"/>
        <w:rPr>
          <w:rFonts w:ascii="宋体" w:hAnsi="宋体"/>
          <w:color w:val="000000" w:themeColor="text1"/>
          <w:kern w:val="0"/>
          <w14:textFill>
            <w14:solidFill>
              <w14:schemeClr w14:val="tx1"/>
            </w14:solidFill>
          </w14:textFill>
        </w:rPr>
        <w:sectPr>
          <w:headerReference r:id="rId11" w:type="default"/>
          <w:pgSz w:w="11906" w:h="16838"/>
          <w:pgMar w:top="1440" w:right="1080" w:bottom="1440" w:left="1080" w:header="851" w:footer="992" w:gutter="0"/>
          <w:pgNumType w:start="1"/>
          <w:cols w:space="720" w:num="1"/>
          <w:docGrid w:type="lines" w:linePitch="312" w:charSpace="0"/>
        </w:sectPr>
      </w:pPr>
    </w:p>
    <w:p w14:paraId="5325BF2A">
      <w:pPr>
        <w:pStyle w:val="43"/>
        <w:numPr>
          <w:ilvl w:val="0"/>
          <w:numId w:val="1"/>
        </w:numPr>
        <w:spacing w:before="100" w:beforeAutospacing="1" w:after="100" w:afterAutospacing="1" w:line="415" w:lineRule="auto"/>
        <w:ind w:left="1" w:leftChars="-159" w:hanging="446" w:hangingChars="101"/>
        <w:rPr>
          <w:rFonts w:ascii="宋体" w:hAnsi="宋体" w:cs="宋体"/>
          <w:color w:val="000000" w:themeColor="text1"/>
          <w:sz w:val="24"/>
          <w:szCs w:val="44"/>
          <w14:textFill>
            <w14:solidFill>
              <w14:schemeClr w14:val="tx1"/>
            </w14:solidFill>
          </w14:textFill>
        </w:rPr>
      </w:pPr>
      <w:r>
        <w:rPr>
          <w:rFonts w:hint="eastAsia" w:ascii="楷体_GB2312" w:hAnsi="宋体" w:eastAsia="楷体_GB2312" w:cs="宋体"/>
          <w:color w:val="000000" w:themeColor="text1"/>
          <w:sz w:val="44"/>
          <w:szCs w:val="44"/>
          <w14:textFill>
            <w14:solidFill>
              <w14:schemeClr w14:val="tx1"/>
            </w14:solidFill>
          </w14:textFill>
        </w:rPr>
        <w:t>采购公告</w:t>
      </w:r>
    </w:p>
    <w:p w14:paraId="4A8DD4F4">
      <w:pPr>
        <w:ind w:firstLine="560"/>
        <w:rPr>
          <w:color w:val="000000" w:themeColor="text1"/>
          <w14:textFill>
            <w14:solidFill>
              <w14:schemeClr w14:val="tx1"/>
            </w14:solidFill>
          </w14:textFill>
        </w:rPr>
      </w:pPr>
    </w:p>
    <w:p w14:paraId="1EFEDA5A">
      <w:pPr>
        <w:ind w:firstLine="560"/>
        <w:rPr>
          <w:color w:val="000000" w:themeColor="text1"/>
          <w14:textFill>
            <w14:solidFill>
              <w14:schemeClr w14:val="tx1"/>
            </w14:solidFill>
          </w14:textFill>
        </w:rPr>
        <w:sectPr>
          <w:headerReference r:id="rId13" w:type="first"/>
          <w:footerReference r:id="rId14" w:type="default"/>
          <w:headerReference r:id="rId12" w:type="even"/>
          <w:pgSz w:w="11906" w:h="16838"/>
          <w:pgMar w:top="1440" w:right="1077" w:bottom="1440" w:left="1077" w:header="851" w:footer="992" w:gutter="0"/>
          <w:cols w:space="720" w:num="1"/>
          <w:docGrid w:type="lines" w:linePitch="312" w:charSpace="0"/>
        </w:sectPr>
      </w:pPr>
    </w:p>
    <w:p w14:paraId="2BFF1080">
      <w:pPr>
        <w:spacing w:after="240"/>
        <w:ind w:firstLine="600"/>
        <w:jc w:val="center"/>
        <w:rPr>
          <w:rFonts w:ascii="方正小标宋简体" w:eastAsia="方正小标宋简体"/>
          <w:b/>
          <w:color w:val="000000" w:themeColor="text1"/>
          <w:sz w:val="30"/>
          <w:szCs w:val="30"/>
          <w14:textFill>
            <w14:solidFill>
              <w14:schemeClr w14:val="tx1"/>
            </w14:solidFill>
          </w14:textFill>
        </w:rPr>
      </w:pPr>
      <w:r>
        <w:rPr>
          <w:rFonts w:ascii="方正小标宋简体" w:eastAsia="方正小标宋简体"/>
          <w:b/>
          <w:color w:val="000000" w:themeColor="text1"/>
          <w:sz w:val="30"/>
          <w:szCs w:val="30"/>
          <w14:textFill>
            <w14:solidFill>
              <w14:schemeClr w14:val="tx1"/>
            </w14:solidFill>
          </w14:textFill>
        </w:rPr>
        <w:t xml:space="preserve"> </w:t>
      </w:r>
      <w:r>
        <w:rPr>
          <w:rFonts w:hint="eastAsia" w:ascii="方正小标宋简体" w:eastAsia="方正小标宋简体"/>
          <w:b/>
          <w:color w:val="000000" w:themeColor="text1"/>
          <w:sz w:val="30"/>
          <w:szCs w:val="30"/>
          <w:lang w:eastAsia="zh-CN"/>
          <w14:textFill>
            <w14:solidFill>
              <w14:schemeClr w14:val="tx1"/>
            </w14:solidFill>
          </w14:textFill>
        </w:rPr>
        <w:t>乳山市2024年小型水库维修养护项目</w:t>
      </w:r>
      <w:r>
        <w:rPr>
          <w:rFonts w:hint="eastAsia" w:ascii="方正小标宋简体" w:eastAsia="方正小标宋简体"/>
          <w:b/>
          <w:color w:val="000000" w:themeColor="text1"/>
          <w:sz w:val="30"/>
          <w:szCs w:val="30"/>
          <w14:textFill>
            <w14:solidFill>
              <w14:schemeClr w14:val="tx1"/>
            </w14:solidFill>
          </w14:textFill>
        </w:rPr>
        <w:t>竞争性磋商公告</w:t>
      </w:r>
    </w:p>
    <w:p w14:paraId="683DB64A">
      <w:pPr>
        <w:pBdr>
          <w:top w:val="single" w:color="auto" w:sz="4" w:space="1"/>
          <w:left w:val="single" w:color="auto" w:sz="4" w:space="4"/>
          <w:bottom w:val="single" w:color="auto" w:sz="4" w:space="1"/>
          <w:right w:val="single" w:color="auto" w:sz="4" w:space="4"/>
        </w:pBdr>
        <w:ind w:firstLine="560"/>
        <w:rPr>
          <w:rFonts w:ascii="黑体" w:hAnsi="黑体" w:eastAsia="黑体" w:cs="宋体"/>
          <w:color w:val="000000" w:themeColor="text1"/>
          <w:szCs w:val="28"/>
          <w14:textFill>
            <w14:solidFill>
              <w14:schemeClr w14:val="tx1"/>
            </w14:solidFill>
          </w14:textFill>
        </w:rPr>
      </w:pPr>
      <w:r>
        <w:rPr>
          <w:rFonts w:hint="eastAsia" w:ascii="黑体" w:hAnsi="黑体" w:eastAsia="黑体" w:cs="宋体"/>
          <w:color w:val="000000" w:themeColor="text1"/>
          <w:szCs w:val="28"/>
          <w14:textFill>
            <w14:solidFill>
              <w14:schemeClr w14:val="tx1"/>
            </w14:solidFill>
          </w14:textFill>
        </w:rPr>
        <w:t>项目概况</w:t>
      </w:r>
    </w:p>
    <w:p w14:paraId="3C845FCA">
      <w:pPr>
        <w:widowControl/>
        <w:pBdr>
          <w:top w:val="single" w:color="auto" w:sz="4" w:space="1"/>
          <w:left w:val="single" w:color="auto" w:sz="4" w:space="4"/>
          <w:bottom w:val="single" w:color="auto" w:sz="4" w:space="1"/>
          <w:right w:val="single" w:color="auto" w:sz="4" w:space="4"/>
        </w:pBdr>
        <w:adjustRightInd w:val="0"/>
        <w:ind w:firstLine="592"/>
        <w:jc w:val="left"/>
        <w:rPr>
          <w:rFonts w:ascii="仿宋_GB2312" w:hAnsi="仿宋" w:cs="宋体"/>
          <w:color w:val="000000" w:themeColor="text1"/>
          <w:spacing w:val="8"/>
          <w:szCs w:val="28"/>
          <w14:textFill>
            <w14:solidFill>
              <w14:schemeClr w14:val="tx1"/>
            </w14:solidFill>
          </w14:textFill>
        </w:rPr>
      </w:pPr>
      <w:r>
        <w:rPr>
          <w:rFonts w:ascii="仿宋_GB2312" w:hAnsi="仿宋" w:cs="宋体"/>
          <w:color w:val="000000" w:themeColor="text1"/>
          <w:spacing w:val="8"/>
          <w:szCs w:val="28"/>
          <w14:textFill>
            <w14:solidFill>
              <w14:schemeClr w14:val="tx1"/>
            </w14:solidFill>
          </w14:textFill>
        </w:rPr>
        <w:t xml:space="preserve"> </w:t>
      </w:r>
      <w:r>
        <w:rPr>
          <w:rFonts w:hint="eastAsia" w:ascii="仿宋_GB2312" w:hAnsi="仿宋" w:cs="宋体"/>
          <w:color w:val="000000" w:themeColor="text1"/>
          <w:spacing w:val="8"/>
          <w:szCs w:val="28"/>
          <w:lang w:eastAsia="zh-CN"/>
          <w14:textFill>
            <w14:solidFill>
              <w14:schemeClr w14:val="tx1"/>
            </w14:solidFill>
          </w14:textFill>
        </w:rPr>
        <w:t>乳山市2024年小型水库维修养护项目</w:t>
      </w:r>
      <w:r>
        <w:rPr>
          <w:rFonts w:hint="eastAsia" w:ascii="仿宋_GB2312" w:hAnsi="仿宋" w:cs="宋体"/>
          <w:color w:val="000000" w:themeColor="text1"/>
          <w:spacing w:val="8"/>
          <w:szCs w:val="28"/>
          <w14:textFill>
            <w14:solidFill>
              <w14:schemeClr w14:val="tx1"/>
            </w14:solidFill>
          </w14:textFill>
        </w:rPr>
        <w:t>采购项目的潜在供应商应在</w:t>
      </w:r>
      <w:r>
        <w:rPr>
          <w:rFonts w:hint="eastAsia" w:ascii="仿宋_GB2312" w:hAnsi="仿宋" w:cs="宋体"/>
          <w:color w:val="000000" w:themeColor="text1"/>
          <w:spacing w:val="8"/>
          <w:szCs w:val="28"/>
          <w:u w:val="single"/>
          <w14:textFill>
            <w14:solidFill>
              <w14:schemeClr w14:val="tx1"/>
            </w14:solidFill>
          </w14:textFill>
        </w:rPr>
        <w:t xml:space="preserve"> 威海市政府采购电子交易系统威海市公共资源交易网（乳山分中心）右侧“交易服务一网通办”登录后选择“政府采购”按钮</w:t>
      </w:r>
      <w:r>
        <w:rPr>
          <w:rFonts w:hint="eastAsia" w:ascii="仿宋_GB2312" w:hAnsi="仿宋" w:cs="宋体"/>
          <w:color w:val="000000" w:themeColor="text1"/>
          <w:spacing w:val="8"/>
          <w:szCs w:val="28"/>
          <w14:textFill>
            <w14:solidFill>
              <w14:schemeClr w14:val="tx1"/>
            </w14:solidFill>
          </w14:textFill>
        </w:rPr>
        <w:t>获取采购文件，并于</w:t>
      </w:r>
      <w:r>
        <w:rPr>
          <w:rFonts w:ascii="仿宋_GB2312" w:hAnsi="仿宋" w:cs="宋体"/>
          <w:color w:val="000000" w:themeColor="text1"/>
          <w:spacing w:val="8"/>
          <w:szCs w:val="28"/>
          <w:u w:val="single"/>
          <w14:textFill>
            <w14:solidFill>
              <w14:schemeClr w14:val="tx1"/>
            </w14:solidFill>
          </w14:textFill>
        </w:rPr>
        <w:t>202</w:t>
      </w:r>
      <w:r>
        <w:rPr>
          <w:rFonts w:hint="eastAsia" w:ascii="仿宋_GB2312" w:hAnsi="仿宋" w:cs="宋体"/>
          <w:color w:val="000000" w:themeColor="text1"/>
          <w:spacing w:val="8"/>
          <w:szCs w:val="28"/>
          <w:u w:val="single"/>
          <w:lang w:val="en-US" w:eastAsia="zh-CN"/>
          <w14:textFill>
            <w14:solidFill>
              <w14:schemeClr w14:val="tx1"/>
            </w14:solidFill>
          </w14:textFill>
        </w:rPr>
        <w:t>5</w:t>
      </w:r>
      <w:r>
        <w:rPr>
          <w:rFonts w:ascii="仿宋_GB2312" w:hAnsi="仿宋" w:cs="宋体"/>
          <w:color w:val="000000" w:themeColor="text1"/>
          <w:spacing w:val="8"/>
          <w:szCs w:val="28"/>
          <w:u w:val="single"/>
          <w14:textFill>
            <w14:solidFill>
              <w14:schemeClr w14:val="tx1"/>
            </w14:solidFill>
          </w14:textFill>
        </w:rPr>
        <w:t>年</w:t>
      </w:r>
      <w:r>
        <w:rPr>
          <w:rFonts w:hint="eastAsia" w:ascii="仿宋_GB2312" w:hAnsi="仿宋" w:cs="宋体"/>
          <w:color w:val="000000" w:themeColor="text1"/>
          <w:spacing w:val="8"/>
          <w:szCs w:val="28"/>
          <w:u w:val="single"/>
          <w:lang w:eastAsia="zh-CN"/>
          <w14:textFill>
            <w14:solidFill>
              <w14:schemeClr w14:val="tx1"/>
            </w14:solidFill>
          </w14:textFill>
        </w:rPr>
        <w:t>01月07日14时00分</w:t>
      </w:r>
      <w:r>
        <w:rPr>
          <w:rFonts w:hint="eastAsia" w:ascii="仿宋_GB2312" w:hAnsi="仿宋" w:cs="宋体"/>
          <w:color w:val="000000" w:themeColor="text1"/>
          <w:spacing w:val="8"/>
          <w:szCs w:val="28"/>
          <w:u w:val="single"/>
          <w14:textFill>
            <w14:solidFill>
              <w14:schemeClr w14:val="tx1"/>
            </w14:solidFill>
          </w14:textFill>
        </w:rPr>
        <w:t>（北京时间）</w:t>
      </w:r>
      <w:r>
        <w:rPr>
          <w:rFonts w:hint="eastAsia" w:ascii="仿宋_GB2312" w:hAnsi="仿宋" w:cs="宋体"/>
          <w:color w:val="000000" w:themeColor="text1"/>
          <w:spacing w:val="8"/>
          <w:szCs w:val="28"/>
          <w14:textFill>
            <w14:solidFill>
              <w14:schemeClr w14:val="tx1"/>
            </w14:solidFill>
          </w14:textFill>
        </w:rPr>
        <w:t>前递交响应文件。</w:t>
      </w:r>
    </w:p>
    <w:p w14:paraId="31C9D2CB">
      <w:pPr>
        <w:ind w:firstLine="560"/>
        <w:outlineLvl w:val="0"/>
        <w:rPr>
          <w:rFonts w:ascii="黑体" w:hAnsi="黑体" w:eastAsia="黑体" w:cs="宋体"/>
          <w:color w:val="000000" w:themeColor="text1"/>
          <w:szCs w:val="28"/>
          <w14:textFill>
            <w14:solidFill>
              <w14:schemeClr w14:val="tx1"/>
            </w14:solidFill>
          </w14:textFill>
        </w:rPr>
      </w:pPr>
      <w:r>
        <w:rPr>
          <w:rFonts w:hint="eastAsia" w:ascii="黑体" w:hAnsi="黑体" w:eastAsia="黑体" w:cs="宋体"/>
          <w:color w:val="000000" w:themeColor="text1"/>
          <w:szCs w:val="28"/>
          <w14:textFill>
            <w14:solidFill>
              <w14:schemeClr w14:val="tx1"/>
            </w14:solidFill>
          </w14:textFill>
        </w:rPr>
        <w:t>一、项目基本情况</w:t>
      </w:r>
    </w:p>
    <w:p w14:paraId="64E22885">
      <w:pPr>
        <w:widowControl/>
        <w:adjustRightInd w:val="0"/>
        <w:ind w:firstLine="592"/>
        <w:jc w:val="left"/>
        <w:rPr>
          <w:rFonts w:hint="eastAsia" w:ascii="仿宋_GB2312" w:hAnsi="仿宋" w:eastAsia="仿宋_GB2312" w:cs="宋体"/>
          <w:color w:val="000000" w:themeColor="text1"/>
          <w:spacing w:val="8"/>
          <w:szCs w:val="28"/>
          <w:lang w:eastAsia="zh-CN"/>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项目编号：</w:t>
      </w:r>
      <w:r>
        <w:rPr>
          <w:rFonts w:hint="eastAsia" w:ascii="仿宋_GB2312" w:hAnsi="仿宋" w:cs="宋体"/>
          <w:color w:val="000000" w:themeColor="text1"/>
          <w:spacing w:val="8"/>
          <w:szCs w:val="28"/>
          <w:lang w:eastAsia="zh-CN"/>
          <w14:textFill>
            <w14:solidFill>
              <w14:schemeClr w14:val="tx1"/>
            </w14:solidFill>
          </w14:textFill>
        </w:rPr>
        <w:t>SDGP371083000202402000122</w:t>
      </w:r>
    </w:p>
    <w:p w14:paraId="01EDCC21">
      <w:pPr>
        <w:widowControl/>
        <w:adjustRightInd w:val="0"/>
        <w:ind w:firstLine="592"/>
        <w:jc w:val="left"/>
        <w:rPr>
          <w:rFonts w:hint="eastAsia" w:ascii="仿宋_GB2312" w:hAnsi="仿宋" w:eastAsia="仿宋_GB2312" w:cs="宋体"/>
          <w:color w:val="000000" w:themeColor="text1"/>
          <w:spacing w:val="8"/>
          <w:szCs w:val="28"/>
          <w:lang w:eastAsia="zh-CN"/>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项目名称：</w:t>
      </w:r>
      <w:r>
        <w:rPr>
          <w:rFonts w:hint="eastAsia" w:ascii="仿宋_GB2312" w:hAnsi="仿宋" w:cs="宋体"/>
          <w:color w:val="000000" w:themeColor="text1"/>
          <w:spacing w:val="8"/>
          <w:szCs w:val="28"/>
          <w:lang w:eastAsia="zh-CN"/>
          <w14:textFill>
            <w14:solidFill>
              <w14:schemeClr w14:val="tx1"/>
            </w14:solidFill>
          </w14:textFill>
        </w:rPr>
        <w:t>乳山市2024年小型水库维修养护项目</w:t>
      </w:r>
    </w:p>
    <w:p w14:paraId="58CB2150">
      <w:pPr>
        <w:widowControl/>
        <w:adjustRightInd w:val="0"/>
        <w:ind w:firstLine="592"/>
        <w:jc w:val="left"/>
        <w:rPr>
          <w:rFonts w:ascii="仿宋_GB2312" w:hAnsi="仿宋" w:cs="宋体"/>
          <w:color w:val="000000" w:themeColor="text1"/>
          <w:spacing w:val="8"/>
          <w:szCs w:val="28"/>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采购方式：竞争性磋商</w:t>
      </w:r>
    </w:p>
    <w:p w14:paraId="5407CAD6">
      <w:pPr>
        <w:widowControl/>
        <w:adjustRightInd w:val="0"/>
        <w:ind w:firstLine="592"/>
        <w:jc w:val="left"/>
        <w:rPr>
          <w:rFonts w:ascii="仿宋_GB2312" w:hAnsi="仿宋" w:cs="宋体"/>
          <w:color w:val="000000" w:themeColor="text1"/>
          <w:spacing w:val="8"/>
          <w:szCs w:val="28"/>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采购项目分包情况：</w:t>
      </w:r>
    </w:p>
    <w:tbl>
      <w:tblPr>
        <w:tblStyle w:val="45"/>
        <w:tblW w:w="997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851"/>
        <w:gridCol w:w="2268"/>
        <w:gridCol w:w="709"/>
        <w:gridCol w:w="1818"/>
        <w:gridCol w:w="1559"/>
        <w:gridCol w:w="1417"/>
        <w:gridCol w:w="1357"/>
      </w:tblGrid>
      <w:tr w14:paraId="779A73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1021" w:hRule="atLeast"/>
          <w:jc w:val="center"/>
        </w:trPr>
        <w:tc>
          <w:tcPr>
            <w:tcW w:w="851" w:type="dxa"/>
            <w:tcBorders>
              <w:bottom w:val="single" w:color="auto" w:sz="4" w:space="0"/>
            </w:tcBorders>
            <w:vAlign w:val="center"/>
          </w:tcPr>
          <w:p w14:paraId="1E9B94F6">
            <w:pPr>
              <w:widowControl/>
              <w:adjustRightInd w:val="0"/>
              <w:snapToGrid w:val="0"/>
              <w:ind w:firstLine="0" w:firstLineChars="0"/>
              <w:jc w:val="center"/>
              <w:rPr>
                <w:rFonts w:ascii="仿宋_GB2312" w:hAnsi="宋体" w:cs="宋体"/>
                <w:b/>
                <w:color w:val="000000" w:themeColor="text1"/>
                <w14:textFill>
                  <w14:solidFill>
                    <w14:schemeClr w14:val="tx1"/>
                  </w14:solidFill>
                </w14:textFill>
              </w:rPr>
            </w:pPr>
            <w:r>
              <w:rPr>
                <w:rFonts w:hint="eastAsia" w:ascii="仿宋_GB2312" w:hAnsi="宋体" w:cs="宋体"/>
                <w:b/>
                <w:color w:val="000000" w:themeColor="text1"/>
                <w14:textFill>
                  <w14:solidFill>
                    <w14:schemeClr w14:val="tx1"/>
                  </w14:solidFill>
                </w14:textFill>
              </w:rPr>
              <w:t>标包</w:t>
            </w:r>
          </w:p>
        </w:tc>
        <w:tc>
          <w:tcPr>
            <w:tcW w:w="2268" w:type="dxa"/>
            <w:vAlign w:val="center"/>
          </w:tcPr>
          <w:p w14:paraId="65116D37">
            <w:pPr>
              <w:widowControl/>
              <w:adjustRightInd w:val="0"/>
              <w:snapToGrid w:val="0"/>
              <w:ind w:firstLine="0" w:firstLineChars="0"/>
              <w:jc w:val="center"/>
              <w:rPr>
                <w:rFonts w:ascii="仿宋_GB2312" w:hAnsi="宋体" w:cs="宋体"/>
                <w:b/>
                <w:color w:val="000000" w:themeColor="text1"/>
                <w14:textFill>
                  <w14:solidFill>
                    <w14:schemeClr w14:val="tx1"/>
                  </w14:solidFill>
                </w14:textFill>
              </w:rPr>
            </w:pPr>
            <w:r>
              <w:rPr>
                <w:rFonts w:hint="eastAsia" w:ascii="仿宋_GB2312" w:hAnsi="宋体" w:cs="宋体"/>
                <w:b/>
                <w:color w:val="000000" w:themeColor="text1"/>
                <w14:textFill>
                  <w14:solidFill>
                    <w14:schemeClr w14:val="tx1"/>
                  </w14:solidFill>
                </w14:textFill>
              </w:rPr>
              <w:t>名称</w:t>
            </w:r>
          </w:p>
        </w:tc>
        <w:tc>
          <w:tcPr>
            <w:tcW w:w="709" w:type="dxa"/>
            <w:vAlign w:val="center"/>
          </w:tcPr>
          <w:p w14:paraId="2E017199">
            <w:pPr>
              <w:widowControl/>
              <w:adjustRightInd w:val="0"/>
              <w:snapToGrid w:val="0"/>
              <w:ind w:firstLine="0" w:firstLineChars="0"/>
              <w:jc w:val="center"/>
              <w:rPr>
                <w:rFonts w:ascii="仿宋_GB2312" w:hAnsi="宋体" w:cs="宋体"/>
                <w:b/>
                <w:color w:val="000000" w:themeColor="text1"/>
                <w14:textFill>
                  <w14:solidFill>
                    <w14:schemeClr w14:val="tx1"/>
                  </w14:solidFill>
                </w14:textFill>
              </w:rPr>
            </w:pPr>
            <w:r>
              <w:rPr>
                <w:rFonts w:hint="eastAsia" w:ascii="仿宋_GB2312" w:hAnsi="宋体" w:cs="宋体"/>
                <w:b/>
                <w:color w:val="000000" w:themeColor="text1"/>
                <w14:textFill>
                  <w14:solidFill>
                    <w14:schemeClr w14:val="tx1"/>
                  </w14:solidFill>
                </w14:textFill>
              </w:rPr>
              <w:t>数量</w:t>
            </w:r>
          </w:p>
        </w:tc>
        <w:tc>
          <w:tcPr>
            <w:tcW w:w="1818" w:type="dxa"/>
            <w:tcBorders>
              <w:right w:val="single" w:color="auto" w:sz="4" w:space="0"/>
            </w:tcBorders>
            <w:vAlign w:val="center"/>
          </w:tcPr>
          <w:p w14:paraId="4B668352">
            <w:pPr>
              <w:widowControl/>
              <w:adjustRightInd w:val="0"/>
              <w:snapToGrid w:val="0"/>
              <w:ind w:firstLine="0" w:firstLineChars="0"/>
              <w:jc w:val="center"/>
              <w:rPr>
                <w:rFonts w:ascii="仿宋_GB2312" w:hAnsi="宋体" w:cs="宋体"/>
                <w:b/>
                <w:color w:val="000000" w:themeColor="text1"/>
                <w14:textFill>
                  <w14:solidFill>
                    <w14:schemeClr w14:val="tx1"/>
                  </w14:solidFill>
                </w14:textFill>
              </w:rPr>
            </w:pPr>
            <w:r>
              <w:rPr>
                <w:rFonts w:hint="eastAsia" w:ascii="仿宋_GB2312" w:hAnsi="宋体" w:cs="宋体"/>
                <w:b/>
                <w:color w:val="000000" w:themeColor="text1"/>
                <w14:textFill>
                  <w14:solidFill>
                    <w14:schemeClr w14:val="tx1"/>
                  </w14:solidFill>
                </w14:textFill>
              </w:rPr>
              <w:t>包预算金额</w:t>
            </w:r>
          </w:p>
          <w:p w14:paraId="3A7C1F39">
            <w:pPr>
              <w:widowControl/>
              <w:adjustRightInd w:val="0"/>
              <w:snapToGrid w:val="0"/>
              <w:ind w:firstLine="0" w:firstLineChars="0"/>
              <w:jc w:val="center"/>
              <w:rPr>
                <w:rFonts w:ascii="仿宋_GB2312" w:hAnsi="宋体" w:cs="宋体"/>
                <w:b/>
                <w:color w:val="000000" w:themeColor="text1"/>
                <w14:textFill>
                  <w14:solidFill>
                    <w14:schemeClr w14:val="tx1"/>
                  </w14:solidFill>
                </w14:textFill>
              </w:rPr>
            </w:pPr>
            <w:r>
              <w:rPr>
                <w:rFonts w:hint="eastAsia" w:ascii="仿宋_GB2312" w:hAnsi="宋体" w:cs="宋体"/>
                <w:b/>
                <w:color w:val="000000" w:themeColor="text1"/>
                <w14:textFill>
                  <w14:solidFill>
                    <w14:schemeClr w14:val="tx1"/>
                  </w14:solidFill>
                </w14:textFill>
              </w:rPr>
              <w:t>（元）</w:t>
            </w:r>
          </w:p>
        </w:tc>
        <w:tc>
          <w:tcPr>
            <w:tcW w:w="1559" w:type="dxa"/>
            <w:vAlign w:val="center"/>
          </w:tcPr>
          <w:p w14:paraId="70DF2225">
            <w:pPr>
              <w:widowControl/>
              <w:adjustRightInd w:val="0"/>
              <w:snapToGrid w:val="0"/>
              <w:ind w:firstLine="0" w:firstLineChars="0"/>
              <w:jc w:val="center"/>
              <w:rPr>
                <w:rFonts w:ascii="仿宋_GB2312" w:hAnsi="宋体" w:cs="宋体"/>
                <w:b/>
                <w:color w:val="000000" w:themeColor="text1"/>
                <w14:textFill>
                  <w14:solidFill>
                    <w14:schemeClr w14:val="tx1"/>
                  </w14:solidFill>
                </w14:textFill>
              </w:rPr>
            </w:pPr>
            <w:r>
              <w:rPr>
                <w:rFonts w:hint="eastAsia" w:ascii="仿宋_GB2312" w:hAnsi="宋体" w:cs="宋体"/>
                <w:b/>
                <w:color w:val="000000" w:themeColor="text1"/>
                <w14:textFill>
                  <w14:solidFill>
                    <w14:schemeClr w14:val="tx1"/>
                  </w14:solidFill>
                </w14:textFill>
              </w:rPr>
              <w:t>最高限价（元）</w:t>
            </w:r>
          </w:p>
        </w:tc>
        <w:tc>
          <w:tcPr>
            <w:tcW w:w="1417" w:type="dxa"/>
            <w:tcBorders>
              <w:right w:val="single" w:color="auto" w:sz="4" w:space="0"/>
            </w:tcBorders>
            <w:vAlign w:val="center"/>
          </w:tcPr>
          <w:p w14:paraId="2C8A35E4">
            <w:pPr>
              <w:widowControl/>
              <w:adjustRightInd w:val="0"/>
              <w:snapToGrid w:val="0"/>
              <w:ind w:firstLine="0" w:firstLineChars="0"/>
              <w:jc w:val="center"/>
              <w:rPr>
                <w:rFonts w:ascii="仿宋_GB2312" w:hAnsi="宋体" w:cs="宋体"/>
                <w:b/>
                <w:color w:val="000000" w:themeColor="text1"/>
                <w14:textFill>
                  <w14:solidFill>
                    <w14:schemeClr w14:val="tx1"/>
                  </w14:solidFill>
                </w14:textFill>
              </w:rPr>
            </w:pPr>
            <w:r>
              <w:rPr>
                <w:rFonts w:hint="eastAsia" w:ascii="仿宋_GB2312" w:hAnsi="宋体" w:cs="宋体"/>
                <w:b/>
                <w:color w:val="000000" w:themeColor="text1"/>
                <w14:textFill>
                  <w14:solidFill>
                    <w14:schemeClr w14:val="tx1"/>
                  </w14:solidFill>
                </w14:textFill>
              </w:rPr>
              <w:t>采购需求</w:t>
            </w:r>
          </w:p>
        </w:tc>
        <w:tc>
          <w:tcPr>
            <w:tcW w:w="1357" w:type="dxa"/>
            <w:tcBorders>
              <w:right w:val="single" w:color="auto" w:sz="4" w:space="0"/>
            </w:tcBorders>
            <w:vAlign w:val="center"/>
          </w:tcPr>
          <w:p w14:paraId="0FAB62CD">
            <w:pPr>
              <w:widowControl/>
              <w:adjustRightInd w:val="0"/>
              <w:snapToGrid w:val="0"/>
              <w:ind w:firstLine="0" w:firstLineChars="0"/>
              <w:jc w:val="center"/>
              <w:rPr>
                <w:rFonts w:ascii="仿宋_GB2312" w:hAnsi="宋体" w:cs="宋体"/>
                <w:b/>
                <w:color w:val="000000" w:themeColor="text1"/>
                <w14:textFill>
                  <w14:solidFill>
                    <w14:schemeClr w14:val="tx1"/>
                  </w14:solidFill>
                </w14:textFill>
              </w:rPr>
            </w:pPr>
            <w:r>
              <w:rPr>
                <w:rFonts w:hint="eastAsia" w:ascii="仿宋_GB2312" w:hAnsi="宋体" w:cs="宋体"/>
                <w:b/>
                <w:color w:val="000000" w:themeColor="text1"/>
                <w14:textFill>
                  <w14:solidFill>
                    <w14:schemeClr w14:val="tx1"/>
                  </w14:solidFill>
                </w14:textFill>
              </w:rPr>
              <w:t>合同履行期限</w:t>
            </w:r>
          </w:p>
        </w:tc>
      </w:tr>
      <w:tr w14:paraId="7F37C2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1021" w:hRule="atLeast"/>
          <w:jc w:val="center"/>
        </w:trPr>
        <w:tc>
          <w:tcPr>
            <w:tcW w:w="851" w:type="dxa"/>
            <w:tcBorders>
              <w:top w:val="single" w:color="auto" w:sz="4" w:space="0"/>
              <w:bottom w:val="single" w:color="auto" w:sz="4" w:space="0"/>
            </w:tcBorders>
            <w:vAlign w:val="center"/>
          </w:tcPr>
          <w:p w14:paraId="2B4F0B39">
            <w:pPr>
              <w:widowControl/>
              <w:adjustRightInd w:val="0"/>
              <w:snapToGrid w:val="0"/>
              <w:ind w:firstLine="0" w:firstLineChars="0"/>
              <w:jc w:val="center"/>
              <w:rPr>
                <w:rFonts w:ascii="仿宋_GB2312" w:hAnsi="宋体" w:cs="宋体"/>
                <w:color w:val="000000" w:themeColor="text1"/>
                <w14:textFill>
                  <w14:solidFill>
                    <w14:schemeClr w14:val="tx1"/>
                  </w14:solidFill>
                </w14:textFill>
              </w:rPr>
            </w:pPr>
            <w:r>
              <w:rPr>
                <w:rFonts w:ascii="仿宋_GB2312" w:hAnsi="宋体" w:cs="宋体"/>
                <w:color w:val="000000" w:themeColor="text1"/>
                <w14:textFill>
                  <w14:solidFill>
                    <w14:schemeClr w14:val="tx1"/>
                  </w14:solidFill>
                </w14:textFill>
              </w:rPr>
              <w:t>A</w:t>
            </w:r>
          </w:p>
        </w:tc>
        <w:tc>
          <w:tcPr>
            <w:tcW w:w="2268" w:type="dxa"/>
            <w:vAlign w:val="center"/>
          </w:tcPr>
          <w:p w14:paraId="004A9B17">
            <w:pPr>
              <w:widowControl/>
              <w:adjustRightInd w:val="0"/>
              <w:snapToGrid w:val="0"/>
              <w:ind w:firstLine="0" w:firstLineChars="0"/>
              <w:jc w:val="center"/>
              <w:rPr>
                <w:rFonts w:ascii="仿宋_GB2312" w:hAnsi="宋体" w:cs="宋体"/>
                <w:color w:val="000000" w:themeColor="text1"/>
                <w14:textFill>
                  <w14:solidFill>
                    <w14:schemeClr w14:val="tx1"/>
                  </w14:solidFill>
                </w14:textFill>
              </w:rPr>
            </w:pPr>
            <w:r>
              <w:rPr>
                <w:rFonts w:hint="eastAsia" w:ascii="仿宋_GB2312" w:hAnsi="宋体" w:cs="宋体"/>
                <w:color w:val="000000" w:themeColor="text1"/>
                <w14:textFill>
                  <w14:solidFill>
                    <w14:schemeClr w14:val="tx1"/>
                  </w14:solidFill>
                </w14:textFill>
              </w:rPr>
              <w:t xml:space="preserve"> </w:t>
            </w:r>
            <w:r>
              <w:rPr>
                <w:rFonts w:hint="eastAsia" w:ascii="仿宋_GB2312" w:hAnsi="宋体" w:cs="宋体"/>
                <w:color w:val="000000" w:themeColor="text1"/>
                <w:lang w:eastAsia="zh-CN"/>
                <w14:textFill>
                  <w14:solidFill>
                    <w14:schemeClr w14:val="tx1"/>
                  </w14:solidFill>
                </w14:textFill>
              </w:rPr>
              <w:t>乳山市2024年小型水库维修养护项目</w:t>
            </w:r>
            <w:r>
              <w:rPr>
                <w:rFonts w:ascii="仿宋_GB2312" w:hAnsi="宋体" w:cs="宋体"/>
                <w:color w:val="000000" w:themeColor="text1"/>
                <w14:textFill>
                  <w14:solidFill>
                    <w14:schemeClr w14:val="tx1"/>
                  </w14:solidFill>
                </w14:textFill>
              </w:rPr>
              <w:t>施工</w:t>
            </w:r>
          </w:p>
        </w:tc>
        <w:tc>
          <w:tcPr>
            <w:tcW w:w="709" w:type="dxa"/>
            <w:vAlign w:val="center"/>
          </w:tcPr>
          <w:p w14:paraId="3D4542E7">
            <w:pPr>
              <w:widowControl/>
              <w:adjustRightInd w:val="0"/>
              <w:snapToGrid w:val="0"/>
              <w:ind w:firstLine="0" w:firstLineChars="0"/>
              <w:jc w:val="center"/>
              <w:rPr>
                <w:rFonts w:ascii="仿宋_GB2312" w:hAnsi="宋体" w:cs="宋体"/>
                <w:color w:val="000000" w:themeColor="text1"/>
                <w14:textFill>
                  <w14:solidFill>
                    <w14:schemeClr w14:val="tx1"/>
                  </w14:solidFill>
                </w14:textFill>
              </w:rPr>
            </w:pPr>
            <w:r>
              <w:rPr>
                <w:rFonts w:ascii="仿宋_GB2312" w:hAnsi="宋体" w:cs="宋体"/>
                <w:color w:val="000000" w:themeColor="text1"/>
                <w14:textFill>
                  <w14:solidFill>
                    <w14:schemeClr w14:val="tx1"/>
                  </w14:solidFill>
                </w14:textFill>
              </w:rPr>
              <w:t>1宗</w:t>
            </w:r>
          </w:p>
        </w:tc>
        <w:tc>
          <w:tcPr>
            <w:tcW w:w="1818" w:type="dxa"/>
            <w:tcBorders>
              <w:right w:val="single" w:color="auto" w:sz="4" w:space="0"/>
            </w:tcBorders>
            <w:vAlign w:val="center"/>
          </w:tcPr>
          <w:p w14:paraId="69490E72">
            <w:pPr>
              <w:widowControl/>
              <w:adjustRightInd w:val="0"/>
              <w:snapToGrid w:val="0"/>
              <w:ind w:firstLine="0" w:firstLineChars="0"/>
              <w:jc w:val="center"/>
              <w:rPr>
                <w:rFonts w:hint="eastAsia" w:ascii="仿宋_GB2312" w:hAnsi="宋体" w:eastAsia="仿宋_GB2312" w:cs="宋体"/>
                <w:color w:val="000000" w:themeColor="text1"/>
                <w:lang w:eastAsia="zh-CN"/>
                <w14:textFill>
                  <w14:solidFill>
                    <w14:schemeClr w14:val="tx1"/>
                  </w14:solidFill>
                </w14:textFill>
              </w:rPr>
            </w:pPr>
            <w:r>
              <w:rPr>
                <w:rFonts w:hint="eastAsia" w:ascii="仿宋_GB2312" w:hAnsi="宋体" w:cs="宋体"/>
                <w:color w:val="000000" w:themeColor="text1"/>
                <w:lang w:eastAsia="zh-CN"/>
                <w14:textFill>
                  <w14:solidFill>
                    <w14:schemeClr w14:val="tx1"/>
                  </w14:solidFill>
                </w14:textFill>
              </w:rPr>
              <w:t>3350000.00</w:t>
            </w:r>
          </w:p>
        </w:tc>
        <w:tc>
          <w:tcPr>
            <w:tcW w:w="1559" w:type="dxa"/>
            <w:vAlign w:val="center"/>
          </w:tcPr>
          <w:p w14:paraId="3093B30F">
            <w:pPr>
              <w:widowControl/>
              <w:adjustRightInd w:val="0"/>
              <w:snapToGrid w:val="0"/>
              <w:ind w:firstLine="0" w:firstLineChars="0"/>
              <w:jc w:val="center"/>
              <w:rPr>
                <w:rFonts w:hint="eastAsia" w:ascii="仿宋_GB2312" w:hAnsi="宋体" w:eastAsia="仿宋_GB2312" w:cs="宋体"/>
                <w:color w:val="000000" w:themeColor="text1"/>
                <w:lang w:eastAsia="zh-CN"/>
                <w14:textFill>
                  <w14:solidFill>
                    <w14:schemeClr w14:val="tx1"/>
                  </w14:solidFill>
                </w14:textFill>
              </w:rPr>
            </w:pPr>
            <w:r>
              <w:rPr>
                <w:rFonts w:hint="eastAsia" w:ascii="仿宋_GB2312" w:hAnsi="宋体" w:cs="宋体"/>
                <w:color w:val="000000" w:themeColor="text1"/>
                <w:lang w:eastAsia="zh-CN"/>
                <w14:textFill>
                  <w14:solidFill>
                    <w14:schemeClr w14:val="tx1"/>
                  </w14:solidFill>
                </w14:textFill>
              </w:rPr>
              <w:t>3350000.00</w:t>
            </w:r>
          </w:p>
        </w:tc>
        <w:tc>
          <w:tcPr>
            <w:tcW w:w="1417" w:type="dxa"/>
            <w:tcBorders>
              <w:right w:val="single" w:color="auto" w:sz="4" w:space="0"/>
            </w:tcBorders>
            <w:vAlign w:val="center"/>
          </w:tcPr>
          <w:p w14:paraId="3CD5AB28">
            <w:pPr>
              <w:widowControl/>
              <w:adjustRightInd w:val="0"/>
              <w:snapToGrid w:val="0"/>
              <w:ind w:firstLine="0" w:firstLineChars="0"/>
              <w:jc w:val="center"/>
              <w:rPr>
                <w:rFonts w:ascii="仿宋_GB2312" w:hAnsi="宋体" w:cs="宋体"/>
                <w:color w:val="000000" w:themeColor="text1"/>
                <w14:textFill>
                  <w14:solidFill>
                    <w14:schemeClr w14:val="tx1"/>
                  </w14:solidFill>
                </w14:textFill>
              </w:rPr>
            </w:pPr>
            <w:r>
              <w:rPr>
                <w:rFonts w:hint="eastAsia" w:ascii="仿宋_GB2312" w:hAnsi="宋体" w:cs="宋体"/>
                <w:color w:val="000000" w:themeColor="text1"/>
                <w14:textFill>
                  <w14:solidFill>
                    <w14:schemeClr w14:val="tx1"/>
                  </w14:solidFill>
                </w14:textFill>
              </w:rPr>
              <w:t>详见采购文件</w:t>
            </w:r>
          </w:p>
        </w:tc>
        <w:tc>
          <w:tcPr>
            <w:tcW w:w="1357" w:type="dxa"/>
            <w:tcBorders>
              <w:right w:val="single" w:color="auto" w:sz="4" w:space="0"/>
            </w:tcBorders>
            <w:vAlign w:val="center"/>
          </w:tcPr>
          <w:p w14:paraId="2AE1B8DF">
            <w:pPr>
              <w:widowControl/>
              <w:adjustRightInd w:val="0"/>
              <w:snapToGrid w:val="0"/>
              <w:ind w:firstLine="0" w:firstLineChars="0"/>
              <w:jc w:val="center"/>
              <w:rPr>
                <w:rFonts w:ascii="仿宋_GB2312" w:hAnsi="宋体" w:cs="宋体"/>
                <w:color w:val="000000" w:themeColor="text1"/>
                <w14:textFill>
                  <w14:solidFill>
                    <w14:schemeClr w14:val="tx1"/>
                  </w14:solidFill>
                </w14:textFill>
              </w:rPr>
            </w:pPr>
            <w:r>
              <w:rPr>
                <w:rFonts w:hint="eastAsia" w:ascii="仿宋_GB2312" w:hAnsi="宋体" w:cs="宋体"/>
                <w:color w:val="000000" w:themeColor="text1"/>
                <w14:textFill>
                  <w14:solidFill>
                    <w14:schemeClr w14:val="tx1"/>
                  </w14:solidFill>
                </w14:textFill>
              </w:rPr>
              <w:t>详见采购文件</w:t>
            </w:r>
          </w:p>
        </w:tc>
      </w:tr>
      <w:tr w14:paraId="240301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1021" w:hRule="atLeast"/>
          <w:jc w:val="center"/>
        </w:trPr>
        <w:tc>
          <w:tcPr>
            <w:tcW w:w="851" w:type="dxa"/>
            <w:tcBorders>
              <w:top w:val="single" w:color="auto" w:sz="4" w:space="0"/>
              <w:bottom w:val="single" w:color="auto" w:sz="4" w:space="0"/>
            </w:tcBorders>
            <w:vAlign w:val="center"/>
          </w:tcPr>
          <w:p w14:paraId="44AF38BA">
            <w:pPr>
              <w:widowControl/>
              <w:adjustRightInd w:val="0"/>
              <w:snapToGrid w:val="0"/>
              <w:ind w:firstLine="0" w:firstLineChars="0"/>
              <w:jc w:val="center"/>
              <w:rPr>
                <w:rFonts w:ascii="仿宋_GB2312" w:hAnsi="宋体" w:cs="宋体"/>
                <w:color w:val="000000" w:themeColor="text1"/>
                <w14:textFill>
                  <w14:solidFill>
                    <w14:schemeClr w14:val="tx1"/>
                  </w14:solidFill>
                </w14:textFill>
              </w:rPr>
            </w:pPr>
            <w:r>
              <w:rPr>
                <w:rFonts w:ascii="仿宋_GB2312" w:hAnsi="宋体" w:cs="宋体"/>
                <w:color w:val="000000" w:themeColor="text1"/>
                <w14:textFill>
                  <w14:solidFill>
                    <w14:schemeClr w14:val="tx1"/>
                  </w14:solidFill>
                </w14:textFill>
              </w:rPr>
              <w:t>B</w:t>
            </w:r>
          </w:p>
        </w:tc>
        <w:tc>
          <w:tcPr>
            <w:tcW w:w="2268" w:type="dxa"/>
            <w:vAlign w:val="center"/>
          </w:tcPr>
          <w:p w14:paraId="20B80E11">
            <w:pPr>
              <w:widowControl/>
              <w:adjustRightInd w:val="0"/>
              <w:snapToGrid w:val="0"/>
              <w:ind w:firstLine="0" w:firstLineChars="0"/>
              <w:jc w:val="center"/>
              <w:rPr>
                <w:rFonts w:ascii="仿宋_GB2312" w:hAnsi="宋体" w:cs="宋体"/>
                <w:color w:val="000000" w:themeColor="text1"/>
                <w14:textFill>
                  <w14:solidFill>
                    <w14:schemeClr w14:val="tx1"/>
                  </w14:solidFill>
                </w14:textFill>
              </w:rPr>
            </w:pPr>
            <w:r>
              <w:rPr>
                <w:rFonts w:hint="eastAsia" w:ascii="仿宋_GB2312" w:hAnsi="宋体" w:cs="宋体"/>
                <w:color w:val="000000" w:themeColor="text1"/>
                <w14:textFill>
                  <w14:solidFill>
                    <w14:schemeClr w14:val="tx1"/>
                  </w14:solidFill>
                </w14:textFill>
              </w:rPr>
              <w:t xml:space="preserve"> </w:t>
            </w:r>
            <w:r>
              <w:rPr>
                <w:rFonts w:hint="eastAsia" w:ascii="仿宋_GB2312" w:hAnsi="宋体" w:cs="宋体"/>
                <w:color w:val="000000" w:themeColor="text1"/>
                <w:lang w:eastAsia="zh-CN"/>
                <w14:textFill>
                  <w14:solidFill>
                    <w14:schemeClr w14:val="tx1"/>
                  </w14:solidFill>
                </w14:textFill>
              </w:rPr>
              <w:t>乳山市2024年小型水库维修养护项目</w:t>
            </w:r>
            <w:r>
              <w:rPr>
                <w:rFonts w:ascii="仿宋_GB2312" w:hAnsi="宋体" w:cs="宋体"/>
                <w:color w:val="000000" w:themeColor="text1"/>
                <w14:textFill>
                  <w14:solidFill>
                    <w14:schemeClr w14:val="tx1"/>
                  </w14:solidFill>
                </w14:textFill>
              </w:rPr>
              <w:t>监理</w:t>
            </w:r>
          </w:p>
        </w:tc>
        <w:tc>
          <w:tcPr>
            <w:tcW w:w="709" w:type="dxa"/>
            <w:vAlign w:val="center"/>
          </w:tcPr>
          <w:p w14:paraId="0FED8A4E">
            <w:pPr>
              <w:widowControl/>
              <w:adjustRightInd w:val="0"/>
              <w:snapToGrid w:val="0"/>
              <w:ind w:firstLine="0" w:firstLineChars="0"/>
              <w:jc w:val="center"/>
              <w:rPr>
                <w:rFonts w:ascii="仿宋_GB2312" w:hAnsi="宋体" w:cs="宋体"/>
                <w:color w:val="000000" w:themeColor="text1"/>
                <w14:textFill>
                  <w14:solidFill>
                    <w14:schemeClr w14:val="tx1"/>
                  </w14:solidFill>
                </w14:textFill>
              </w:rPr>
            </w:pPr>
            <w:r>
              <w:rPr>
                <w:rFonts w:ascii="仿宋_GB2312" w:hAnsi="宋体" w:cs="宋体"/>
                <w:color w:val="000000" w:themeColor="text1"/>
                <w14:textFill>
                  <w14:solidFill>
                    <w14:schemeClr w14:val="tx1"/>
                  </w14:solidFill>
                </w14:textFill>
              </w:rPr>
              <w:t>1宗</w:t>
            </w:r>
          </w:p>
        </w:tc>
        <w:tc>
          <w:tcPr>
            <w:tcW w:w="1818" w:type="dxa"/>
            <w:tcBorders>
              <w:right w:val="single" w:color="auto" w:sz="4" w:space="0"/>
            </w:tcBorders>
            <w:vAlign w:val="center"/>
          </w:tcPr>
          <w:p w14:paraId="7B748122">
            <w:pPr>
              <w:widowControl/>
              <w:adjustRightInd w:val="0"/>
              <w:snapToGrid w:val="0"/>
              <w:ind w:firstLine="0" w:firstLineChars="0"/>
              <w:jc w:val="center"/>
              <w:rPr>
                <w:rFonts w:hint="eastAsia" w:ascii="仿宋_GB2312" w:hAnsi="宋体" w:eastAsia="仿宋_GB2312" w:cs="宋体"/>
                <w:color w:val="000000" w:themeColor="text1"/>
                <w:lang w:eastAsia="zh-CN"/>
                <w14:textFill>
                  <w14:solidFill>
                    <w14:schemeClr w14:val="tx1"/>
                  </w14:solidFill>
                </w14:textFill>
              </w:rPr>
            </w:pPr>
            <w:r>
              <w:rPr>
                <w:rFonts w:hint="eastAsia" w:ascii="仿宋_GB2312" w:hAnsi="宋体" w:cs="宋体"/>
                <w:color w:val="000000" w:themeColor="text1"/>
                <w:lang w:eastAsia="zh-CN"/>
                <w14:textFill>
                  <w14:solidFill>
                    <w14:schemeClr w14:val="tx1"/>
                  </w14:solidFill>
                </w14:textFill>
              </w:rPr>
              <w:t>34000.00</w:t>
            </w:r>
          </w:p>
        </w:tc>
        <w:tc>
          <w:tcPr>
            <w:tcW w:w="1559" w:type="dxa"/>
            <w:vAlign w:val="center"/>
          </w:tcPr>
          <w:p w14:paraId="025C4A39">
            <w:pPr>
              <w:widowControl/>
              <w:adjustRightInd w:val="0"/>
              <w:snapToGrid w:val="0"/>
              <w:ind w:firstLine="0" w:firstLineChars="0"/>
              <w:jc w:val="center"/>
              <w:rPr>
                <w:rFonts w:hint="eastAsia" w:ascii="仿宋_GB2312" w:hAnsi="宋体" w:eastAsia="仿宋_GB2312" w:cs="宋体"/>
                <w:color w:val="000000" w:themeColor="text1"/>
                <w:lang w:eastAsia="zh-CN"/>
                <w14:textFill>
                  <w14:solidFill>
                    <w14:schemeClr w14:val="tx1"/>
                  </w14:solidFill>
                </w14:textFill>
              </w:rPr>
            </w:pPr>
            <w:r>
              <w:rPr>
                <w:rFonts w:hint="eastAsia" w:ascii="仿宋_GB2312" w:hAnsi="宋体" w:cs="宋体"/>
                <w:color w:val="000000" w:themeColor="text1"/>
                <w:lang w:eastAsia="zh-CN"/>
                <w14:textFill>
                  <w14:solidFill>
                    <w14:schemeClr w14:val="tx1"/>
                  </w14:solidFill>
                </w14:textFill>
              </w:rPr>
              <w:t>34000.00</w:t>
            </w:r>
          </w:p>
        </w:tc>
        <w:tc>
          <w:tcPr>
            <w:tcW w:w="1417" w:type="dxa"/>
            <w:tcBorders>
              <w:right w:val="single" w:color="auto" w:sz="4" w:space="0"/>
            </w:tcBorders>
            <w:vAlign w:val="center"/>
          </w:tcPr>
          <w:p w14:paraId="1F7217E2">
            <w:pPr>
              <w:widowControl/>
              <w:adjustRightInd w:val="0"/>
              <w:snapToGrid w:val="0"/>
              <w:ind w:firstLine="0" w:firstLineChars="0"/>
              <w:jc w:val="center"/>
              <w:rPr>
                <w:rFonts w:ascii="仿宋_GB2312" w:hAnsi="宋体" w:cs="宋体"/>
                <w:color w:val="000000" w:themeColor="text1"/>
                <w14:textFill>
                  <w14:solidFill>
                    <w14:schemeClr w14:val="tx1"/>
                  </w14:solidFill>
                </w14:textFill>
              </w:rPr>
            </w:pPr>
            <w:r>
              <w:rPr>
                <w:rFonts w:hint="eastAsia" w:ascii="仿宋_GB2312" w:hAnsi="宋体" w:cs="宋体"/>
                <w:color w:val="000000" w:themeColor="text1"/>
                <w14:textFill>
                  <w14:solidFill>
                    <w14:schemeClr w14:val="tx1"/>
                  </w14:solidFill>
                </w14:textFill>
              </w:rPr>
              <w:t>详见采购文件</w:t>
            </w:r>
          </w:p>
        </w:tc>
        <w:tc>
          <w:tcPr>
            <w:tcW w:w="1357" w:type="dxa"/>
            <w:tcBorders>
              <w:right w:val="single" w:color="auto" w:sz="4" w:space="0"/>
            </w:tcBorders>
            <w:vAlign w:val="center"/>
          </w:tcPr>
          <w:p w14:paraId="4DF7E9F9">
            <w:pPr>
              <w:widowControl/>
              <w:adjustRightInd w:val="0"/>
              <w:snapToGrid w:val="0"/>
              <w:ind w:firstLine="0" w:firstLineChars="0"/>
              <w:jc w:val="center"/>
              <w:rPr>
                <w:rFonts w:ascii="仿宋_GB2312" w:hAnsi="宋体" w:cs="宋体"/>
                <w:color w:val="000000" w:themeColor="text1"/>
                <w14:textFill>
                  <w14:solidFill>
                    <w14:schemeClr w14:val="tx1"/>
                  </w14:solidFill>
                </w14:textFill>
              </w:rPr>
            </w:pPr>
            <w:r>
              <w:rPr>
                <w:rFonts w:hint="eastAsia" w:ascii="仿宋_GB2312" w:hAnsi="宋体" w:cs="宋体"/>
                <w:color w:val="000000" w:themeColor="text1"/>
                <w14:textFill>
                  <w14:solidFill>
                    <w14:schemeClr w14:val="tx1"/>
                  </w14:solidFill>
                </w14:textFill>
              </w:rPr>
              <w:t>详见采购文件</w:t>
            </w:r>
          </w:p>
        </w:tc>
      </w:tr>
    </w:tbl>
    <w:p w14:paraId="4B0700F9">
      <w:pPr>
        <w:widowControl/>
        <w:adjustRightInd w:val="0"/>
        <w:ind w:firstLine="592"/>
        <w:jc w:val="left"/>
        <w:rPr>
          <w:rFonts w:ascii="仿宋_GB2312" w:hAnsi="仿宋" w:cs="宋体"/>
          <w:color w:val="000000" w:themeColor="text1"/>
          <w:spacing w:val="8"/>
          <w:szCs w:val="28"/>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本项目不接受联合体响应</w:t>
      </w:r>
    </w:p>
    <w:p w14:paraId="76340022">
      <w:pPr>
        <w:ind w:firstLine="560"/>
        <w:outlineLvl w:val="0"/>
        <w:rPr>
          <w:rFonts w:ascii="黑体" w:hAnsi="黑体" w:eastAsia="黑体" w:cs="宋体"/>
          <w:color w:val="000000" w:themeColor="text1"/>
          <w:szCs w:val="28"/>
          <w14:textFill>
            <w14:solidFill>
              <w14:schemeClr w14:val="tx1"/>
            </w14:solidFill>
          </w14:textFill>
        </w:rPr>
      </w:pPr>
      <w:r>
        <w:rPr>
          <w:rFonts w:hint="eastAsia" w:ascii="黑体" w:hAnsi="黑体" w:eastAsia="黑体" w:cs="宋体"/>
          <w:color w:val="000000" w:themeColor="text1"/>
          <w:szCs w:val="28"/>
          <w14:textFill>
            <w14:solidFill>
              <w14:schemeClr w14:val="tx1"/>
            </w14:solidFill>
          </w14:textFill>
        </w:rPr>
        <w:t>二、申请人的资格要求：</w:t>
      </w:r>
    </w:p>
    <w:p w14:paraId="21BD1D4E">
      <w:pPr>
        <w:widowControl/>
        <w:adjustRightInd w:val="0"/>
        <w:ind w:firstLine="592"/>
        <w:jc w:val="left"/>
        <w:rPr>
          <w:rFonts w:ascii="仿宋_GB2312" w:hAnsi="仿宋" w:cs="宋体"/>
          <w:color w:val="000000" w:themeColor="text1"/>
          <w:spacing w:val="8"/>
          <w:szCs w:val="28"/>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1.供应商应符合《中华人民共和国政府采购法》第二十二条规定(第一款 银行、保险、石油石化、电力、电信等特殊行业除外)且应为未被列入信用中国网站（www.creditchina.gov.cn）、中国政府采购网(www.ccgp.gov.cn)、信用山东（credit.shandong.gov.cn）等渠道信用记录失信被执行人、重大税收违法案件当事人名单、政府采购严重违法失信行为记录名单；</w:t>
      </w:r>
    </w:p>
    <w:p w14:paraId="732204A3">
      <w:pPr>
        <w:widowControl/>
        <w:adjustRightInd w:val="0"/>
        <w:ind w:firstLine="592"/>
        <w:jc w:val="left"/>
        <w:rPr>
          <w:rFonts w:ascii="仿宋_GB2312" w:hAnsi="仿宋" w:cs="宋体"/>
          <w:color w:val="000000" w:themeColor="text1"/>
          <w:spacing w:val="8"/>
          <w:szCs w:val="28"/>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2.法律、法规其他规定要求；</w:t>
      </w:r>
    </w:p>
    <w:p w14:paraId="25C5CF0A">
      <w:pPr>
        <w:widowControl/>
        <w:adjustRightInd w:val="0"/>
        <w:ind w:firstLine="592"/>
        <w:jc w:val="left"/>
        <w:rPr>
          <w:rFonts w:ascii="仿宋_GB2312" w:hAnsi="仿宋" w:cs="宋体"/>
          <w:color w:val="000000" w:themeColor="text1"/>
          <w:spacing w:val="8"/>
          <w:szCs w:val="28"/>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3.落实政府采购政策需满足的资格要求：</w:t>
      </w:r>
      <w:r>
        <w:rPr>
          <w:rFonts w:ascii="仿宋_GB2312" w:hAnsi="仿宋" w:cs="宋体"/>
          <w:color w:val="000000" w:themeColor="text1"/>
          <w:spacing w:val="8"/>
          <w:szCs w:val="28"/>
          <w14:textFill>
            <w14:solidFill>
              <w14:schemeClr w14:val="tx1"/>
            </w14:solidFill>
          </w14:textFill>
        </w:rPr>
        <w:t>面向中小企业采购</w:t>
      </w:r>
    </w:p>
    <w:p w14:paraId="1DB80538">
      <w:pPr>
        <w:widowControl/>
        <w:adjustRightInd w:val="0"/>
        <w:ind w:firstLine="592"/>
        <w:jc w:val="left"/>
        <w:rPr>
          <w:rFonts w:ascii="仿宋_GB2312" w:hAnsi="仿宋" w:cs="宋体"/>
          <w:color w:val="000000" w:themeColor="text1"/>
          <w:spacing w:val="8"/>
          <w:szCs w:val="28"/>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4.本项目的特定资格要求：</w:t>
      </w:r>
    </w:p>
    <w:p w14:paraId="70BD8986">
      <w:pPr>
        <w:widowControl/>
        <w:adjustRightInd w:val="0"/>
        <w:ind w:firstLine="139" w:firstLineChars="47"/>
        <w:jc w:val="left"/>
        <w:rPr>
          <w:rFonts w:ascii="仿宋_GB2312" w:hAnsi="仿宋" w:cs="宋体"/>
          <w:color w:val="000000" w:themeColor="text1"/>
          <w:spacing w:val="8"/>
          <w:szCs w:val="28"/>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（1）A包具有行政主管部门颁发的水利水电施工总承包三级及以上资质证书并具有安全生产许可证</w:t>
      </w:r>
    </w:p>
    <w:p w14:paraId="73B8EEA5">
      <w:pPr>
        <w:widowControl/>
        <w:adjustRightInd w:val="0"/>
        <w:ind w:firstLine="139" w:firstLineChars="47"/>
        <w:jc w:val="left"/>
        <w:rPr>
          <w:rFonts w:ascii="仿宋_GB2312" w:hAnsi="仿宋" w:cs="宋体"/>
          <w:color w:val="000000" w:themeColor="text1"/>
          <w:spacing w:val="8"/>
          <w:szCs w:val="28"/>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（2）B包具有行政主管部门颁发的水利工程施工监理乙级及以上资质证书，项目总监具备全国水利工程建设监理工程师资格证书</w:t>
      </w:r>
    </w:p>
    <w:p w14:paraId="0FBA6F19">
      <w:pPr>
        <w:ind w:firstLine="560"/>
        <w:outlineLvl w:val="0"/>
        <w:rPr>
          <w:rFonts w:ascii="黑体" w:hAnsi="黑体" w:eastAsia="黑体" w:cs="宋体"/>
          <w:color w:val="000000" w:themeColor="text1"/>
          <w:szCs w:val="28"/>
          <w14:textFill>
            <w14:solidFill>
              <w14:schemeClr w14:val="tx1"/>
            </w14:solidFill>
          </w14:textFill>
        </w:rPr>
      </w:pPr>
      <w:r>
        <w:rPr>
          <w:rFonts w:hint="eastAsia" w:ascii="黑体" w:hAnsi="黑体" w:eastAsia="黑体" w:cs="宋体"/>
          <w:color w:val="000000" w:themeColor="text1"/>
          <w:szCs w:val="28"/>
          <w14:textFill>
            <w14:solidFill>
              <w14:schemeClr w14:val="tx1"/>
            </w14:solidFill>
          </w14:textFill>
        </w:rPr>
        <w:t>三、获取采购文件</w:t>
      </w:r>
    </w:p>
    <w:p w14:paraId="7709DB12">
      <w:pPr>
        <w:widowControl/>
        <w:adjustRightInd w:val="0"/>
        <w:ind w:firstLine="592"/>
        <w:jc w:val="left"/>
        <w:rPr>
          <w:rFonts w:ascii="仿宋_GB2312" w:hAnsi="仿宋" w:cs="宋体"/>
          <w:color w:val="000000" w:themeColor="text1"/>
          <w:spacing w:val="8"/>
          <w:szCs w:val="28"/>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1.时间：</w:t>
      </w:r>
      <w:r>
        <w:rPr>
          <w:rFonts w:ascii="仿宋_GB2312" w:hAnsi="仿宋" w:cs="宋体"/>
          <w:color w:val="000000" w:themeColor="text1"/>
          <w:spacing w:val="8"/>
          <w:szCs w:val="28"/>
          <w14:textFill>
            <w14:solidFill>
              <w14:schemeClr w14:val="tx1"/>
            </w14:solidFill>
          </w14:textFill>
        </w:rPr>
        <w:t>2024年</w:t>
      </w:r>
      <w:r>
        <w:rPr>
          <w:rFonts w:hint="eastAsia" w:ascii="仿宋_GB2312" w:hAnsi="仿宋" w:cs="宋体"/>
          <w:color w:val="000000" w:themeColor="text1"/>
          <w:spacing w:val="8"/>
          <w:szCs w:val="28"/>
          <w:lang w:eastAsia="zh-CN"/>
          <w14:textFill>
            <w14:solidFill>
              <w14:schemeClr w14:val="tx1"/>
            </w14:solidFill>
          </w14:textFill>
        </w:rPr>
        <w:t>12月26日</w:t>
      </w:r>
      <w:r>
        <w:rPr>
          <w:rFonts w:ascii="仿宋_GB2312" w:hAnsi="仿宋" w:cs="宋体"/>
          <w:color w:val="000000" w:themeColor="text1"/>
          <w:spacing w:val="8"/>
          <w:szCs w:val="28"/>
          <w14:textFill>
            <w14:solidFill>
              <w14:schemeClr w14:val="tx1"/>
            </w14:solidFill>
          </w14:textFill>
        </w:rPr>
        <w:t>17时00分</w:t>
      </w:r>
      <w:r>
        <w:rPr>
          <w:rFonts w:hint="eastAsia" w:ascii="仿宋_GB2312" w:hAnsi="仿宋" w:cs="宋体"/>
          <w:color w:val="000000" w:themeColor="text1"/>
          <w:spacing w:val="8"/>
          <w:szCs w:val="28"/>
          <w14:textFill>
            <w14:solidFill>
              <w14:schemeClr w14:val="tx1"/>
            </w14:solidFill>
          </w14:textFill>
        </w:rPr>
        <w:t>至</w:t>
      </w:r>
      <w:r>
        <w:rPr>
          <w:rFonts w:hint="eastAsia" w:ascii="仿宋_GB2312" w:hAnsi="仿宋" w:cs="宋体"/>
          <w:color w:val="000000" w:themeColor="text1"/>
          <w:spacing w:val="8"/>
          <w:szCs w:val="28"/>
          <w:lang w:eastAsia="zh-CN"/>
          <w14:textFill>
            <w14:solidFill>
              <w14:schemeClr w14:val="tx1"/>
            </w14:solidFill>
          </w14:textFill>
        </w:rPr>
        <w:t>2025年01月03日</w:t>
      </w:r>
      <w:r>
        <w:rPr>
          <w:rFonts w:ascii="仿宋_GB2312" w:hAnsi="仿宋" w:cs="宋体"/>
          <w:color w:val="000000" w:themeColor="text1"/>
          <w:spacing w:val="8"/>
          <w:szCs w:val="28"/>
          <w14:textFill>
            <w14:solidFill>
              <w14:schemeClr w14:val="tx1"/>
            </w14:solidFill>
          </w14:textFill>
        </w:rPr>
        <w:t>17时00分</w:t>
      </w:r>
      <w:r>
        <w:rPr>
          <w:rFonts w:hint="eastAsia" w:ascii="仿宋_GB2312" w:hAnsi="仿宋" w:cs="宋体"/>
          <w:color w:val="000000" w:themeColor="text1"/>
          <w:spacing w:val="8"/>
          <w:szCs w:val="28"/>
          <w14:textFill>
            <w14:solidFill>
              <w14:schemeClr w14:val="tx1"/>
            </w14:solidFill>
          </w14:textFill>
        </w:rPr>
        <w:t>（北京时间）</w:t>
      </w:r>
    </w:p>
    <w:p w14:paraId="7E2A99C2">
      <w:pPr>
        <w:widowControl/>
        <w:adjustRightInd w:val="0"/>
        <w:ind w:firstLine="592"/>
        <w:jc w:val="left"/>
        <w:rPr>
          <w:rFonts w:ascii="仿宋_GB2312" w:hAnsi="仿宋" w:cs="宋体"/>
          <w:color w:val="000000" w:themeColor="text1"/>
          <w:spacing w:val="8"/>
          <w:szCs w:val="28"/>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2.地点：登录“威海市政府采购电子交易系统”（威海市公共资源交易网（乳山分中心）右侧“交易服务一网通办”登录后选择“政府采购”按钮）获取文件。逾期无法从威海市政府采购电子交易系统中获取文件，未在规定时间内从系统中获取文件的供应商将无法递交电子投标（响应）文件。</w:t>
      </w:r>
    </w:p>
    <w:p w14:paraId="7700C768">
      <w:pPr>
        <w:widowControl/>
        <w:adjustRightInd w:val="0"/>
        <w:ind w:firstLine="592"/>
        <w:jc w:val="left"/>
        <w:rPr>
          <w:rFonts w:ascii="仿宋_GB2312" w:hAnsi="仿宋" w:cs="宋体"/>
          <w:color w:val="000000" w:themeColor="text1"/>
          <w:spacing w:val="8"/>
          <w:szCs w:val="28"/>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3.方式：本项目须网上获取文件。参加本项目供应商须首先在“中国山东政府采购网”完成注册入库（已注册入库无需重复注册），然后在“威海市交易服务一网通办系统”（威海市公共资源交易网（乳山分中心）右侧“交易服务一网通办”按钮）登录端口注册登记，并办理“安全证书（CA）”和“电子签章”进行获取文件。“安全证书（CA）”和“电子签章”办理详见“威海市公共资源交易网（乳山分中心）”（http://ggzyjy.weihai.cn/rushan/）“办事指南”-“政府采购专区”中“威海市政府采购交易系统供应商使用指南”。</w:t>
      </w:r>
    </w:p>
    <w:p w14:paraId="3C8D27E5">
      <w:pPr>
        <w:widowControl/>
        <w:adjustRightInd w:val="0"/>
        <w:ind w:firstLine="592"/>
        <w:jc w:val="left"/>
        <w:rPr>
          <w:rFonts w:ascii="仿宋_GB2312" w:hAnsi="仿宋" w:cs="宋体"/>
          <w:color w:val="000000" w:themeColor="text1"/>
          <w:spacing w:val="8"/>
          <w:szCs w:val="28"/>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4.售价：免费</w:t>
      </w:r>
    </w:p>
    <w:p w14:paraId="63A5E459">
      <w:pPr>
        <w:ind w:firstLine="560"/>
        <w:outlineLvl w:val="0"/>
        <w:rPr>
          <w:rFonts w:ascii="黑体" w:hAnsi="黑体" w:eastAsia="黑体" w:cs="宋体"/>
          <w:color w:val="000000" w:themeColor="text1"/>
          <w:szCs w:val="28"/>
          <w14:textFill>
            <w14:solidFill>
              <w14:schemeClr w14:val="tx1"/>
            </w14:solidFill>
          </w14:textFill>
        </w:rPr>
      </w:pPr>
      <w:r>
        <w:rPr>
          <w:rFonts w:hint="eastAsia" w:ascii="黑体" w:hAnsi="黑体" w:eastAsia="黑体" w:cs="宋体"/>
          <w:color w:val="000000" w:themeColor="text1"/>
          <w:szCs w:val="28"/>
          <w14:textFill>
            <w14:solidFill>
              <w14:schemeClr w14:val="tx1"/>
            </w14:solidFill>
          </w14:textFill>
        </w:rPr>
        <w:t>四、响应文件提交</w:t>
      </w:r>
    </w:p>
    <w:p w14:paraId="1FC71113">
      <w:pPr>
        <w:widowControl/>
        <w:adjustRightInd w:val="0"/>
        <w:ind w:firstLine="592"/>
        <w:jc w:val="left"/>
        <w:rPr>
          <w:rFonts w:hint="eastAsia" w:ascii="仿宋_GB2312" w:hAnsi="仿宋" w:eastAsia="仿宋_GB2312" w:cs="宋体"/>
          <w:color w:val="000000" w:themeColor="text1"/>
          <w:spacing w:val="8"/>
          <w:szCs w:val="28"/>
          <w:lang w:eastAsia="zh-CN"/>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时间：</w:t>
      </w:r>
      <w:r>
        <w:rPr>
          <w:rFonts w:ascii="仿宋_GB2312" w:hAnsi="仿宋" w:cs="宋体"/>
          <w:color w:val="000000" w:themeColor="text1"/>
          <w:spacing w:val="8"/>
          <w:szCs w:val="28"/>
          <w14:textFill>
            <w14:solidFill>
              <w14:schemeClr w14:val="tx1"/>
            </w14:solidFill>
          </w14:textFill>
        </w:rPr>
        <w:t>2024年</w:t>
      </w:r>
      <w:r>
        <w:rPr>
          <w:rFonts w:hint="eastAsia" w:ascii="仿宋_GB2312" w:hAnsi="仿宋" w:cs="宋体"/>
          <w:color w:val="000000" w:themeColor="text1"/>
          <w:spacing w:val="8"/>
          <w:szCs w:val="28"/>
          <w:lang w:eastAsia="zh-CN"/>
          <w14:textFill>
            <w14:solidFill>
              <w14:schemeClr w14:val="tx1"/>
            </w14:solidFill>
          </w14:textFill>
        </w:rPr>
        <w:t>12月26日</w:t>
      </w:r>
      <w:r>
        <w:rPr>
          <w:rFonts w:ascii="仿宋_GB2312" w:hAnsi="仿宋" w:cs="宋体"/>
          <w:color w:val="000000" w:themeColor="text1"/>
          <w:spacing w:val="8"/>
          <w:szCs w:val="28"/>
          <w14:textFill>
            <w14:solidFill>
              <w14:schemeClr w14:val="tx1"/>
            </w14:solidFill>
          </w14:textFill>
        </w:rPr>
        <w:t>18时00分</w:t>
      </w:r>
      <w:r>
        <w:rPr>
          <w:rFonts w:hint="eastAsia" w:ascii="仿宋_GB2312" w:hAnsi="仿宋" w:cs="宋体"/>
          <w:color w:val="000000" w:themeColor="text1"/>
          <w:spacing w:val="8"/>
          <w:szCs w:val="28"/>
          <w14:textFill>
            <w14:solidFill>
              <w14:schemeClr w14:val="tx1"/>
            </w14:solidFill>
          </w14:textFill>
        </w:rPr>
        <w:t>至</w:t>
      </w:r>
      <w:r>
        <w:rPr>
          <w:rFonts w:ascii="仿宋_GB2312" w:hAnsi="仿宋" w:cs="宋体"/>
          <w:color w:val="000000" w:themeColor="text1"/>
          <w:spacing w:val="8"/>
          <w:szCs w:val="28"/>
          <w14:textFill>
            <w14:solidFill>
              <w14:schemeClr w14:val="tx1"/>
            </w14:solidFill>
          </w14:textFill>
        </w:rPr>
        <w:t>202</w:t>
      </w:r>
      <w:r>
        <w:rPr>
          <w:rFonts w:hint="eastAsia" w:ascii="仿宋_GB2312" w:hAnsi="仿宋" w:cs="宋体"/>
          <w:color w:val="000000" w:themeColor="text1"/>
          <w:spacing w:val="8"/>
          <w:szCs w:val="28"/>
          <w:lang w:val="en-US" w:eastAsia="zh-CN"/>
          <w14:textFill>
            <w14:solidFill>
              <w14:schemeClr w14:val="tx1"/>
            </w14:solidFill>
          </w14:textFill>
        </w:rPr>
        <w:t>5</w:t>
      </w:r>
      <w:r>
        <w:rPr>
          <w:rFonts w:ascii="仿宋_GB2312" w:hAnsi="仿宋" w:cs="宋体"/>
          <w:color w:val="000000" w:themeColor="text1"/>
          <w:spacing w:val="8"/>
          <w:szCs w:val="28"/>
          <w14:textFill>
            <w14:solidFill>
              <w14:schemeClr w14:val="tx1"/>
            </w14:solidFill>
          </w14:textFill>
        </w:rPr>
        <w:t>年</w:t>
      </w:r>
      <w:r>
        <w:rPr>
          <w:rFonts w:hint="eastAsia" w:ascii="仿宋_GB2312" w:hAnsi="仿宋" w:cs="宋体"/>
          <w:color w:val="000000" w:themeColor="text1"/>
          <w:spacing w:val="8"/>
          <w:szCs w:val="28"/>
          <w:lang w:eastAsia="zh-CN"/>
          <w14:textFill>
            <w14:solidFill>
              <w14:schemeClr w14:val="tx1"/>
            </w14:solidFill>
          </w14:textFill>
        </w:rPr>
        <w:t>01月07日14时00分</w:t>
      </w:r>
    </w:p>
    <w:p w14:paraId="58FB25C7">
      <w:pPr>
        <w:widowControl/>
        <w:adjustRightInd w:val="0"/>
        <w:ind w:firstLine="592"/>
        <w:jc w:val="left"/>
        <w:rPr>
          <w:rFonts w:ascii="仿宋_GB2312" w:hAnsi="仿宋" w:cs="宋体"/>
          <w:color w:val="000000" w:themeColor="text1"/>
          <w:spacing w:val="8"/>
          <w:szCs w:val="28"/>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地点：</w:t>
      </w:r>
      <w:r>
        <w:rPr>
          <w:rFonts w:hint="eastAsia" w:ascii="仿宋_GB2312" w:hAnsi="黑体" w:cs="宋体"/>
          <w:color w:val="000000" w:themeColor="text1"/>
          <w:spacing w:val="8"/>
          <w:szCs w:val="28"/>
          <w14:textFill>
            <w14:solidFill>
              <w14:schemeClr w14:val="tx1"/>
            </w14:solidFill>
          </w14:textFill>
        </w:rPr>
        <w:t>登录“威海市政府采购电子交易系统”（威海市公共资源交易网（乳山分中心）右侧“交易服务一网通办”登录后选择“政府采购”</w:t>
      </w:r>
      <w:r>
        <w:rPr>
          <w:rFonts w:hint="eastAsia" w:ascii="仿宋_GB2312" w:hAnsi="仿宋" w:cs="宋体"/>
          <w:color w:val="000000" w:themeColor="text1"/>
          <w:spacing w:val="8"/>
          <w:szCs w:val="28"/>
          <w14:textFill>
            <w14:solidFill>
              <w14:schemeClr w14:val="tx1"/>
            </w14:solidFill>
          </w14:textFill>
        </w:rPr>
        <w:t>网上递交。已在威海市政府采购电子交易系统获取文件的供应商在规定时间内递交电子投标（响应）文件。</w:t>
      </w:r>
    </w:p>
    <w:p w14:paraId="1B0304B6">
      <w:pPr>
        <w:widowControl/>
        <w:adjustRightInd w:val="0"/>
        <w:ind w:firstLine="560"/>
        <w:jc w:val="left"/>
        <w:outlineLvl w:val="0"/>
        <w:rPr>
          <w:rFonts w:ascii="仿宋_GB2312" w:hAnsi="仿宋" w:cs="宋体"/>
          <w:color w:val="000000" w:themeColor="text1"/>
          <w:spacing w:val="8"/>
          <w:szCs w:val="28"/>
          <w14:textFill>
            <w14:solidFill>
              <w14:schemeClr w14:val="tx1"/>
            </w14:solidFill>
          </w14:textFill>
        </w:rPr>
      </w:pPr>
      <w:r>
        <w:rPr>
          <w:rFonts w:hint="eastAsia" w:ascii="黑体" w:hAnsi="黑体" w:eastAsia="黑体" w:cs="宋体"/>
          <w:color w:val="000000" w:themeColor="text1"/>
          <w:szCs w:val="28"/>
          <w14:textFill>
            <w14:solidFill>
              <w14:schemeClr w14:val="tx1"/>
            </w14:solidFill>
          </w14:textFill>
        </w:rPr>
        <w:t>五、开启</w:t>
      </w:r>
    </w:p>
    <w:p w14:paraId="4F1A1947">
      <w:pPr>
        <w:widowControl/>
        <w:adjustRightInd w:val="0"/>
        <w:ind w:firstLine="592"/>
        <w:jc w:val="left"/>
        <w:rPr>
          <w:rFonts w:ascii="仿宋_GB2312" w:hAnsi="仿宋" w:cs="宋体"/>
          <w:color w:val="000000" w:themeColor="text1"/>
          <w:spacing w:val="8"/>
          <w:szCs w:val="28"/>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时间：</w:t>
      </w:r>
      <w:r>
        <w:rPr>
          <w:rFonts w:ascii="仿宋_GB2312" w:hAnsi="仿宋" w:cs="宋体"/>
          <w:color w:val="000000" w:themeColor="text1"/>
          <w:spacing w:val="8"/>
          <w:szCs w:val="28"/>
          <w14:textFill>
            <w14:solidFill>
              <w14:schemeClr w14:val="tx1"/>
            </w14:solidFill>
          </w14:textFill>
        </w:rPr>
        <w:t>202</w:t>
      </w:r>
      <w:r>
        <w:rPr>
          <w:rFonts w:hint="eastAsia" w:ascii="仿宋_GB2312" w:hAnsi="仿宋" w:cs="宋体"/>
          <w:color w:val="000000" w:themeColor="text1"/>
          <w:spacing w:val="8"/>
          <w:szCs w:val="28"/>
          <w:lang w:val="en-US" w:eastAsia="zh-CN"/>
          <w14:textFill>
            <w14:solidFill>
              <w14:schemeClr w14:val="tx1"/>
            </w14:solidFill>
          </w14:textFill>
        </w:rPr>
        <w:t>5</w:t>
      </w:r>
      <w:r>
        <w:rPr>
          <w:rFonts w:ascii="仿宋_GB2312" w:hAnsi="仿宋" w:cs="宋体"/>
          <w:color w:val="000000" w:themeColor="text1"/>
          <w:spacing w:val="8"/>
          <w:szCs w:val="28"/>
          <w14:textFill>
            <w14:solidFill>
              <w14:schemeClr w14:val="tx1"/>
            </w14:solidFill>
          </w14:textFill>
        </w:rPr>
        <w:t>年</w:t>
      </w:r>
      <w:r>
        <w:rPr>
          <w:rFonts w:hint="eastAsia" w:ascii="仿宋_GB2312" w:hAnsi="仿宋" w:cs="宋体"/>
          <w:color w:val="000000" w:themeColor="text1"/>
          <w:spacing w:val="8"/>
          <w:szCs w:val="28"/>
          <w:lang w:eastAsia="zh-CN"/>
          <w14:textFill>
            <w14:solidFill>
              <w14:schemeClr w14:val="tx1"/>
            </w14:solidFill>
          </w14:textFill>
        </w:rPr>
        <w:t>01月07日14时00分</w:t>
      </w:r>
      <w:r>
        <w:rPr>
          <w:rFonts w:hint="eastAsia" w:ascii="仿宋_GB2312" w:hAnsi="仿宋" w:cs="宋体"/>
          <w:color w:val="000000" w:themeColor="text1"/>
          <w:spacing w:val="8"/>
          <w:szCs w:val="28"/>
          <w14:textFill>
            <w14:solidFill>
              <w14:schemeClr w14:val="tx1"/>
            </w14:solidFill>
          </w14:textFill>
        </w:rPr>
        <w:t>（北京时间）</w:t>
      </w:r>
    </w:p>
    <w:p w14:paraId="6561CDAE">
      <w:pPr>
        <w:widowControl/>
        <w:adjustRightInd w:val="0"/>
        <w:ind w:firstLine="592"/>
        <w:jc w:val="left"/>
        <w:rPr>
          <w:rFonts w:ascii="仿宋_GB2312" w:hAnsi="仿宋" w:cs="宋体"/>
          <w:color w:val="000000" w:themeColor="text1"/>
          <w:spacing w:val="8"/>
          <w:szCs w:val="28"/>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地点：威海市乳山市深圳路108号市民服务中心三楼</w:t>
      </w:r>
    </w:p>
    <w:p w14:paraId="13C9B5E7">
      <w:pPr>
        <w:ind w:firstLine="560"/>
        <w:outlineLvl w:val="0"/>
        <w:rPr>
          <w:rFonts w:ascii="黑体" w:hAnsi="黑体" w:eastAsia="黑体" w:cs="宋体"/>
          <w:color w:val="000000" w:themeColor="text1"/>
          <w:szCs w:val="28"/>
          <w14:textFill>
            <w14:solidFill>
              <w14:schemeClr w14:val="tx1"/>
            </w14:solidFill>
          </w14:textFill>
        </w:rPr>
      </w:pPr>
      <w:r>
        <w:rPr>
          <w:rFonts w:hint="eastAsia" w:ascii="黑体" w:hAnsi="黑体" w:eastAsia="黑体" w:cs="宋体"/>
          <w:color w:val="000000" w:themeColor="text1"/>
          <w:szCs w:val="28"/>
          <w14:textFill>
            <w14:solidFill>
              <w14:schemeClr w14:val="tx1"/>
            </w14:solidFill>
          </w14:textFill>
        </w:rPr>
        <w:t>六、公告期限</w:t>
      </w:r>
    </w:p>
    <w:p w14:paraId="1F7CB56F">
      <w:pPr>
        <w:widowControl/>
        <w:adjustRightInd w:val="0"/>
        <w:ind w:firstLine="592"/>
        <w:jc w:val="left"/>
        <w:rPr>
          <w:rFonts w:ascii="仿宋_GB2312" w:hAnsi="仿宋" w:cs="宋体"/>
          <w:color w:val="000000" w:themeColor="text1"/>
          <w:spacing w:val="8"/>
          <w:szCs w:val="28"/>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自本公告发布之日起</w:t>
      </w:r>
      <w:r>
        <w:rPr>
          <w:rFonts w:ascii="仿宋_GB2312" w:hAnsi="仿宋" w:cs="宋体"/>
          <w:color w:val="000000" w:themeColor="text1"/>
          <w:spacing w:val="8"/>
          <w:szCs w:val="28"/>
          <w14:textFill>
            <w14:solidFill>
              <w14:schemeClr w14:val="tx1"/>
            </w14:solidFill>
          </w14:textFill>
        </w:rPr>
        <w:t>5</w:t>
      </w:r>
      <w:r>
        <w:rPr>
          <w:rFonts w:hint="eastAsia" w:ascii="仿宋_GB2312" w:hAnsi="仿宋" w:cs="宋体"/>
          <w:color w:val="000000" w:themeColor="text1"/>
          <w:spacing w:val="8"/>
          <w:szCs w:val="28"/>
          <w14:textFill>
            <w14:solidFill>
              <w14:schemeClr w14:val="tx1"/>
            </w14:solidFill>
          </w14:textFill>
        </w:rPr>
        <w:t>个工作日。</w:t>
      </w:r>
    </w:p>
    <w:p w14:paraId="3809C53F">
      <w:pPr>
        <w:ind w:firstLine="560"/>
        <w:rPr>
          <w:rFonts w:ascii="黑体" w:hAnsi="黑体" w:eastAsia="黑体" w:cs="宋体"/>
          <w:color w:val="000000" w:themeColor="text1"/>
          <w:szCs w:val="28"/>
          <w14:textFill>
            <w14:solidFill>
              <w14:schemeClr w14:val="tx1"/>
            </w14:solidFill>
          </w14:textFill>
        </w:rPr>
      </w:pPr>
      <w:r>
        <w:rPr>
          <w:rFonts w:hint="eastAsia" w:ascii="黑体" w:hAnsi="黑体" w:eastAsia="黑体" w:cs="宋体"/>
          <w:color w:val="000000" w:themeColor="text1"/>
          <w:szCs w:val="28"/>
          <w14:textFill>
            <w14:solidFill>
              <w14:schemeClr w14:val="tx1"/>
            </w14:solidFill>
          </w14:textFill>
        </w:rPr>
        <w:t>七、其他补充事宜</w:t>
      </w:r>
    </w:p>
    <w:p w14:paraId="7BD8E887">
      <w:pPr>
        <w:widowControl/>
        <w:adjustRightInd w:val="0"/>
        <w:ind w:firstLine="592"/>
        <w:jc w:val="left"/>
        <w:rPr>
          <w:rFonts w:ascii="仿宋_GB2312" w:hAnsi="仿宋" w:cs="宋体"/>
          <w:color w:val="000000" w:themeColor="text1"/>
          <w:spacing w:val="8"/>
          <w:szCs w:val="28"/>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1、同时发布公告的媒体：山东省政府采购信息公开平台、威海市公共资源交易网、威海市公共资源交易网（乳山分中心）。</w:t>
      </w:r>
    </w:p>
    <w:p w14:paraId="7EB88C57">
      <w:pPr>
        <w:widowControl/>
        <w:adjustRightInd w:val="0"/>
        <w:ind w:firstLine="592"/>
        <w:jc w:val="left"/>
        <w:rPr>
          <w:rFonts w:ascii="仿宋_GB2312" w:hAnsi="仿宋" w:cs="宋体"/>
          <w:color w:val="000000" w:themeColor="text1"/>
          <w:spacing w:val="8"/>
          <w:szCs w:val="28"/>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2、本项目实行全流程电子化，实行远程开标，报价供应商无需到现场，并保持通讯畅通，提前在个人电脑上进行测试确保音频、视频功能可正常使用，因通讯不畅造成的一切后果由供应商自行承担。</w:t>
      </w:r>
    </w:p>
    <w:p w14:paraId="11E8E381">
      <w:pPr>
        <w:widowControl/>
        <w:adjustRightInd w:val="0"/>
        <w:ind w:firstLine="592"/>
        <w:jc w:val="left"/>
        <w:rPr>
          <w:rFonts w:ascii="仿宋_GB2312" w:hAnsi="仿宋" w:cs="宋体"/>
          <w:color w:val="000000" w:themeColor="text1"/>
          <w:spacing w:val="8"/>
          <w:szCs w:val="28"/>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3、报价截止时间前，随时关注山东省政府采购信息公开平台、威海市公共资源交易网、威海市公共资源交易网（乳山分中心）及威海市乳山市政府采购电子交易系统内变更提醒。</w:t>
      </w:r>
    </w:p>
    <w:p w14:paraId="7C46AFC0">
      <w:pPr>
        <w:ind w:firstLine="560"/>
        <w:outlineLvl w:val="0"/>
        <w:rPr>
          <w:rFonts w:ascii="黑体" w:hAnsi="黑体" w:eastAsia="黑体" w:cs="宋体"/>
          <w:color w:val="000000" w:themeColor="text1"/>
          <w:szCs w:val="28"/>
          <w14:textFill>
            <w14:solidFill>
              <w14:schemeClr w14:val="tx1"/>
            </w14:solidFill>
          </w14:textFill>
        </w:rPr>
      </w:pPr>
      <w:r>
        <w:rPr>
          <w:rFonts w:hint="eastAsia" w:ascii="黑体" w:hAnsi="黑体" w:eastAsia="黑体" w:cs="宋体"/>
          <w:color w:val="000000" w:themeColor="text1"/>
          <w:szCs w:val="28"/>
          <w14:textFill>
            <w14:solidFill>
              <w14:schemeClr w14:val="tx1"/>
            </w14:solidFill>
          </w14:textFill>
        </w:rPr>
        <w:t>八、对本次采购提出询问，请按以下方式联系。</w:t>
      </w:r>
    </w:p>
    <w:p w14:paraId="30AECFA4">
      <w:pPr>
        <w:widowControl/>
        <w:adjustRightInd w:val="0"/>
        <w:ind w:firstLine="592"/>
        <w:jc w:val="left"/>
        <w:rPr>
          <w:rFonts w:ascii="仿宋_GB2312" w:hAnsi="仿宋" w:cs="宋体"/>
          <w:color w:val="000000" w:themeColor="text1"/>
          <w:spacing w:val="8"/>
          <w:szCs w:val="28"/>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1.采购人信息</w:t>
      </w:r>
    </w:p>
    <w:p w14:paraId="7CF642B4">
      <w:pPr>
        <w:widowControl/>
        <w:adjustRightInd w:val="0"/>
        <w:ind w:firstLine="592"/>
        <w:jc w:val="left"/>
        <w:rPr>
          <w:rFonts w:ascii="仿宋_GB2312" w:hAnsi="仿宋" w:cs="宋体"/>
          <w:color w:val="000000" w:themeColor="text1"/>
          <w:spacing w:val="8"/>
          <w:szCs w:val="28"/>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名  称：</w:t>
      </w:r>
      <w:r>
        <w:rPr>
          <w:rFonts w:ascii="仿宋_GB2312" w:hAnsi="仿宋" w:cs="宋体"/>
          <w:color w:val="000000" w:themeColor="text1"/>
          <w:spacing w:val="8"/>
          <w:szCs w:val="28"/>
          <w14:textFill>
            <w14:solidFill>
              <w14:schemeClr w14:val="tx1"/>
            </w14:solidFill>
          </w14:textFill>
        </w:rPr>
        <w:t>乳山市水利事务服务中心</w:t>
      </w:r>
    </w:p>
    <w:p w14:paraId="5EC87F68">
      <w:pPr>
        <w:widowControl/>
        <w:adjustRightInd w:val="0"/>
        <w:ind w:firstLine="592"/>
        <w:jc w:val="left"/>
        <w:rPr>
          <w:rFonts w:ascii="仿宋_GB2312" w:hAnsi="仿宋" w:cs="宋体"/>
          <w:color w:val="000000" w:themeColor="text1"/>
          <w:spacing w:val="8"/>
          <w:szCs w:val="28"/>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地  址：</w:t>
      </w:r>
      <w:r>
        <w:rPr>
          <w:rFonts w:ascii="仿宋_GB2312" w:hAnsi="仿宋" w:cs="宋体"/>
          <w:color w:val="000000" w:themeColor="text1"/>
          <w:spacing w:val="8"/>
          <w:szCs w:val="28"/>
          <w14:textFill>
            <w14:solidFill>
              <w14:schemeClr w14:val="tx1"/>
            </w14:solidFill>
          </w14:textFill>
        </w:rPr>
        <w:t>乳山市府前路7号</w:t>
      </w:r>
    </w:p>
    <w:p w14:paraId="2CF7146B">
      <w:pPr>
        <w:widowControl/>
        <w:adjustRightInd w:val="0"/>
        <w:ind w:firstLine="592"/>
        <w:jc w:val="left"/>
        <w:rPr>
          <w:rFonts w:hint="eastAsia" w:ascii="仿宋_GB2312" w:hAnsi="仿宋" w:eastAsia="仿宋_GB2312" w:cs="宋体"/>
          <w:color w:val="000000" w:themeColor="text1"/>
          <w:spacing w:val="8"/>
          <w:szCs w:val="28"/>
          <w:lang w:eastAsia="zh-CN"/>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联系方式：</w:t>
      </w:r>
      <w:r>
        <w:rPr>
          <w:rFonts w:hint="eastAsia" w:ascii="仿宋_GB2312" w:hAnsi="仿宋" w:cs="宋体"/>
          <w:color w:val="000000" w:themeColor="text1"/>
          <w:spacing w:val="8"/>
          <w:szCs w:val="28"/>
          <w:lang w:eastAsia="zh-CN"/>
          <w14:textFill>
            <w14:solidFill>
              <w14:schemeClr w14:val="tx1"/>
            </w14:solidFill>
          </w14:textFill>
        </w:rPr>
        <w:t>0631-6653478</w:t>
      </w:r>
    </w:p>
    <w:p w14:paraId="4CB91EE6">
      <w:pPr>
        <w:widowControl/>
        <w:adjustRightInd w:val="0"/>
        <w:ind w:firstLine="592"/>
        <w:jc w:val="left"/>
        <w:rPr>
          <w:rFonts w:ascii="仿宋_GB2312" w:hAnsi="仿宋" w:cs="宋体"/>
          <w:color w:val="000000" w:themeColor="text1"/>
          <w:spacing w:val="8"/>
          <w:szCs w:val="28"/>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2.采购代理机构信息</w:t>
      </w:r>
    </w:p>
    <w:p w14:paraId="31CF3969">
      <w:pPr>
        <w:widowControl/>
        <w:adjustRightInd w:val="0"/>
        <w:ind w:firstLine="592"/>
        <w:jc w:val="left"/>
        <w:rPr>
          <w:rFonts w:hint="eastAsia" w:ascii="仿宋_GB2312" w:hAnsi="仿宋" w:eastAsia="仿宋_GB2312" w:cs="宋体"/>
          <w:color w:val="000000" w:themeColor="text1"/>
          <w:spacing w:val="8"/>
          <w:szCs w:val="28"/>
          <w:lang w:eastAsia="zh-CN"/>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名  称：</w:t>
      </w:r>
      <w:r>
        <w:rPr>
          <w:rFonts w:hint="eastAsia" w:ascii="仿宋_GB2312" w:hAnsi="仿宋" w:cs="宋体"/>
          <w:color w:val="000000" w:themeColor="text1"/>
          <w:spacing w:val="8"/>
          <w:szCs w:val="28"/>
          <w:lang w:eastAsia="zh-CN"/>
          <w14:textFill>
            <w14:solidFill>
              <w14:schemeClr w14:val="tx1"/>
            </w14:solidFill>
          </w14:textFill>
        </w:rPr>
        <w:t>乳山市方识建设工程咨询有限公司</w:t>
      </w:r>
    </w:p>
    <w:p w14:paraId="0CC2126E">
      <w:pPr>
        <w:widowControl/>
        <w:adjustRightInd w:val="0"/>
        <w:ind w:firstLine="592"/>
        <w:jc w:val="left"/>
        <w:rPr>
          <w:rFonts w:hint="eastAsia" w:ascii="仿宋_GB2312" w:hAnsi="仿宋" w:eastAsia="仿宋_GB2312" w:cs="宋体"/>
          <w:color w:val="000000" w:themeColor="text1"/>
          <w:spacing w:val="8"/>
          <w:szCs w:val="28"/>
          <w:lang w:eastAsia="zh-CN"/>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地  址：</w:t>
      </w:r>
      <w:r>
        <w:rPr>
          <w:rFonts w:hint="eastAsia"/>
          <w:color w:val="000000" w:themeColor="text1"/>
          <w:shd w:val="clear" w:color="auto" w:fill="FFFFFF"/>
          <w:lang w:eastAsia="zh-CN"/>
          <w14:textFill>
            <w14:solidFill>
              <w14:schemeClr w14:val="tx1"/>
            </w14:solidFill>
          </w14:textFill>
        </w:rPr>
        <w:t>乳山市城区唐山路12号</w:t>
      </w:r>
    </w:p>
    <w:p w14:paraId="55FEF934">
      <w:pPr>
        <w:widowControl/>
        <w:adjustRightInd w:val="0"/>
        <w:ind w:firstLine="592"/>
        <w:jc w:val="left"/>
        <w:rPr>
          <w:rFonts w:hint="eastAsia" w:ascii="仿宋_GB2312" w:hAnsi="仿宋" w:eastAsia="仿宋_GB2312" w:cs="宋体"/>
          <w:color w:val="000000" w:themeColor="text1"/>
          <w:spacing w:val="8"/>
          <w:szCs w:val="28"/>
          <w:lang w:eastAsia="zh-CN"/>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联系方式：</w:t>
      </w:r>
      <w:r>
        <w:rPr>
          <w:rFonts w:hint="eastAsia" w:ascii="仿宋_GB2312" w:hAnsi="仿宋" w:cs="宋体"/>
          <w:color w:val="000000" w:themeColor="text1"/>
          <w:spacing w:val="8"/>
          <w:szCs w:val="28"/>
          <w:lang w:eastAsia="zh-CN"/>
          <w14:textFill>
            <w14:solidFill>
              <w14:schemeClr w14:val="tx1"/>
            </w14:solidFill>
          </w14:textFill>
        </w:rPr>
        <w:t>19106317809</w:t>
      </w:r>
    </w:p>
    <w:p w14:paraId="3D546974">
      <w:pPr>
        <w:widowControl/>
        <w:adjustRightInd w:val="0"/>
        <w:ind w:firstLine="592"/>
        <w:jc w:val="left"/>
        <w:rPr>
          <w:rFonts w:ascii="仿宋_GB2312" w:hAnsi="仿宋" w:cs="宋体"/>
          <w:color w:val="000000" w:themeColor="text1"/>
          <w:spacing w:val="8"/>
          <w:szCs w:val="28"/>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3.项目联系方式</w:t>
      </w:r>
    </w:p>
    <w:p w14:paraId="30D913FE">
      <w:pPr>
        <w:widowControl/>
        <w:adjustRightInd w:val="0"/>
        <w:ind w:firstLine="592"/>
        <w:jc w:val="left"/>
        <w:rPr>
          <w:rFonts w:hint="eastAsia" w:ascii="仿宋_GB2312" w:hAnsi="仿宋" w:eastAsia="仿宋_GB2312" w:cs="宋体"/>
          <w:color w:val="000000" w:themeColor="text1"/>
          <w:spacing w:val="8"/>
          <w:szCs w:val="28"/>
          <w:lang w:eastAsia="zh-CN"/>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项目联系人：</w:t>
      </w:r>
      <w:r>
        <w:rPr>
          <w:rFonts w:hint="eastAsia" w:ascii="仿宋_GB2312" w:hAnsi="仿宋" w:cs="宋体"/>
          <w:color w:val="000000" w:themeColor="text1"/>
          <w:spacing w:val="8"/>
          <w:szCs w:val="28"/>
          <w:lang w:eastAsia="zh-CN"/>
          <w14:textFill>
            <w14:solidFill>
              <w14:schemeClr w14:val="tx1"/>
            </w14:solidFill>
          </w14:textFill>
        </w:rPr>
        <w:t>吕晓宁</w:t>
      </w:r>
    </w:p>
    <w:p w14:paraId="0A89AF79">
      <w:pPr>
        <w:widowControl/>
        <w:adjustRightInd w:val="0"/>
        <w:ind w:firstLine="592"/>
        <w:jc w:val="left"/>
        <w:rPr>
          <w:rFonts w:hint="eastAsia" w:ascii="仿宋_GB2312" w:hAnsi="仿宋" w:eastAsia="仿宋_GB2312" w:cs="宋体"/>
          <w:color w:val="000000" w:themeColor="text1"/>
          <w:spacing w:val="8"/>
          <w:szCs w:val="28"/>
          <w:lang w:eastAsia="zh-CN"/>
          <w14:textFill>
            <w14:solidFill>
              <w14:schemeClr w14:val="tx1"/>
            </w14:solidFill>
          </w14:textFill>
        </w:rPr>
      </w:pPr>
      <w:r>
        <w:rPr>
          <w:rFonts w:hint="eastAsia" w:ascii="仿宋_GB2312" w:hAnsi="仿宋" w:cs="宋体"/>
          <w:color w:val="000000" w:themeColor="text1"/>
          <w:spacing w:val="8"/>
          <w:szCs w:val="28"/>
          <w14:textFill>
            <w14:solidFill>
              <w14:schemeClr w14:val="tx1"/>
            </w14:solidFill>
          </w14:textFill>
        </w:rPr>
        <w:t>电  话：</w:t>
      </w:r>
      <w:r>
        <w:rPr>
          <w:rFonts w:hint="eastAsia" w:ascii="仿宋_GB2312" w:hAnsi="仿宋" w:cs="宋体"/>
          <w:color w:val="000000" w:themeColor="text1"/>
          <w:spacing w:val="8"/>
          <w:szCs w:val="28"/>
          <w:lang w:eastAsia="zh-CN"/>
          <w14:textFill>
            <w14:solidFill>
              <w14:schemeClr w14:val="tx1"/>
            </w14:solidFill>
          </w14:textFill>
        </w:rPr>
        <w:t>19106317809</w:t>
      </w:r>
    </w:p>
    <w:p w14:paraId="507AA55F">
      <w:pPr>
        <w:widowControl/>
        <w:adjustRightInd w:val="0"/>
        <w:ind w:firstLine="592"/>
        <w:jc w:val="left"/>
        <w:rPr>
          <w:rFonts w:ascii="仿宋_GB2312" w:hAnsi="仿宋" w:cs="宋体"/>
          <w:color w:val="000000" w:themeColor="text1"/>
          <w:spacing w:val="8"/>
          <w:szCs w:val="28"/>
          <w14:textFill>
            <w14:solidFill>
              <w14:schemeClr w14:val="tx1"/>
            </w14:solidFill>
          </w14:textFill>
        </w:rPr>
      </w:pPr>
    </w:p>
    <w:p w14:paraId="1967AE5B">
      <w:pPr>
        <w:ind w:firstLine="560"/>
        <w:jc w:val="right"/>
        <w:rPr>
          <w:rFonts w:hint="eastAsia" w:ascii="仿宋_GB2312" w:hAnsi="宋体" w:eastAsia="仿宋_GB2312"/>
          <w:color w:val="000000" w:themeColor="text1"/>
          <w:szCs w:val="28"/>
          <w:lang w:eastAsia="zh-CN"/>
          <w14:textFill>
            <w14:solidFill>
              <w14:schemeClr w14:val="tx1"/>
            </w14:solidFill>
          </w14:textFill>
        </w:rPr>
      </w:pPr>
      <w:r>
        <w:rPr>
          <w:rFonts w:hint="eastAsia" w:ascii="仿宋_GB2312" w:hAnsi="宋体" w:cs="宋体"/>
          <w:color w:val="000000" w:themeColor="text1"/>
          <w:szCs w:val="28"/>
          <w14:textFill>
            <w14:solidFill>
              <w14:schemeClr w14:val="tx1"/>
            </w14:solidFill>
          </w14:textFill>
        </w:rPr>
        <w:t xml:space="preserve">发布人： </w:t>
      </w:r>
      <w:r>
        <w:rPr>
          <w:rFonts w:hint="eastAsia" w:ascii="仿宋_GB2312" w:hAnsi="宋体" w:cs="宋体"/>
          <w:color w:val="000000" w:themeColor="text1"/>
          <w:szCs w:val="28"/>
          <w:lang w:eastAsia="zh-CN"/>
          <w14:textFill>
            <w14:solidFill>
              <w14:schemeClr w14:val="tx1"/>
            </w14:solidFill>
          </w14:textFill>
        </w:rPr>
        <w:t>乳山市方识建设工程咨询有限公司</w:t>
      </w:r>
    </w:p>
    <w:p w14:paraId="23D4CB8A">
      <w:pPr>
        <w:widowControl/>
        <w:adjustRightInd w:val="0"/>
        <w:ind w:left="-240" w:firstLine="560"/>
        <w:jc w:val="right"/>
        <w:rPr>
          <w:rFonts w:hint="eastAsia" w:ascii="仿宋_GB2312" w:hAnsi="宋体" w:eastAsia="仿宋_GB2312" w:cs="宋体"/>
          <w:color w:val="000000" w:themeColor="text1"/>
          <w:szCs w:val="28"/>
          <w:lang w:eastAsia="zh-CN"/>
          <w14:textFill>
            <w14:solidFill>
              <w14:schemeClr w14:val="tx1"/>
            </w14:solidFill>
          </w14:textFill>
        </w:rPr>
      </w:pPr>
      <w:r>
        <w:rPr>
          <w:rFonts w:hint="eastAsia" w:ascii="仿宋_GB2312" w:hAnsi="宋体" w:cs="宋体"/>
          <w:color w:val="000000" w:themeColor="text1"/>
          <w:szCs w:val="28"/>
          <w14:textFill>
            <w14:solidFill>
              <w14:schemeClr w14:val="tx1"/>
            </w14:solidFill>
          </w14:textFill>
        </w:rPr>
        <w:t>发布时间：</w:t>
      </w:r>
      <w:r>
        <w:rPr>
          <w:rFonts w:ascii="仿宋_GB2312" w:hAnsi="宋体" w:cs="宋体"/>
          <w:color w:val="000000" w:themeColor="text1"/>
          <w:szCs w:val="28"/>
          <w14:textFill>
            <w14:solidFill>
              <w14:schemeClr w14:val="tx1"/>
            </w14:solidFill>
          </w14:textFill>
        </w:rPr>
        <w:t>2024年</w:t>
      </w:r>
      <w:r>
        <w:rPr>
          <w:rFonts w:hint="eastAsia" w:ascii="仿宋_GB2312" w:hAnsi="宋体" w:cs="宋体"/>
          <w:color w:val="000000" w:themeColor="text1"/>
          <w:szCs w:val="28"/>
          <w:lang w:eastAsia="zh-CN"/>
          <w14:textFill>
            <w14:solidFill>
              <w14:schemeClr w14:val="tx1"/>
            </w14:solidFill>
          </w14:textFill>
        </w:rPr>
        <w:t>12月26日</w:t>
      </w:r>
    </w:p>
    <w:p w14:paraId="4800CAF3">
      <w:pPr>
        <w:widowControl/>
        <w:adjustRightInd w:val="0"/>
        <w:ind w:left="-240" w:firstLine="560"/>
        <w:jc w:val="right"/>
        <w:rPr>
          <w:rFonts w:ascii="仿宋_GB2312" w:hAnsi="宋体" w:cs="宋体"/>
          <w:color w:val="000000" w:themeColor="text1"/>
          <w:szCs w:val="28"/>
          <w14:textFill>
            <w14:solidFill>
              <w14:schemeClr w14:val="tx1"/>
            </w14:solidFill>
          </w14:textFill>
        </w:rPr>
      </w:pPr>
    </w:p>
    <w:p w14:paraId="6BBED3A7">
      <w:pPr>
        <w:widowControl/>
        <w:adjustRightInd w:val="0"/>
        <w:ind w:left="-398" w:leftChars="-142" w:right="280" w:firstLine="640"/>
        <w:jc w:val="left"/>
        <w:rPr>
          <w:rFonts w:ascii="黑体" w:hAnsi="黑体" w:eastAsia="黑体" w:cs="宋体"/>
          <w:color w:val="000000" w:themeColor="text1"/>
          <w:sz w:val="32"/>
          <w:szCs w:val="32"/>
          <w14:textFill>
            <w14:solidFill>
              <w14:schemeClr w14:val="tx1"/>
            </w14:solidFill>
          </w14:textFill>
        </w:rPr>
      </w:pPr>
      <w:r>
        <w:rPr>
          <w:rFonts w:ascii="黑体" w:hAnsi="黑体" w:eastAsia="黑体" w:cs="宋体"/>
          <w:color w:val="000000" w:themeColor="text1"/>
          <w:sz w:val="32"/>
          <w:szCs w:val="32"/>
          <w14:textFill>
            <w14:solidFill>
              <w14:schemeClr w14:val="tx1"/>
            </w14:solidFill>
          </w14:textFill>
        </w:rPr>
        <w:t>温馨提示</w:t>
      </w:r>
      <w:r>
        <w:rPr>
          <w:rFonts w:hint="eastAsia" w:ascii="黑体" w:hAnsi="黑体" w:eastAsia="黑体" w:cs="宋体"/>
          <w:color w:val="000000" w:themeColor="text1"/>
          <w:sz w:val="32"/>
          <w:szCs w:val="32"/>
          <w14:textFill>
            <w14:solidFill>
              <w14:schemeClr w14:val="tx1"/>
            </w14:solidFill>
          </w14:textFill>
        </w:rPr>
        <w:t>：</w:t>
      </w:r>
    </w:p>
    <w:p w14:paraId="7C45245F">
      <w:pPr>
        <w:widowControl/>
        <w:adjustRightInd w:val="0"/>
        <w:ind w:left="-238" w:firstLine="560"/>
        <w:jc w:val="left"/>
        <w:rPr>
          <w:rFonts w:ascii="仿宋_GB2312" w:hAnsi="宋体" w:cs="宋体"/>
          <w:color w:val="000000" w:themeColor="text1"/>
          <w14:textFill>
            <w14:solidFill>
              <w14:schemeClr w14:val="tx1"/>
            </w14:solidFill>
          </w14:textFill>
        </w:rPr>
      </w:pPr>
      <w:r>
        <w:rPr>
          <w:rFonts w:hint="eastAsia" w:ascii="仿宋_GB2312" w:hAnsi="宋体" w:cs="宋体"/>
          <w:color w:val="000000" w:themeColor="text1"/>
          <w14:textFill>
            <w14:solidFill>
              <w14:schemeClr w14:val="tx1"/>
            </w14:solidFill>
          </w14:textFill>
        </w:rPr>
        <w:t>为缓解中小企业融资困难，山东省财政厅、威海市财政局等部门出台了政府采购合同融资措施，贵单位如有融资需求，可登录“威海市公共资源交易网-企业融资服务平台专区”了解详情。</w:t>
      </w:r>
    </w:p>
    <w:p w14:paraId="298EA296">
      <w:pPr>
        <w:widowControl/>
        <w:adjustRightInd w:val="0"/>
        <w:ind w:left="-238" w:firstLine="560"/>
        <w:jc w:val="left"/>
        <w:rPr>
          <w:rFonts w:ascii="仿宋_GB2312" w:hAnsi="宋体" w:cs="宋体"/>
          <w:color w:val="000000" w:themeColor="text1"/>
          <w14:textFill>
            <w14:solidFill>
              <w14:schemeClr w14:val="tx1"/>
            </w14:solidFill>
          </w14:textFill>
        </w:rPr>
      </w:pPr>
      <w:r>
        <w:rPr>
          <w:rFonts w:hint="eastAsia" w:ascii="仿宋_GB2312" w:hAnsi="宋体" w:cs="宋体"/>
          <w:color w:val="000000" w:themeColor="text1"/>
          <w14:textFill>
            <w14:solidFill>
              <w14:schemeClr w14:val="tx1"/>
            </w14:solidFill>
          </w14:textFill>
        </w:rPr>
        <w:t>1.山东省政府采购 合同融资与履约保函服务平台</w:t>
      </w:r>
    </w:p>
    <w:p w14:paraId="16C36A3F">
      <w:pPr>
        <w:widowControl/>
        <w:adjustRightInd w:val="0"/>
        <w:ind w:left="480" w:right="280" w:firstLine="560"/>
        <w:rPr>
          <w:rFonts w:ascii="仿宋_GB2312" w:hAnsi="宋体" w:cs="宋体"/>
          <w:color w:val="000000" w:themeColor="text1"/>
          <w14:textFill>
            <w14:solidFill>
              <w14:schemeClr w14:val="tx1"/>
            </w14:solidFill>
          </w14:textFill>
        </w:rPr>
      </w:pPr>
      <w:r>
        <w:rPr>
          <w:color w:val="000000" w:themeColor="text1"/>
          <w14:textFill>
            <w14:solidFill>
              <w14:schemeClr w14:val="tx1"/>
            </w14:solidFill>
          </w14:textFill>
        </w:rPr>
        <w:drawing>
          <wp:anchor distT="0" distB="0" distL="114300" distR="114300" simplePos="0" relativeHeight="251659264" behindDoc="0" locked="0" layoutInCell="1" allowOverlap="1">
            <wp:simplePos x="0" y="0"/>
            <wp:positionH relativeFrom="column">
              <wp:posOffset>3992245</wp:posOffset>
            </wp:positionH>
            <wp:positionV relativeFrom="paragraph">
              <wp:posOffset>64135</wp:posOffset>
            </wp:positionV>
            <wp:extent cx="993775" cy="836295"/>
            <wp:effectExtent l="0" t="0" r="0" b="0"/>
            <wp:wrapSquare wrapText="bothSides"/>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993775" cy="836295"/>
                    </a:xfrm>
                    <a:prstGeom prst="rect">
                      <a:avLst/>
                    </a:prstGeom>
                    <a:noFill/>
                    <a:ln>
                      <a:noFill/>
                    </a:ln>
                  </pic:spPr>
                </pic:pic>
              </a:graphicData>
            </a:graphic>
          </wp:anchor>
        </w:drawing>
      </w:r>
    </w:p>
    <w:p w14:paraId="41B70242">
      <w:pPr>
        <w:widowControl/>
        <w:adjustRightInd w:val="0"/>
        <w:ind w:left="480" w:right="280" w:firstLine="560"/>
        <w:rPr>
          <w:rFonts w:ascii="仿宋_GB2312" w:hAnsi="宋体" w:cs="宋体"/>
          <w:color w:val="000000" w:themeColor="text1"/>
          <w14:textFill>
            <w14:solidFill>
              <w14:schemeClr w14:val="tx1"/>
            </w14:solidFill>
          </w14:textFill>
        </w:rPr>
      </w:pPr>
    </w:p>
    <w:p w14:paraId="13D704C6">
      <w:pPr>
        <w:widowControl/>
        <w:adjustRightInd w:val="0"/>
        <w:ind w:right="560" w:firstLine="280" w:firstLineChars="100"/>
        <w:rPr>
          <w:rFonts w:ascii="仿宋_GB2312" w:hAnsi="宋体" w:cs="宋体"/>
          <w:color w:val="000000" w:themeColor="text1"/>
          <w14:textFill>
            <w14:solidFill>
              <w14:schemeClr w14:val="tx1"/>
            </w14:solidFill>
          </w14:textFill>
        </w:rPr>
      </w:pPr>
      <w:r>
        <w:rPr>
          <w:rFonts w:hint="eastAsia" w:ascii="仿宋_GB2312" w:hAnsi="宋体" w:cs="宋体"/>
          <w:color w:val="000000" w:themeColor="text1"/>
          <w14:textFill>
            <w14:solidFill>
              <w14:schemeClr w14:val="tx1"/>
            </w14:solidFill>
          </w14:textFill>
        </w:rPr>
        <w:t>网址：</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"http://www.ccgp-shandong-rz.cn/" </w:instrText>
      </w:r>
      <w:r>
        <w:rPr>
          <w:color w:val="000000" w:themeColor="text1"/>
          <w14:textFill>
            <w14:solidFill>
              <w14:schemeClr w14:val="tx1"/>
            </w14:solidFill>
          </w14:textFill>
        </w:rPr>
        <w:fldChar w:fldCharType="separate"/>
      </w:r>
      <w:r>
        <w:rPr>
          <w:rFonts w:hint="eastAsia" w:ascii="仿宋_GB2312" w:hAnsi="宋体" w:cs="宋体"/>
          <w:color w:val="000000" w:themeColor="text1"/>
          <w14:textFill>
            <w14:solidFill>
              <w14:schemeClr w14:val="tx1"/>
            </w14:solidFill>
          </w14:textFill>
        </w:rPr>
        <w:t>http://www.ccgp-shandong-rz.cn/</w:t>
      </w:r>
      <w:r>
        <w:rPr>
          <w:rFonts w:hint="eastAsia" w:ascii="仿宋_GB2312" w:hAnsi="宋体" w:cs="宋体"/>
          <w:color w:val="000000" w:themeColor="text1"/>
          <w14:textFill>
            <w14:solidFill>
              <w14:schemeClr w14:val="tx1"/>
            </w14:solidFill>
          </w14:textFill>
        </w:rPr>
        <w:fldChar w:fldCharType="end"/>
      </w:r>
    </w:p>
    <w:p w14:paraId="1F649C09">
      <w:pPr>
        <w:widowControl/>
        <w:adjustRightInd w:val="0"/>
        <w:ind w:firstLine="280" w:firstLineChars="100"/>
        <w:jc w:val="left"/>
        <w:rPr>
          <w:rFonts w:ascii="仿宋_GB2312" w:hAnsi="宋体" w:cs="宋体"/>
          <w:color w:val="000000" w:themeColor="text1"/>
          <w14:textFill>
            <w14:solidFill>
              <w14:schemeClr w14:val="tx1"/>
            </w14:solidFill>
          </w14:textFill>
        </w:rPr>
      </w:pPr>
      <w:r>
        <w:rPr>
          <w:rFonts w:hint="eastAsia" w:ascii="仿宋_GB2312" w:hAnsi="宋体" w:cs="宋体"/>
          <w:color w:val="000000" w:themeColor="text1"/>
          <w14:textFill>
            <w14:solidFill>
              <w14:schemeClr w14:val="tx1"/>
            </w14:solidFill>
          </w14:textFill>
        </w:rPr>
        <w:t>2.信财银保 企业融资担保服务平台</w:t>
      </w:r>
    </w:p>
    <w:p w14:paraId="3C48621C">
      <w:pPr>
        <w:widowControl/>
        <w:adjustRightInd w:val="0"/>
        <w:ind w:firstLine="280" w:firstLineChars="100"/>
        <w:jc w:val="left"/>
        <w:rPr>
          <w:rFonts w:ascii="仿宋_GB2312" w:hAnsi="宋体" w:cs="宋体"/>
          <w:color w:val="000000" w:themeColor="text1"/>
          <w14:textFill>
            <w14:solidFill>
              <w14:schemeClr w14:val="tx1"/>
            </w14:solidFill>
          </w14:textFill>
        </w:rPr>
      </w:pPr>
      <w:r>
        <w:rPr>
          <w:rFonts w:hint="eastAsia" w:ascii="仿宋_GB2312" w:hAnsi="宋体" w:cs="宋体"/>
          <w:color w:val="000000" w:themeColor="text1"/>
          <w14:textFill>
            <w14:solidFill>
              <w14:schemeClr w14:val="tx1"/>
            </w14:solidFill>
          </w14:textFill>
        </w:rPr>
        <w:t>网址：</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"http://xcyb.weihai.cn/tz/financing-service" </w:instrText>
      </w:r>
      <w:r>
        <w:rPr>
          <w:color w:val="000000" w:themeColor="text1"/>
          <w14:textFill>
            <w14:solidFill>
              <w14:schemeClr w14:val="tx1"/>
            </w14:solidFill>
          </w14:textFill>
        </w:rPr>
        <w:fldChar w:fldCharType="separate"/>
      </w:r>
      <w:r>
        <w:rPr>
          <w:rFonts w:hint="eastAsia" w:ascii="仿宋_GB2312" w:hAnsi="宋体" w:cs="宋体"/>
          <w:color w:val="000000" w:themeColor="text1"/>
          <w14:textFill>
            <w14:solidFill>
              <w14:schemeClr w14:val="tx1"/>
            </w14:solidFill>
          </w14:textFill>
        </w:rPr>
        <w:t>http://xcyb.weihai.cn/tz/financing-service</w:t>
      </w:r>
      <w:r>
        <w:rPr>
          <w:rFonts w:hint="eastAsia" w:ascii="仿宋_GB2312" w:hAnsi="宋体" w:cs="宋体"/>
          <w:color w:val="000000" w:themeColor="text1"/>
          <w14:textFill>
            <w14:solidFill>
              <w14:schemeClr w14:val="tx1"/>
            </w14:solidFill>
          </w14:textFill>
        </w:rPr>
        <w:fldChar w:fldCharType="end"/>
      </w:r>
    </w:p>
    <w:p w14:paraId="6C66775B">
      <w:pPr>
        <w:widowControl/>
        <w:adjustRightInd w:val="0"/>
        <w:ind w:left="-240" w:firstLine="560"/>
        <w:jc w:val="right"/>
        <w:rPr>
          <w:rFonts w:ascii="仿宋_GB2312" w:hAnsi="宋体" w:cs="宋体"/>
          <w:color w:val="000000" w:themeColor="text1"/>
          <w:szCs w:val="28"/>
          <w14:textFill>
            <w14:solidFill>
              <w14:schemeClr w14:val="tx1"/>
            </w14:solidFill>
          </w14:textFill>
        </w:rPr>
      </w:pPr>
    </w:p>
    <w:p w14:paraId="00E9D135">
      <w:pPr>
        <w:widowControl/>
        <w:adjustRightInd w:val="0"/>
        <w:ind w:left="-240" w:firstLine="560"/>
        <w:jc w:val="right"/>
        <w:rPr>
          <w:rFonts w:ascii="仿宋_GB2312" w:hAnsi="宋体" w:cs="宋体"/>
          <w:color w:val="000000" w:themeColor="text1"/>
          <w:szCs w:val="28"/>
          <w14:textFill>
            <w14:solidFill>
              <w14:schemeClr w14:val="tx1"/>
            </w14:solidFill>
          </w14:textFill>
        </w:rPr>
      </w:pPr>
    </w:p>
    <w:p w14:paraId="154DDC33">
      <w:pPr>
        <w:pStyle w:val="43"/>
        <w:spacing w:before="100" w:beforeAutospacing="1" w:after="100" w:afterAutospacing="1" w:line="415" w:lineRule="auto"/>
        <w:ind w:firstLine="0" w:firstLineChars="0"/>
        <w:rPr>
          <w:rFonts w:ascii="楷体_GB2312" w:hAnsi="宋体" w:eastAsia="楷体_GB2312" w:cs="宋体"/>
          <w:color w:val="000000" w:themeColor="text1"/>
          <w:sz w:val="44"/>
          <w:szCs w:val="44"/>
          <w14:textFill>
            <w14:solidFill>
              <w14:schemeClr w14:val="tx1"/>
            </w14:solidFill>
          </w14:textFill>
        </w:rPr>
      </w:pPr>
      <w:r>
        <w:rPr>
          <w:rFonts w:ascii="楷体_GB2312" w:hAnsi="宋体" w:eastAsia="楷体_GB2312" w:cs="宋体"/>
          <w:color w:val="000000" w:themeColor="text1"/>
          <w:sz w:val="44"/>
          <w:szCs w:val="44"/>
          <w14:textFill>
            <w14:solidFill>
              <w14:schemeClr w14:val="tx1"/>
            </w14:solidFill>
          </w14:textFill>
        </w:rPr>
        <w:br w:type="page"/>
      </w:r>
      <w:r>
        <w:rPr>
          <w:rFonts w:hint="eastAsia" w:ascii="楷体_GB2312" w:hAnsi="宋体" w:eastAsia="楷体_GB2312" w:cs="宋体"/>
          <w:color w:val="000000" w:themeColor="text1"/>
          <w:sz w:val="44"/>
          <w:szCs w:val="44"/>
          <w14:textFill>
            <w14:solidFill>
              <w14:schemeClr w14:val="tx1"/>
            </w14:solidFill>
          </w14:textFill>
        </w:rPr>
        <w:t>第二章 投标（响应）须知</w:t>
      </w:r>
    </w:p>
    <w:p w14:paraId="1265CD2D">
      <w:pPr>
        <w:ind w:firstLine="560"/>
        <w:rPr>
          <w:color w:val="000000" w:themeColor="text1"/>
          <w14:textFill>
            <w14:solidFill>
              <w14:schemeClr w14:val="tx1"/>
            </w14:solidFill>
          </w14:textFill>
        </w:rPr>
        <w:sectPr>
          <w:headerReference r:id="rId15" w:type="default"/>
          <w:footerReference r:id="rId16" w:type="default"/>
          <w:pgSz w:w="11906" w:h="16838"/>
          <w:pgMar w:top="1440" w:right="1077" w:bottom="1440" w:left="1077" w:header="851" w:footer="992" w:gutter="0"/>
          <w:cols w:space="720" w:num="1"/>
          <w:docGrid w:type="lines" w:linePitch="312" w:charSpace="0"/>
        </w:sectPr>
      </w:pPr>
    </w:p>
    <w:p w14:paraId="0EAC1364">
      <w:pPr>
        <w:tabs>
          <w:tab w:val="left" w:pos="4111"/>
        </w:tabs>
        <w:spacing w:line="560" w:lineRule="exact"/>
        <w:ind w:firstLine="0" w:firstLineChars="0"/>
        <w:jc w:val="left"/>
        <w:rPr>
          <w:rFonts w:ascii="宋体" w:hAnsi="宋体"/>
          <w:color w:val="000000" w:themeColor="text1"/>
          <w:szCs w:val="21"/>
          <w14:textFill>
            <w14:solidFill>
              <w14:schemeClr w14:val="tx1"/>
            </w14:solidFill>
          </w14:textFill>
        </w:rPr>
      </w:pPr>
    </w:p>
    <w:p w14:paraId="0D945A1B">
      <w:pPr>
        <w:spacing w:line="560" w:lineRule="exact"/>
        <w:ind w:firstLine="640"/>
        <w:jc w:val="center"/>
        <w:rPr>
          <w:rFonts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响应</w:t>
      </w:r>
      <w:r>
        <w:rPr>
          <w:rFonts w:ascii="黑体" w:hAnsi="黑体" w:eastAsia="黑体"/>
          <w:color w:val="000000" w:themeColor="text1"/>
          <w:sz w:val="32"/>
          <w:szCs w:val="32"/>
          <w14:textFill>
            <w14:solidFill>
              <w14:schemeClr w14:val="tx1"/>
            </w14:solidFill>
          </w14:textFill>
        </w:rPr>
        <w:t>须知前附表</w:t>
      </w:r>
    </w:p>
    <w:p w14:paraId="22FF593A">
      <w:pPr>
        <w:spacing w:line="560" w:lineRule="exact"/>
        <w:ind w:firstLine="560"/>
        <w:jc w:val="left"/>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本表是本采购项目的具体资料，是对投标（响应）须知的汇总和补充，如有矛盾，应以本资料表为准。</w:t>
      </w:r>
    </w:p>
    <w:p w14:paraId="2195703F">
      <w:pPr>
        <w:spacing w:line="560" w:lineRule="exact"/>
        <w:ind w:firstLine="560"/>
        <w:jc w:val="left"/>
        <w:rPr>
          <w:rFonts w:ascii="仿宋_GB2312" w:hAnsi="宋体"/>
          <w:color w:val="000000" w:themeColor="text1"/>
          <w:szCs w:val="28"/>
          <w14:textFill>
            <w14:solidFill>
              <w14:schemeClr w14:val="tx1"/>
            </w14:solidFill>
          </w14:textFill>
        </w:rPr>
      </w:pPr>
    </w:p>
    <w:tbl>
      <w:tblPr>
        <w:tblStyle w:val="45"/>
        <w:tblW w:w="0" w:type="auto"/>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 w:type="dxa"/>
          <w:bottom w:w="0" w:type="dxa"/>
          <w:right w:w="10" w:type="dxa"/>
        </w:tblCellMar>
      </w:tblPr>
      <w:tblGrid>
        <w:gridCol w:w="908"/>
        <w:gridCol w:w="8291"/>
      </w:tblGrid>
      <w:tr w14:paraId="5F8CEA08">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07" w:hRule="atLeast"/>
          <w:jc w:val="center"/>
        </w:trPr>
        <w:tc>
          <w:tcPr>
            <w:tcW w:w="908" w:type="dxa"/>
            <w:tcBorders>
              <w:top w:val="single" w:color="auto" w:sz="4" w:space="0"/>
              <w:bottom w:val="single" w:color="auto" w:sz="4" w:space="0"/>
              <w:right w:val="single" w:color="auto" w:sz="4" w:space="0"/>
            </w:tcBorders>
            <w:vAlign w:val="center"/>
          </w:tcPr>
          <w:p w14:paraId="5BCD08B1">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序号</w:t>
            </w:r>
          </w:p>
        </w:tc>
        <w:tc>
          <w:tcPr>
            <w:tcW w:w="8291" w:type="dxa"/>
            <w:tcBorders>
              <w:top w:val="single" w:color="auto" w:sz="4" w:space="0"/>
              <w:left w:val="single" w:color="auto" w:sz="4" w:space="0"/>
              <w:bottom w:val="single" w:color="auto" w:sz="4" w:space="0"/>
            </w:tcBorders>
            <w:vAlign w:val="center"/>
          </w:tcPr>
          <w:p w14:paraId="6E1F992C">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内           容</w:t>
            </w:r>
          </w:p>
        </w:tc>
      </w:tr>
      <w:tr w14:paraId="0E45ACB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07" w:hRule="atLeast"/>
          <w:jc w:val="center"/>
        </w:trPr>
        <w:tc>
          <w:tcPr>
            <w:tcW w:w="908" w:type="dxa"/>
            <w:tcBorders>
              <w:top w:val="single" w:color="auto" w:sz="4" w:space="0"/>
              <w:bottom w:val="single" w:color="auto" w:sz="4" w:space="0"/>
              <w:right w:val="single" w:color="auto" w:sz="4" w:space="0"/>
            </w:tcBorders>
            <w:vAlign w:val="center"/>
          </w:tcPr>
          <w:p w14:paraId="22A0619B">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w:t>
            </w:r>
          </w:p>
        </w:tc>
        <w:tc>
          <w:tcPr>
            <w:tcW w:w="8291" w:type="dxa"/>
            <w:tcBorders>
              <w:top w:val="single" w:color="auto" w:sz="4" w:space="0"/>
              <w:left w:val="single" w:color="auto" w:sz="4" w:space="0"/>
              <w:bottom w:val="single" w:color="auto" w:sz="4" w:space="0"/>
            </w:tcBorders>
            <w:vAlign w:val="center"/>
          </w:tcPr>
          <w:p w14:paraId="473B5132">
            <w:pPr>
              <w:spacing w:line="560" w:lineRule="exact"/>
              <w:ind w:firstLine="0" w:firstLineChars="0"/>
              <w:rPr>
                <w:rFonts w:hint="eastAsia" w:ascii="仿宋_GB2312" w:hAnsi="宋体" w:eastAsia="仿宋_GB2312"/>
                <w:color w:val="000000" w:themeColor="text1"/>
                <w:szCs w:val="28"/>
                <w:lang w:eastAsia="zh-CN"/>
                <w14:textFill>
                  <w14:solidFill>
                    <w14:schemeClr w14:val="tx1"/>
                  </w14:solidFill>
                </w14:textFill>
              </w:rPr>
            </w:pPr>
            <w:r>
              <w:rPr>
                <w:rFonts w:hint="eastAsia" w:ascii="仿宋_GB2312" w:hAnsi="宋体"/>
                <w:color w:val="000000" w:themeColor="text1"/>
                <w:szCs w:val="28"/>
                <w14:textFill>
                  <w14:solidFill>
                    <w14:schemeClr w14:val="tx1"/>
                  </w14:solidFill>
                </w14:textFill>
              </w:rPr>
              <w:t>项目名称</w:t>
            </w:r>
            <w:r>
              <w:rPr>
                <w:rFonts w:hint="eastAsia" w:ascii="仿宋_GB2312" w:hAnsi="宋体"/>
                <w:color w:val="000000" w:themeColor="text1"/>
                <w:szCs w:val="28"/>
                <w:lang w:eastAsia="zh-CN"/>
                <w14:textFill>
                  <w14:solidFill>
                    <w14:schemeClr w14:val="tx1"/>
                  </w14:solidFill>
                </w14:textFill>
              </w:rPr>
              <w:t>：乳山市2024年小型水库维修养护项目</w:t>
            </w:r>
          </w:p>
        </w:tc>
      </w:tr>
      <w:tr w14:paraId="63B9749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13" w:hRule="atLeast"/>
          <w:jc w:val="center"/>
        </w:trPr>
        <w:tc>
          <w:tcPr>
            <w:tcW w:w="908" w:type="dxa"/>
            <w:tcBorders>
              <w:top w:val="single" w:color="auto" w:sz="4" w:space="0"/>
              <w:bottom w:val="single" w:color="auto" w:sz="4" w:space="0"/>
              <w:right w:val="single" w:color="auto" w:sz="4" w:space="0"/>
            </w:tcBorders>
            <w:vAlign w:val="center"/>
          </w:tcPr>
          <w:p w14:paraId="1667572F">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w:t>
            </w:r>
          </w:p>
        </w:tc>
        <w:tc>
          <w:tcPr>
            <w:tcW w:w="8291" w:type="dxa"/>
            <w:tcBorders>
              <w:top w:val="single" w:color="auto" w:sz="4" w:space="0"/>
              <w:left w:val="single" w:color="auto" w:sz="4" w:space="0"/>
              <w:bottom w:val="single" w:color="auto" w:sz="4" w:space="0"/>
            </w:tcBorders>
            <w:vAlign w:val="center"/>
          </w:tcPr>
          <w:p w14:paraId="4DEB0261">
            <w:pPr>
              <w:spacing w:line="560" w:lineRule="exact"/>
              <w:ind w:firstLine="0" w:firstLineChars="0"/>
              <w:rPr>
                <w:rFonts w:hint="eastAsia" w:ascii="仿宋_GB2312" w:hAnsi="宋体" w:eastAsia="仿宋_GB2312"/>
                <w:color w:val="000000" w:themeColor="text1"/>
                <w:szCs w:val="28"/>
                <w:lang w:eastAsia="zh-CN"/>
                <w14:textFill>
                  <w14:solidFill>
                    <w14:schemeClr w14:val="tx1"/>
                  </w14:solidFill>
                </w14:textFill>
              </w:rPr>
            </w:pPr>
            <w:r>
              <w:rPr>
                <w:rFonts w:hint="eastAsia" w:ascii="仿宋_GB2312" w:hAnsi="宋体"/>
                <w:color w:val="000000" w:themeColor="text1"/>
                <w:szCs w:val="28"/>
                <w14:textFill>
                  <w14:solidFill>
                    <w14:schemeClr w14:val="tx1"/>
                  </w14:solidFill>
                </w14:textFill>
              </w:rPr>
              <w:t>项目编号：</w:t>
            </w:r>
            <w:r>
              <w:rPr>
                <w:rFonts w:hint="eastAsia" w:ascii="仿宋_GB2312" w:hAnsi="宋体"/>
                <w:color w:val="000000" w:themeColor="text1"/>
                <w:szCs w:val="28"/>
                <w:lang w:eastAsia="zh-CN"/>
                <w14:textFill>
                  <w14:solidFill>
                    <w14:schemeClr w14:val="tx1"/>
                  </w14:solidFill>
                </w14:textFill>
              </w:rPr>
              <w:t>SDGP371083000202402000122</w:t>
            </w:r>
          </w:p>
        </w:tc>
      </w:tr>
      <w:tr w14:paraId="5E2D2B0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346" w:hRule="atLeast"/>
          <w:jc w:val="center"/>
        </w:trPr>
        <w:tc>
          <w:tcPr>
            <w:tcW w:w="908" w:type="dxa"/>
            <w:tcBorders>
              <w:top w:val="single" w:color="auto" w:sz="4" w:space="0"/>
              <w:bottom w:val="single" w:color="auto" w:sz="4" w:space="0"/>
              <w:right w:val="single" w:color="auto" w:sz="4" w:space="0"/>
            </w:tcBorders>
            <w:vAlign w:val="center"/>
          </w:tcPr>
          <w:p w14:paraId="1FA0D325">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w:t>
            </w:r>
          </w:p>
        </w:tc>
        <w:tc>
          <w:tcPr>
            <w:tcW w:w="8291" w:type="dxa"/>
            <w:tcBorders>
              <w:top w:val="single" w:color="auto" w:sz="4" w:space="0"/>
              <w:left w:val="single" w:color="auto" w:sz="4" w:space="0"/>
              <w:bottom w:val="single" w:color="auto" w:sz="4" w:space="0"/>
            </w:tcBorders>
            <w:vAlign w:val="center"/>
          </w:tcPr>
          <w:p w14:paraId="32C5BDE9">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采购人名称：</w:t>
            </w:r>
            <w:r>
              <w:rPr>
                <w:rFonts w:ascii="仿宋_GB2312" w:hAnsi="宋体"/>
                <w:color w:val="000000" w:themeColor="text1"/>
                <w:szCs w:val="28"/>
                <w14:textFill>
                  <w14:solidFill>
                    <w14:schemeClr w14:val="tx1"/>
                  </w14:solidFill>
                </w14:textFill>
              </w:rPr>
              <w:t>乳山市水利事务服务中心</w:t>
            </w:r>
          </w:p>
          <w:p w14:paraId="3465BB7C">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地址：</w:t>
            </w:r>
            <w:r>
              <w:rPr>
                <w:rFonts w:ascii="仿宋_GB2312" w:hAnsi="仿宋" w:cs="宋体"/>
                <w:color w:val="000000" w:themeColor="text1"/>
                <w:spacing w:val="8"/>
                <w:szCs w:val="28"/>
                <w14:textFill>
                  <w14:solidFill>
                    <w14:schemeClr w14:val="tx1"/>
                  </w14:solidFill>
                </w14:textFill>
              </w:rPr>
              <w:t>乳山市府前路7号</w:t>
            </w:r>
          </w:p>
          <w:p w14:paraId="3794BD01">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联系人：</w:t>
            </w:r>
            <w:r>
              <w:rPr>
                <w:rFonts w:hint="eastAsia" w:ascii="仿宋_GB2312" w:hAnsi="宋体"/>
                <w:color w:val="000000" w:themeColor="text1"/>
                <w:szCs w:val="28"/>
                <w:lang w:eastAsia="zh-CN"/>
                <w14:textFill>
                  <w14:solidFill>
                    <w14:schemeClr w14:val="tx1"/>
                  </w14:solidFill>
                </w14:textFill>
              </w:rPr>
              <w:t>刘尧敏</w:t>
            </w:r>
            <w:r>
              <w:rPr>
                <w:rFonts w:hint="eastAsia" w:ascii="仿宋_GB2312" w:hAnsi="宋体"/>
                <w:color w:val="000000" w:themeColor="text1"/>
                <w:szCs w:val="28"/>
                <w14:textFill>
                  <w14:solidFill>
                    <w14:schemeClr w14:val="tx1"/>
                  </w14:solidFill>
                </w14:textFill>
              </w:rPr>
              <w:t xml:space="preserve"> </w:t>
            </w:r>
          </w:p>
          <w:p w14:paraId="500D72B1">
            <w:pPr>
              <w:spacing w:line="560" w:lineRule="exact"/>
              <w:ind w:firstLine="0" w:firstLineChars="0"/>
              <w:rPr>
                <w:rFonts w:hint="eastAsia" w:ascii="仿宋_GB2312" w:hAnsi="宋体" w:eastAsia="仿宋_GB2312"/>
                <w:color w:val="000000" w:themeColor="text1"/>
                <w:szCs w:val="28"/>
                <w:lang w:eastAsia="zh-CN"/>
                <w14:textFill>
                  <w14:solidFill>
                    <w14:schemeClr w14:val="tx1"/>
                  </w14:solidFill>
                </w14:textFill>
              </w:rPr>
            </w:pPr>
            <w:r>
              <w:rPr>
                <w:rFonts w:hint="eastAsia" w:ascii="仿宋_GB2312" w:hAnsi="宋体"/>
                <w:color w:val="000000" w:themeColor="text1"/>
                <w:szCs w:val="28"/>
                <w14:textFill>
                  <w14:solidFill>
                    <w14:schemeClr w14:val="tx1"/>
                  </w14:solidFill>
                </w14:textFill>
              </w:rPr>
              <w:t>联系方式：</w:t>
            </w:r>
            <w:r>
              <w:rPr>
                <w:rFonts w:hint="eastAsia" w:ascii="仿宋_GB2312" w:hAnsi="宋体"/>
                <w:color w:val="000000" w:themeColor="text1"/>
                <w:szCs w:val="28"/>
                <w:lang w:eastAsia="zh-CN"/>
                <w14:textFill>
                  <w14:solidFill>
                    <w14:schemeClr w14:val="tx1"/>
                  </w14:solidFill>
                </w14:textFill>
              </w:rPr>
              <w:t>0631-6653478</w:t>
            </w:r>
          </w:p>
        </w:tc>
      </w:tr>
      <w:tr w14:paraId="6A6BCC6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1389" w:hRule="atLeast"/>
          <w:jc w:val="center"/>
        </w:trPr>
        <w:tc>
          <w:tcPr>
            <w:tcW w:w="908" w:type="dxa"/>
            <w:tcBorders>
              <w:top w:val="single" w:color="auto" w:sz="4" w:space="0"/>
              <w:bottom w:val="single" w:color="auto" w:sz="4" w:space="0"/>
              <w:right w:val="single" w:color="auto" w:sz="4" w:space="0"/>
            </w:tcBorders>
            <w:vAlign w:val="center"/>
          </w:tcPr>
          <w:p w14:paraId="65C6EF7E">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4</w:t>
            </w:r>
          </w:p>
        </w:tc>
        <w:tc>
          <w:tcPr>
            <w:tcW w:w="8291" w:type="dxa"/>
            <w:tcBorders>
              <w:top w:val="single" w:color="auto" w:sz="4" w:space="0"/>
              <w:left w:val="single" w:color="auto" w:sz="4" w:space="0"/>
              <w:bottom w:val="single" w:color="auto" w:sz="4" w:space="0"/>
            </w:tcBorders>
            <w:vAlign w:val="center"/>
          </w:tcPr>
          <w:p w14:paraId="36AA9630">
            <w:pPr>
              <w:spacing w:line="560" w:lineRule="exact"/>
              <w:ind w:firstLine="0" w:firstLineChars="0"/>
              <w:rPr>
                <w:rFonts w:hint="eastAsia" w:ascii="仿宋_GB2312" w:hAnsi="宋体" w:eastAsia="仿宋_GB2312"/>
                <w:color w:val="000000" w:themeColor="text1"/>
                <w:szCs w:val="28"/>
                <w:lang w:eastAsia="zh-CN"/>
                <w14:textFill>
                  <w14:solidFill>
                    <w14:schemeClr w14:val="tx1"/>
                  </w14:solidFill>
                </w14:textFill>
              </w:rPr>
            </w:pPr>
            <w:r>
              <w:rPr>
                <w:rFonts w:hint="eastAsia" w:ascii="仿宋_GB2312" w:hAnsi="宋体"/>
                <w:color w:val="000000" w:themeColor="text1"/>
                <w:szCs w:val="28"/>
                <w14:textFill>
                  <w14:solidFill>
                    <w14:schemeClr w14:val="tx1"/>
                  </w14:solidFill>
                </w14:textFill>
              </w:rPr>
              <w:t>采购代理机构名称：</w:t>
            </w:r>
            <w:r>
              <w:rPr>
                <w:rFonts w:hint="eastAsia" w:ascii="仿宋_GB2312" w:hAnsi="宋体"/>
                <w:color w:val="000000" w:themeColor="text1"/>
                <w:szCs w:val="28"/>
                <w:lang w:eastAsia="zh-CN"/>
                <w14:textFill>
                  <w14:solidFill>
                    <w14:schemeClr w14:val="tx1"/>
                  </w14:solidFill>
                </w14:textFill>
              </w:rPr>
              <w:t>乳山市方识建设工程咨询有限公司</w:t>
            </w:r>
          </w:p>
          <w:p w14:paraId="578427AC">
            <w:pPr>
              <w:spacing w:line="560" w:lineRule="exact"/>
              <w:ind w:firstLine="0" w:firstLineChars="0"/>
              <w:rPr>
                <w:rFonts w:hint="eastAsia" w:ascii="仿宋_GB2312" w:hAnsi="宋体" w:eastAsia="仿宋_GB2312"/>
                <w:color w:val="000000" w:themeColor="text1"/>
                <w:szCs w:val="28"/>
                <w:lang w:eastAsia="zh-CN"/>
                <w14:textFill>
                  <w14:solidFill>
                    <w14:schemeClr w14:val="tx1"/>
                  </w14:solidFill>
                </w14:textFill>
              </w:rPr>
            </w:pPr>
            <w:r>
              <w:rPr>
                <w:rFonts w:hint="eastAsia" w:ascii="仿宋_GB2312" w:hAnsi="宋体"/>
                <w:color w:val="000000" w:themeColor="text1"/>
                <w:szCs w:val="28"/>
                <w14:textFill>
                  <w14:solidFill>
                    <w14:schemeClr w14:val="tx1"/>
                  </w14:solidFill>
                </w14:textFill>
              </w:rPr>
              <w:t>地址：</w:t>
            </w:r>
            <w:r>
              <w:rPr>
                <w:rFonts w:hint="eastAsia" w:ascii="仿宋_GB2312" w:hAnsi="宋体"/>
                <w:color w:val="000000" w:themeColor="text1"/>
                <w:szCs w:val="28"/>
                <w:lang w:eastAsia="zh-CN"/>
                <w14:textFill>
                  <w14:solidFill>
                    <w14:schemeClr w14:val="tx1"/>
                  </w14:solidFill>
                </w14:textFill>
              </w:rPr>
              <w:t>乳山市城区唐山路12号</w:t>
            </w:r>
          </w:p>
          <w:p w14:paraId="5954D465">
            <w:pPr>
              <w:spacing w:line="560" w:lineRule="exact"/>
              <w:ind w:firstLine="0" w:firstLineChars="0"/>
              <w:rPr>
                <w:rFonts w:hint="eastAsia" w:ascii="仿宋_GB2312" w:hAnsi="宋体" w:eastAsia="仿宋_GB2312"/>
                <w:color w:val="000000" w:themeColor="text1"/>
                <w:szCs w:val="28"/>
                <w:lang w:eastAsia="zh-CN"/>
                <w14:textFill>
                  <w14:solidFill>
                    <w14:schemeClr w14:val="tx1"/>
                  </w14:solidFill>
                </w14:textFill>
              </w:rPr>
            </w:pPr>
            <w:r>
              <w:rPr>
                <w:rFonts w:hint="eastAsia" w:ascii="仿宋_GB2312" w:hAnsi="宋体"/>
                <w:color w:val="000000" w:themeColor="text1"/>
                <w:szCs w:val="28"/>
                <w14:textFill>
                  <w14:solidFill>
                    <w14:schemeClr w14:val="tx1"/>
                  </w14:solidFill>
                </w14:textFill>
              </w:rPr>
              <w:t>联系人：</w:t>
            </w:r>
            <w:r>
              <w:rPr>
                <w:rFonts w:hint="eastAsia" w:ascii="仿宋_GB2312" w:hAnsi="宋体"/>
                <w:color w:val="000000" w:themeColor="text1"/>
                <w:szCs w:val="28"/>
                <w:lang w:eastAsia="zh-CN"/>
                <w14:textFill>
                  <w14:solidFill>
                    <w14:schemeClr w14:val="tx1"/>
                  </w14:solidFill>
                </w14:textFill>
              </w:rPr>
              <w:t>吕晓宁</w:t>
            </w:r>
          </w:p>
          <w:p w14:paraId="3A4E1E87">
            <w:pPr>
              <w:spacing w:line="560" w:lineRule="exact"/>
              <w:ind w:firstLine="0" w:firstLineChars="0"/>
              <w:rPr>
                <w:rFonts w:hint="eastAsia" w:ascii="仿宋_GB2312" w:hAnsi="宋体" w:eastAsia="仿宋_GB2312"/>
                <w:color w:val="000000" w:themeColor="text1"/>
                <w:szCs w:val="28"/>
                <w:lang w:eastAsia="zh-CN"/>
                <w14:textFill>
                  <w14:solidFill>
                    <w14:schemeClr w14:val="tx1"/>
                  </w14:solidFill>
                </w14:textFill>
              </w:rPr>
            </w:pPr>
            <w:r>
              <w:rPr>
                <w:rFonts w:hint="eastAsia" w:ascii="仿宋_GB2312" w:hAnsi="宋体"/>
                <w:color w:val="000000" w:themeColor="text1"/>
                <w:szCs w:val="28"/>
                <w14:textFill>
                  <w14:solidFill>
                    <w14:schemeClr w14:val="tx1"/>
                  </w14:solidFill>
                </w14:textFill>
              </w:rPr>
              <w:t>联系方式：</w:t>
            </w:r>
            <w:r>
              <w:rPr>
                <w:rFonts w:hint="eastAsia" w:ascii="仿宋_GB2312" w:hAnsi="宋体"/>
                <w:color w:val="000000" w:themeColor="text1"/>
                <w:szCs w:val="28"/>
                <w:lang w:eastAsia="zh-CN"/>
                <w14:textFill>
                  <w14:solidFill>
                    <w14:schemeClr w14:val="tx1"/>
                  </w14:solidFill>
                </w14:textFill>
              </w:rPr>
              <w:t>19106317809</w:t>
            </w:r>
          </w:p>
        </w:tc>
      </w:tr>
      <w:tr w14:paraId="5608CE9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545" w:hRule="atLeast"/>
          <w:jc w:val="center"/>
        </w:trPr>
        <w:tc>
          <w:tcPr>
            <w:tcW w:w="908" w:type="dxa"/>
            <w:tcBorders>
              <w:top w:val="single" w:color="auto" w:sz="4" w:space="0"/>
              <w:bottom w:val="single" w:color="auto" w:sz="4" w:space="0"/>
              <w:right w:val="single" w:color="auto" w:sz="4" w:space="0"/>
            </w:tcBorders>
            <w:vAlign w:val="center"/>
          </w:tcPr>
          <w:p w14:paraId="36089A48">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5</w:t>
            </w:r>
          </w:p>
        </w:tc>
        <w:tc>
          <w:tcPr>
            <w:tcW w:w="8291" w:type="dxa"/>
            <w:tcBorders>
              <w:top w:val="single" w:color="auto" w:sz="4" w:space="0"/>
              <w:left w:val="single" w:color="auto" w:sz="4" w:space="0"/>
              <w:bottom w:val="single" w:color="auto" w:sz="4" w:space="0"/>
            </w:tcBorders>
            <w:vAlign w:val="center"/>
          </w:tcPr>
          <w:p w14:paraId="02445684">
            <w:pPr>
              <w:spacing w:line="560" w:lineRule="exact"/>
              <w:ind w:firstLine="0" w:firstLineChars="0"/>
              <w:jc w:val="left"/>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资质证明文件原件：无需提供资质证明文件原件</w:t>
            </w:r>
          </w:p>
        </w:tc>
      </w:tr>
      <w:tr w14:paraId="4888FF4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545" w:hRule="atLeast"/>
          <w:jc w:val="center"/>
        </w:trPr>
        <w:tc>
          <w:tcPr>
            <w:tcW w:w="908" w:type="dxa"/>
            <w:tcBorders>
              <w:top w:val="single" w:color="auto" w:sz="4" w:space="0"/>
              <w:bottom w:val="single" w:color="auto" w:sz="4" w:space="0"/>
              <w:right w:val="single" w:color="auto" w:sz="4" w:space="0"/>
            </w:tcBorders>
            <w:vAlign w:val="center"/>
          </w:tcPr>
          <w:p w14:paraId="5B3A4A7B">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6</w:t>
            </w:r>
          </w:p>
        </w:tc>
        <w:tc>
          <w:tcPr>
            <w:tcW w:w="8291" w:type="dxa"/>
            <w:tcBorders>
              <w:top w:val="single" w:color="auto" w:sz="4" w:space="0"/>
              <w:left w:val="single" w:color="auto" w:sz="4" w:space="0"/>
              <w:bottom w:val="single" w:color="auto" w:sz="4" w:space="0"/>
            </w:tcBorders>
            <w:vAlign w:val="center"/>
          </w:tcPr>
          <w:p w14:paraId="64300DD1">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响应文件份数：网上按时递交电子响应文件1份</w:t>
            </w:r>
          </w:p>
        </w:tc>
      </w:tr>
      <w:tr w14:paraId="064A9D57">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45" w:hRule="atLeast"/>
          <w:jc w:val="center"/>
        </w:trPr>
        <w:tc>
          <w:tcPr>
            <w:tcW w:w="908" w:type="dxa"/>
            <w:tcBorders>
              <w:top w:val="single" w:color="auto" w:sz="4" w:space="0"/>
              <w:bottom w:val="single" w:color="auto" w:sz="4" w:space="0"/>
              <w:right w:val="single" w:color="auto" w:sz="4" w:space="0"/>
            </w:tcBorders>
            <w:vAlign w:val="center"/>
          </w:tcPr>
          <w:p w14:paraId="0013D612">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7</w:t>
            </w:r>
          </w:p>
        </w:tc>
        <w:tc>
          <w:tcPr>
            <w:tcW w:w="8291" w:type="dxa"/>
            <w:tcBorders>
              <w:top w:val="single" w:color="auto" w:sz="4" w:space="0"/>
              <w:left w:val="single" w:color="auto" w:sz="4" w:space="0"/>
              <w:bottom w:val="single" w:color="auto" w:sz="4" w:space="0"/>
            </w:tcBorders>
            <w:vAlign w:val="center"/>
          </w:tcPr>
          <w:p w14:paraId="4926AE01">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 xml:space="preserve">实物样品：无 </w:t>
            </w:r>
          </w:p>
        </w:tc>
      </w:tr>
      <w:tr w14:paraId="410AD6E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45" w:hRule="atLeast"/>
          <w:jc w:val="center"/>
        </w:trPr>
        <w:tc>
          <w:tcPr>
            <w:tcW w:w="908" w:type="dxa"/>
            <w:tcBorders>
              <w:top w:val="single" w:color="auto" w:sz="4" w:space="0"/>
              <w:bottom w:val="single" w:color="auto" w:sz="4" w:space="0"/>
              <w:right w:val="single" w:color="auto" w:sz="4" w:space="0"/>
            </w:tcBorders>
            <w:vAlign w:val="center"/>
          </w:tcPr>
          <w:p w14:paraId="46D73948">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8</w:t>
            </w:r>
          </w:p>
        </w:tc>
        <w:tc>
          <w:tcPr>
            <w:tcW w:w="8291" w:type="dxa"/>
            <w:tcBorders>
              <w:top w:val="single" w:color="auto" w:sz="4" w:space="0"/>
              <w:left w:val="single" w:color="auto" w:sz="4" w:space="0"/>
              <w:bottom w:val="single" w:color="auto" w:sz="4" w:space="0"/>
            </w:tcBorders>
            <w:vAlign w:val="center"/>
          </w:tcPr>
          <w:p w14:paraId="3D988C27">
            <w:pPr>
              <w:spacing w:line="560" w:lineRule="exact"/>
              <w:ind w:firstLine="0" w:firstLineChars="0"/>
              <w:textAlignment w:val="top"/>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 xml:space="preserve">现场踏勘：无 </w:t>
            </w:r>
          </w:p>
        </w:tc>
      </w:tr>
      <w:tr w14:paraId="2A1FC98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52" w:hRule="atLeast"/>
          <w:jc w:val="center"/>
        </w:trPr>
        <w:tc>
          <w:tcPr>
            <w:tcW w:w="908" w:type="dxa"/>
            <w:tcBorders>
              <w:top w:val="single" w:color="auto" w:sz="4" w:space="0"/>
              <w:bottom w:val="single" w:color="auto" w:sz="4" w:space="0"/>
              <w:right w:val="single" w:color="auto" w:sz="4" w:space="0"/>
            </w:tcBorders>
            <w:vAlign w:val="center"/>
          </w:tcPr>
          <w:p w14:paraId="21873E1F">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9</w:t>
            </w:r>
          </w:p>
        </w:tc>
        <w:tc>
          <w:tcPr>
            <w:tcW w:w="8291" w:type="dxa"/>
            <w:tcBorders>
              <w:top w:val="single" w:color="auto" w:sz="4" w:space="0"/>
              <w:left w:val="single" w:color="auto" w:sz="4" w:space="0"/>
              <w:bottom w:val="single" w:color="auto" w:sz="4" w:space="0"/>
            </w:tcBorders>
            <w:vAlign w:val="center"/>
          </w:tcPr>
          <w:p w14:paraId="1C00435B">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 xml:space="preserve">现场演示：无 </w:t>
            </w:r>
          </w:p>
        </w:tc>
      </w:tr>
      <w:tr w14:paraId="2B4920F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52" w:hRule="atLeast"/>
          <w:jc w:val="center"/>
        </w:trPr>
        <w:tc>
          <w:tcPr>
            <w:tcW w:w="908" w:type="dxa"/>
            <w:tcBorders>
              <w:top w:val="single" w:color="auto" w:sz="4" w:space="0"/>
              <w:bottom w:val="single" w:color="auto" w:sz="4" w:space="0"/>
              <w:right w:val="single" w:color="auto" w:sz="4" w:space="0"/>
            </w:tcBorders>
            <w:vAlign w:val="center"/>
          </w:tcPr>
          <w:p w14:paraId="32F2C8E7">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10</w:t>
            </w:r>
          </w:p>
        </w:tc>
        <w:tc>
          <w:tcPr>
            <w:tcW w:w="8291" w:type="dxa"/>
            <w:tcBorders>
              <w:top w:val="single" w:color="auto" w:sz="4" w:space="0"/>
              <w:left w:val="single" w:color="auto" w:sz="4" w:space="0"/>
              <w:bottom w:val="single" w:color="auto" w:sz="4" w:space="0"/>
            </w:tcBorders>
            <w:vAlign w:val="center"/>
          </w:tcPr>
          <w:p w14:paraId="57517568">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报价有效期：开标之日起90天</w:t>
            </w:r>
          </w:p>
        </w:tc>
      </w:tr>
      <w:tr w14:paraId="02FCC81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52" w:hRule="atLeast"/>
          <w:jc w:val="center"/>
        </w:trPr>
        <w:tc>
          <w:tcPr>
            <w:tcW w:w="908" w:type="dxa"/>
            <w:tcBorders>
              <w:top w:val="single" w:color="auto" w:sz="4" w:space="0"/>
              <w:bottom w:val="single" w:color="auto" w:sz="4" w:space="0"/>
              <w:right w:val="single" w:color="auto" w:sz="4" w:space="0"/>
            </w:tcBorders>
            <w:vAlign w:val="center"/>
          </w:tcPr>
          <w:p w14:paraId="379A6ADE">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11</w:t>
            </w:r>
          </w:p>
        </w:tc>
        <w:tc>
          <w:tcPr>
            <w:tcW w:w="8291" w:type="dxa"/>
            <w:tcBorders>
              <w:top w:val="single" w:color="auto" w:sz="4" w:space="0"/>
              <w:left w:val="single" w:color="auto" w:sz="4" w:space="0"/>
              <w:bottom w:val="single" w:color="auto" w:sz="4" w:space="0"/>
            </w:tcBorders>
            <w:vAlign w:val="center"/>
          </w:tcPr>
          <w:p w14:paraId="6263FF44">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是否专门面向</w:t>
            </w:r>
            <w:r>
              <w:rPr>
                <w:rFonts w:ascii="仿宋_GB2312" w:hAnsi="宋体"/>
                <w:color w:val="000000" w:themeColor="text1"/>
                <w:szCs w:val="28"/>
                <w14:textFill>
                  <w14:solidFill>
                    <w14:schemeClr w14:val="tx1"/>
                  </w14:solidFill>
                </w14:textFill>
              </w:rPr>
              <w:t>中小企业采购</w:t>
            </w:r>
            <w:r>
              <w:rPr>
                <w:rFonts w:hint="eastAsia" w:ascii="仿宋_GB2312" w:hAnsi="宋体"/>
                <w:color w:val="000000" w:themeColor="text1"/>
                <w:szCs w:val="28"/>
                <w14:textFill>
                  <w14:solidFill>
                    <w14:schemeClr w14:val="tx1"/>
                  </w14:solidFill>
                </w14:textFill>
              </w:rPr>
              <w:t>：</w:t>
            </w:r>
            <w:r>
              <w:rPr>
                <w:rFonts w:ascii="仿宋_GB2312" w:hAnsi="宋体"/>
                <w:color w:val="000000" w:themeColor="text1"/>
                <w:szCs w:val="28"/>
                <w14:textFill>
                  <w14:solidFill>
                    <w14:schemeClr w14:val="tx1"/>
                  </w14:solidFill>
                </w14:textFill>
              </w:rPr>
              <w:t>是</w:t>
            </w:r>
          </w:p>
        </w:tc>
      </w:tr>
      <w:tr w14:paraId="78399FD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52" w:hRule="atLeast"/>
          <w:jc w:val="center"/>
        </w:trPr>
        <w:tc>
          <w:tcPr>
            <w:tcW w:w="908" w:type="dxa"/>
            <w:tcBorders>
              <w:top w:val="single" w:color="auto" w:sz="4" w:space="0"/>
              <w:bottom w:val="single" w:color="auto" w:sz="4" w:space="0"/>
              <w:right w:val="single" w:color="auto" w:sz="4" w:space="0"/>
            </w:tcBorders>
            <w:vAlign w:val="center"/>
          </w:tcPr>
          <w:p w14:paraId="30A2E19D">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12</w:t>
            </w:r>
          </w:p>
        </w:tc>
        <w:tc>
          <w:tcPr>
            <w:tcW w:w="8291" w:type="dxa"/>
            <w:tcBorders>
              <w:top w:val="single" w:color="auto" w:sz="4" w:space="0"/>
              <w:left w:val="single" w:color="auto" w:sz="4" w:space="0"/>
              <w:bottom w:val="single" w:color="auto" w:sz="4" w:space="0"/>
            </w:tcBorders>
            <w:vAlign w:val="center"/>
          </w:tcPr>
          <w:p w14:paraId="2DD9425E">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本项目不</w:t>
            </w:r>
            <w:r>
              <w:rPr>
                <w:rFonts w:ascii="仿宋_GB2312" w:hAnsi="宋体"/>
                <w:color w:val="000000" w:themeColor="text1"/>
                <w:szCs w:val="28"/>
                <w14:textFill>
                  <w14:solidFill>
                    <w14:schemeClr w14:val="tx1"/>
                  </w14:solidFill>
                </w14:textFill>
              </w:rPr>
              <w:t>允许</w:t>
            </w:r>
            <w:r>
              <w:rPr>
                <w:rFonts w:hint="eastAsia" w:ascii="仿宋_GB2312" w:hAnsi="宋体"/>
                <w:color w:val="000000" w:themeColor="text1"/>
                <w:szCs w:val="28"/>
                <w14:textFill>
                  <w14:solidFill>
                    <w14:schemeClr w14:val="tx1"/>
                  </w14:solidFill>
                </w14:textFill>
              </w:rPr>
              <w:t>投报</w:t>
            </w:r>
            <w:r>
              <w:rPr>
                <w:rFonts w:ascii="仿宋_GB2312" w:hAnsi="宋体"/>
                <w:color w:val="000000" w:themeColor="text1"/>
                <w:szCs w:val="28"/>
                <w14:textFill>
                  <w14:solidFill>
                    <w14:schemeClr w14:val="tx1"/>
                  </w14:solidFill>
                </w14:textFill>
              </w:rPr>
              <w:t>进口产品</w:t>
            </w:r>
          </w:p>
        </w:tc>
      </w:tr>
      <w:tr w14:paraId="7211D81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52" w:hRule="atLeast"/>
          <w:jc w:val="center"/>
        </w:trPr>
        <w:tc>
          <w:tcPr>
            <w:tcW w:w="908" w:type="dxa"/>
            <w:tcBorders>
              <w:top w:val="single" w:color="auto" w:sz="4" w:space="0"/>
              <w:bottom w:val="single" w:color="auto" w:sz="4" w:space="0"/>
              <w:right w:val="single" w:color="auto" w:sz="4" w:space="0"/>
            </w:tcBorders>
            <w:vAlign w:val="center"/>
          </w:tcPr>
          <w:p w14:paraId="7B3F967B">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13</w:t>
            </w:r>
          </w:p>
        </w:tc>
        <w:tc>
          <w:tcPr>
            <w:tcW w:w="8291" w:type="dxa"/>
            <w:tcBorders>
              <w:top w:val="single" w:color="auto" w:sz="4" w:space="0"/>
              <w:left w:val="single" w:color="auto" w:sz="4" w:space="0"/>
              <w:bottom w:val="single" w:color="auto" w:sz="4" w:space="0"/>
            </w:tcBorders>
            <w:vAlign w:val="center"/>
          </w:tcPr>
          <w:p w14:paraId="1E7DD5EE">
            <w:pPr>
              <w:spacing w:line="60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本分包最高限价：</w:t>
            </w:r>
            <w:r>
              <w:rPr>
                <w:rFonts w:hint="eastAsia" w:ascii="仿宋_GB2312" w:hAnsi="宋体"/>
                <w:color w:val="000000" w:themeColor="text1"/>
                <w:szCs w:val="28"/>
                <w:u w:val="single"/>
                <w:lang w:eastAsia="zh-CN"/>
                <w14:textFill>
                  <w14:solidFill>
                    <w14:schemeClr w14:val="tx1"/>
                  </w14:solidFill>
                </w14:textFill>
              </w:rPr>
              <w:t>3350000.00</w:t>
            </w:r>
            <w:r>
              <w:rPr>
                <w:rFonts w:hint="eastAsia" w:ascii="仿宋_GB2312" w:hAnsi="宋体"/>
                <w:color w:val="000000" w:themeColor="text1"/>
                <w:szCs w:val="28"/>
                <w14:textFill>
                  <w14:solidFill>
                    <w14:schemeClr w14:val="tx1"/>
                  </w14:solidFill>
                </w14:textFill>
              </w:rPr>
              <w:t>元</w:t>
            </w:r>
          </w:p>
        </w:tc>
      </w:tr>
      <w:tr w14:paraId="5F9102C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52" w:hRule="atLeast"/>
          <w:jc w:val="center"/>
        </w:trPr>
        <w:tc>
          <w:tcPr>
            <w:tcW w:w="908" w:type="dxa"/>
            <w:tcBorders>
              <w:top w:val="single" w:color="auto" w:sz="4" w:space="0"/>
              <w:bottom w:val="single" w:color="auto" w:sz="4" w:space="0"/>
              <w:right w:val="single" w:color="auto" w:sz="4" w:space="0"/>
            </w:tcBorders>
            <w:vAlign w:val="center"/>
          </w:tcPr>
          <w:p w14:paraId="3C7A6B52">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14</w:t>
            </w:r>
          </w:p>
        </w:tc>
        <w:tc>
          <w:tcPr>
            <w:tcW w:w="8291" w:type="dxa"/>
            <w:tcBorders>
              <w:top w:val="single" w:color="auto" w:sz="4" w:space="0"/>
              <w:left w:val="single" w:color="auto" w:sz="4" w:space="0"/>
              <w:bottom w:val="single" w:color="auto" w:sz="4" w:space="0"/>
            </w:tcBorders>
            <w:vAlign w:val="center"/>
          </w:tcPr>
          <w:p w14:paraId="4EDC597E">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本项目不接受联合体响应</w:t>
            </w:r>
          </w:p>
        </w:tc>
      </w:tr>
      <w:tr w14:paraId="61D4A2B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52" w:hRule="atLeast"/>
          <w:jc w:val="center"/>
        </w:trPr>
        <w:tc>
          <w:tcPr>
            <w:tcW w:w="908" w:type="dxa"/>
            <w:tcBorders>
              <w:top w:val="single" w:color="auto" w:sz="4" w:space="0"/>
              <w:bottom w:val="single" w:color="auto" w:sz="4" w:space="0"/>
              <w:right w:val="single" w:color="auto" w:sz="4" w:space="0"/>
            </w:tcBorders>
            <w:vAlign w:val="center"/>
          </w:tcPr>
          <w:p w14:paraId="6F4A44E1">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15</w:t>
            </w:r>
          </w:p>
        </w:tc>
        <w:tc>
          <w:tcPr>
            <w:tcW w:w="8291" w:type="dxa"/>
            <w:tcBorders>
              <w:top w:val="single" w:color="auto" w:sz="4" w:space="0"/>
              <w:left w:val="single" w:color="auto" w:sz="4" w:space="0"/>
              <w:bottom w:val="single" w:color="auto" w:sz="4" w:space="0"/>
            </w:tcBorders>
            <w:vAlign w:val="center"/>
          </w:tcPr>
          <w:p w14:paraId="582CBA18">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本项目不收取磋商保证金</w:t>
            </w:r>
          </w:p>
        </w:tc>
      </w:tr>
      <w:tr w14:paraId="6DA9EBA8">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13" w:hRule="atLeast"/>
          <w:jc w:val="center"/>
        </w:trPr>
        <w:tc>
          <w:tcPr>
            <w:tcW w:w="908" w:type="dxa"/>
            <w:tcBorders>
              <w:top w:val="single" w:color="auto" w:sz="4" w:space="0"/>
              <w:bottom w:val="single" w:color="auto" w:sz="4" w:space="0"/>
              <w:right w:val="single" w:color="auto" w:sz="4" w:space="0"/>
            </w:tcBorders>
            <w:vAlign w:val="center"/>
          </w:tcPr>
          <w:p w14:paraId="5F091013">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16</w:t>
            </w:r>
          </w:p>
        </w:tc>
        <w:tc>
          <w:tcPr>
            <w:tcW w:w="8291" w:type="dxa"/>
            <w:tcBorders>
              <w:top w:val="single" w:color="auto" w:sz="4" w:space="0"/>
              <w:left w:val="single" w:color="auto" w:sz="4" w:space="0"/>
              <w:bottom w:val="single" w:color="auto" w:sz="4" w:space="0"/>
            </w:tcBorders>
            <w:vAlign w:val="center"/>
          </w:tcPr>
          <w:p w14:paraId="7E3BDD54">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响应文件递交时间：详见磋商公告</w:t>
            </w:r>
          </w:p>
          <w:p w14:paraId="292612E6">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响应文件递交网址：</w:t>
            </w:r>
          </w:p>
          <w:p w14:paraId="6A0C3033">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黑体" w:cs="宋体"/>
                <w:color w:val="000000" w:themeColor="text1"/>
                <w:spacing w:val="8"/>
                <w:szCs w:val="28"/>
                <w14:textFill>
                  <w14:solidFill>
                    <w14:schemeClr w14:val="tx1"/>
                  </w14:solidFill>
                </w14:textFill>
              </w:rPr>
              <w:t>登录“威海市政府采购电子交易系统”（威海市公共资源交易网（乳山分中心）右侧“交易服务一网通办”登录后选择“政府采购”</w:t>
            </w:r>
          </w:p>
        </w:tc>
      </w:tr>
      <w:tr w14:paraId="4F6C05F8">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66" w:hRule="atLeast"/>
          <w:jc w:val="center"/>
        </w:trPr>
        <w:tc>
          <w:tcPr>
            <w:tcW w:w="908" w:type="dxa"/>
            <w:tcBorders>
              <w:top w:val="single" w:color="auto" w:sz="4" w:space="0"/>
              <w:bottom w:val="single" w:color="auto" w:sz="4" w:space="0"/>
              <w:right w:val="single" w:color="auto" w:sz="4" w:space="0"/>
            </w:tcBorders>
            <w:vAlign w:val="center"/>
          </w:tcPr>
          <w:p w14:paraId="6749325E">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17</w:t>
            </w:r>
          </w:p>
        </w:tc>
        <w:tc>
          <w:tcPr>
            <w:tcW w:w="8291" w:type="dxa"/>
            <w:tcBorders>
              <w:top w:val="single" w:color="auto" w:sz="4" w:space="0"/>
              <w:left w:val="single" w:color="auto" w:sz="4" w:space="0"/>
              <w:bottom w:val="single" w:color="auto" w:sz="4" w:space="0"/>
            </w:tcBorders>
            <w:vAlign w:val="center"/>
          </w:tcPr>
          <w:p w14:paraId="1C8A7533">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开标时间：详见磋商公告</w:t>
            </w:r>
          </w:p>
          <w:p w14:paraId="2F997EC4">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开标地点：威海市乳山市深圳路108号市民服务中心三楼</w:t>
            </w:r>
          </w:p>
        </w:tc>
      </w:tr>
      <w:tr w14:paraId="6F33458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43" w:hRule="atLeast"/>
          <w:jc w:val="center"/>
        </w:trPr>
        <w:tc>
          <w:tcPr>
            <w:tcW w:w="908" w:type="dxa"/>
            <w:tcBorders>
              <w:top w:val="single" w:color="auto" w:sz="4" w:space="0"/>
              <w:bottom w:val="single" w:color="auto" w:sz="4" w:space="0"/>
              <w:right w:val="single" w:color="auto" w:sz="4" w:space="0"/>
            </w:tcBorders>
            <w:vAlign w:val="center"/>
          </w:tcPr>
          <w:p w14:paraId="103A7C1D">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18</w:t>
            </w:r>
          </w:p>
        </w:tc>
        <w:tc>
          <w:tcPr>
            <w:tcW w:w="8291" w:type="dxa"/>
            <w:tcBorders>
              <w:top w:val="single" w:color="auto" w:sz="4" w:space="0"/>
              <w:left w:val="single" w:color="auto" w:sz="4" w:space="0"/>
              <w:bottom w:val="single" w:color="auto" w:sz="4" w:space="0"/>
            </w:tcBorders>
            <w:vAlign w:val="center"/>
          </w:tcPr>
          <w:p w14:paraId="4D2C1328">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响应文件开启（解密）、磋商方式：</w:t>
            </w:r>
            <w:r>
              <w:rPr>
                <w:rFonts w:hint="eastAsia" w:ascii="仿宋_GB2312"/>
                <w:color w:val="000000" w:themeColor="text1"/>
                <w:szCs w:val="28"/>
                <w14:textFill>
                  <w14:solidFill>
                    <w14:schemeClr w14:val="tx1"/>
                  </w14:solidFill>
                </w14:textFill>
              </w:rPr>
              <w:t>远程解密、磋商，供应商无需到现场参与解密、磋商，请提前熟悉电子交易系统操作流程，并实时关注电子交易系统相关通知，且联络方式应保持通讯畅通。[操作手册获取方式：操作手册请登录威海市公共资源交易网-办事指南栏目-政府采购专区-《威海市政府采购电子交易系统供应商操作手册》下载查看（网址：http://ggzyjy.weihai.cn/bszn/005002/20210702/ed187b7b-6fef-4726-8e07-c0e3ee8d5a46.html）。投标（响应）文件制作及系统使用咨询电话：18769124292。]</w:t>
            </w:r>
          </w:p>
        </w:tc>
      </w:tr>
      <w:tr w14:paraId="3D9EC987">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43" w:hRule="atLeast"/>
          <w:jc w:val="center"/>
        </w:trPr>
        <w:tc>
          <w:tcPr>
            <w:tcW w:w="908" w:type="dxa"/>
            <w:tcBorders>
              <w:top w:val="single" w:color="auto" w:sz="4" w:space="0"/>
              <w:bottom w:val="single" w:color="auto" w:sz="4" w:space="0"/>
              <w:right w:val="single" w:color="auto" w:sz="4" w:space="0"/>
            </w:tcBorders>
            <w:vAlign w:val="center"/>
          </w:tcPr>
          <w:p w14:paraId="513C55C3">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19</w:t>
            </w:r>
          </w:p>
        </w:tc>
        <w:tc>
          <w:tcPr>
            <w:tcW w:w="8291" w:type="dxa"/>
            <w:tcBorders>
              <w:top w:val="single" w:color="auto" w:sz="4" w:space="0"/>
              <w:left w:val="single" w:color="auto" w:sz="4" w:space="0"/>
              <w:bottom w:val="single" w:color="auto" w:sz="4" w:space="0"/>
            </w:tcBorders>
            <w:vAlign w:val="center"/>
          </w:tcPr>
          <w:p w14:paraId="2A199D81">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响应文件开启（解密）程序：</w:t>
            </w:r>
          </w:p>
          <w:p w14:paraId="15F761A6">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响应文件开启（解密）后15分钟内完成解密</w:t>
            </w:r>
          </w:p>
        </w:tc>
      </w:tr>
      <w:tr w14:paraId="7B038C0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16" w:hRule="atLeast"/>
          <w:jc w:val="center"/>
        </w:trPr>
        <w:tc>
          <w:tcPr>
            <w:tcW w:w="908" w:type="dxa"/>
            <w:tcBorders>
              <w:top w:val="single" w:color="auto" w:sz="4" w:space="0"/>
              <w:bottom w:val="single" w:color="auto" w:sz="4" w:space="0"/>
              <w:right w:val="single" w:color="auto" w:sz="4" w:space="0"/>
            </w:tcBorders>
            <w:vAlign w:val="center"/>
          </w:tcPr>
          <w:p w14:paraId="7838D2B9">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20</w:t>
            </w:r>
          </w:p>
        </w:tc>
        <w:tc>
          <w:tcPr>
            <w:tcW w:w="8291" w:type="dxa"/>
            <w:tcBorders>
              <w:top w:val="single" w:color="auto" w:sz="4" w:space="0"/>
              <w:left w:val="single" w:color="auto" w:sz="4" w:space="0"/>
              <w:bottom w:val="single" w:color="auto" w:sz="4" w:space="0"/>
            </w:tcBorders>
            <w:vAlign w:val="center"/>
          </w:tcPr>
          <w:p w14:paraId="6151620B">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lang w:eastAsia="zh-CN"/>
                <w14:textFill>
                  <w14:solidFill>
                    <w14:schemeClr w14:val="tx1"/>
                  </w14:solidFill>
                </w14:textFill>
              </w:rPr>
              <w:t>乳山市2024年小型水库维修养护项目</w:t>
            </w:r>
            <w:r>
              <w:rPr>
                <w:rFonts w:ascii="仿宋_GB2312" w:hAnsi="宋体"/>
                <w:color w:val="000000" w:themeColor="text1"/>
                <w:szCs w:val="28"/>
                <w14:textFill>
                  <w14:solidFill>
                    <w14:schemeClr w14:val="tx1"/>
                  </w14:solidFill>
                </w14:textFill>
              </w:rPr>
              <w:t>施工</w:t>
            </w:r>
            <w:r>
              <w:rPr>
                <w:rFonts w:hint="eastAsia" w:ascii="仿宋_GB2312" w:hAnsi="宋体"/>
                <w:color w:val="000000" w:themeColor="text1"/>
                <w:szCs w:val="28"/>
                <w14:textFill>
                  <w14:solidFill>
                    <w14:schemeClr w14:val="tx1"/>
                  </w14:solidFill>
                </w14:textFill>
              </w:rPr>
              <w:t>(</w:t>
            </w:r>
            <w:r>
              <w:rPr>
                <w:rFonts w:ascii="仿宋_GB2312" w:hAnsi="宋体"/>
                <w:color w:val="000000" w:themeColor="text1"/>
                <w:szCs w:val="28"/>
                <w14:textFill>
                  <w14:solidFill>
                    <w14:schemeClr w14:val="tx1"/>
                  </w14:solidFill>
                </w14:textFill>
              </w:rPr>
              <w:t>A</w:t>
            </w:r>
            <w:r>
              <w:rPr>
                <w:rFonts w:hint="eastAsia" w:ascii="仿宋_GB2312" w:hAnsi="宋体"/>
                <w:color w:val="000000" w:themeColor="text1"/>
                <w:szCs w:val="28"/>
                <w14:textFill>
                  <w14:solidFill>
                    <w14:schemeClr w14:val="tx1"/>
                  </w14:solidFill>
                </w14:textFill>
              </w:rPr>
              <w:t>包)</w:t>
            </w:r>
          </w:p>
          <w:p w14:paraId="47152B07">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质保期：</w:t>
            </w:r>
            <w:r>
              <w:rPr>
                <w:rFonts w:hint="eastAsia" w:ascii="仿宋_GB2312" w:hAnsi="宋体"/>
                <w:color w:val="000000" w:themeColor="text1"/>
                <w:szCs w:val="28"/>
                <w:lang w:val="en-US" w:eastAsia="zh-CN"/>
                <w14:textFill>
                  <w14:solidFill>
                    <w14:schemeClr w14:val="tx1"/>
                  </w14:solidFill>
                </w14:textFill>
              </w:rPr>
              <w:t>1</w:t>
            </w:r>
            <w:r>
              <w:rPr>
                <w:rFonts w:ascii="仿宋_GB2312" w:hAnsi="宋体"/>
                <w:color w:val="000000" w:themeColor="text1"/>
                <w:szCs w:val="28"/>
                <w14:textFill>
                  <w14:solidFill>
                    <w14:schemeClr w14:val="tx1"/>
                  </w14:solidFill>
                </w14:textFill>
              </w:rPr>
              <w:t>年</w:t>
            </w:r>
          </w:p>
        </w:tc>
      </w:tr>
      <w:tr w14:paraId="2A429E3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1338" w:hRule="atLeast"/>
          <w:jc w:val="center"/>
        </w:trPr>
        <w:tc>
          <w:tcPr>
            <w:tcW w:w="908" w:type="dxa"/>
            <w:tcBorders>
              <w:top w:val="single" w:color="auto" w:sz="4" w:space="0"/>
              <w:bottom w:val="single" w:color="auto" w:sz="4" w:space="0"/>
              <w:right w:val="single" w:color="auto" w:sz="4" w:space="0"/>
            </w:tcBorders>
            <w:vAlign w:val="center"/>
          </w:tcPr>
          <w:p w14:paraId="396C9A82">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21</w:t>
            </w:r>
          </w:p>
        </w:tc>
        <w:tc>
          <w:tcPr>
            <w:tcW w:w="8291" w:type="dxa"/>
            <w:tcBorders>
              <w:top w:val="single" w:color="auto" w:sz="4" w:space="0"/>
              <w:left w:val="single" w:color="auto" w:sz="4" w:space="0"/>
              <w:bottom w:val="single" w:color="auto" w:sz="4" w:space="0"/>
            </w:tcBorders>
            <w:vAlign w:val="center"/>
          </w:tcPr>
          <w:p w14:paraId="2B246221">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lang w:eastAsia="zh-CN"/>
                <w14:textFill>
                  <w14:solidFill>
                    <w14:schemeClr w14:val="tx1"/>
                  </w14:solidFill>
                </w14:textFill>
              </w:rPr>
              <w:t>乳山市2024年小型水库维修养护项目</w:t>
            </w:r>
            <w:r>
              <w:rPr>
                <w:rFonts w:ascii="仿宋_GB2312" w:hAnsi="宋体"/>
                <w:color w:val="000000" w:themeColor="text1"/>
                <w:szCs w:val="28"/>
                <w14:textFill>
                  <w14:solidFill>
                    <w14:schemeClr w14:val="tx1"/>
                  </w14:solidFill>
                </w14:textFill>
              </w:rPr>
              <w:t>施工</w:t>
            </w:r>
            <w:r>
              <w:rPr>
                <w:rFonts w:hint="eastAsia" w:ascii="仿宋_GB2312" w:hAnsi="宋体"/>
                <w:color w:val="000000" w:themeColor="text1"/>
                <w:szCs w:val="28"/>
                <w14:textFill>
                  <w14:solidFill>
                    <w14:schemeClr w14:val="tx1"/>
                  </w14:solidFill>
                </w14:textFill>
              </w:rPr>
              <w:t>(</w:t>
            </w:r>
            <w:r>
              <w:rPr>
                <w:rFonts w:ascii="仿宋_GB2312" w:hAnsi="宋体"/>
                <w:color w:val="000000" w:themeColor="text1"/>
                <w:szCs w:val="28"/>
                <w14:textFill>
                  <w14:solidFill>
                    <w14:schemeClr w14:val="tx1"/>
                  </w14:solidFill>
                </w14:textFill>
              </w:rPr>
              <w:t>A</w:t>
            </w:r>
            <w:r>
              <w:rPr>
                <w:rFonts w:hint="eastAsia" w:ascii="仿宋_GB2312" w:hAnsi="宋体"/>
                <w:color w:val="000000" w:themeColor="text1"/>
                <w:szCs w:val="28"/>
                <w14:textFill>
                  <w14:solidFill>
                    <w14:schemeClr w14:val="tx1"/>
                  </w14:solidFill>
                </w14:textFill>
              </w:rPr>
              <w:t>包)</w:t>
            </w:r>
          </w:p>
          <w:p w14:paraId="53028C0D">
            <w:pPr>
              <w:ind w:left="4" w:firstLine="0" w:firstLineChars="0"/>
              <w:rPr>
                <w:rFonts w:hint="eastAsia" w:ascii="仿宋_GB2312" w:hAnsi="宋体" w:eastAsia="仿宋_GB2312"/>
                <w:color w:val="000000" w:themeColor="text1"/>
                <w:szCs w:val="28"/>
                <w:lang w:val="en-US" w:eastAsia="zh-CN"/>
                <w14:textFill>
                  <w14:solidFill>
                    <w14:schemeClr w14:val="tx1"/>
                  </w14:solidFill>
                </w14:textFill>
              </w:rPr>
            </w:pPr>
            <w:r>
              <w:rPr>
                <w:rFonts w:hint="eastAsia" w:ascii="仿宋_GB2312" w:hAnsi="宋体"/>
                <w:color w:val="000000" w:themeColor="text1"/>
                <w:szCs w:val="28"/>
                <w14:textFill>
                  <w14:solidFill>
                    <w14:schemeClr w14:val="tx1"/>
                  </w14:solidFill>
                </w14:textFill>
              </w:rPr>
              <w:t>工期:</w:t>
            </w:r>
            <w:r>
              <w:rPr>
                <w:rFonts w:hint="eastAsia" w:ascii="仿宋_GB2312" w:hAnsi="宋体"/>
                <w:color w:val="000000" w:themeColor="text1"/>
                <w:szCs w:val="28"/>
                <w:lang w:eastAsia="zh-CN"/>
                <w14:textFill>
                  <w14:solidFill>
                    <w14:schemeClr w14:val="tx1"/>
                  </w14:solidFill>
                </w14:textFill>
              </w:rPr>
              <w:t>自合同签订之日起三个月内完工</w:t>
            </w:r>
          </w:p>
          <w:p w14:paraId="14997F6E">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交付地点:采购人指定地点</w:t>
            </w:r>
          </w:p>
        </w:tc>
      </w:tr>
      <w:tr w14:paraId="3FBAD7F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65" w:hRule="atLeast"/>
          <w:jc w:val="center"/>
        </w:trPr>
        <w:tc>
          <w:tcPr>
            <w:tcW w:w="908" w:type="dxa"/>
            <w:tcBorders>
              <w:top w:val="single" w:color="auto" w:sz="4" w:space="0"/>
              <w:bottom w:val="single" w:color="auto" w:sz="4" w:space="0"/>
              <w:right w:val="single" w:color="auto" w:sz="4" w:space="0"/>
            </w:tcBorders>
            <w:vAlign w:val="center"/>
          </w:tcPr>
          <w:p w14:paraId="3089425B">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22</w:t>
            </w:r>
          </w:p>
        </w:tc>
        <w:tc>
          <w:tcPr>
            <w:tcW w:w="8291" w:type="dxa"/>
            <w:tcBorders>
              <w:top w:val="single" w:color="auto" w:sz="4" w:space="0"/>
              <w:left w:val="single" w:color="auto" w:sz="4" w:space="0"/>
              <w:bottom w:val="single" w:color="auto" w:sz="4" w:space="0"/>
            </w:tcBorders>
            <w:vAlign w:val="center"/>
          </w:tcPr>
          <w:p w14:paraId="2BF7CCC8">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评标办法：</w:t>
            </w:r>
            <w:r>
              <w:rPr>
                <w:rFonts w:hint="eastAsia" w:ascii="仿宋_GB2312" w:hAnsi="宋体"/>
                <w:color w:val="000000" w:themeColor="text1"/>
                <w:szCs w:val="28"/>
                <w:lang w:eastAsia="zh-CN"/>
                <w14:textFill>
                  <w14:solidFill>
                    <w14:schemeClr w14:val="tx1"/>
                  </w14:solidFill>
                </w14:textFill>
              </w:rPr>
              <w:t>乳山市2024年小型水库维修养护项目</w:t>
            </w:r>
            <w:r>
              <w:rPr>
                <w:rFonts w:ascii="仿宋_GB2312" w:hAnsi="宋体"/>
                <w:color w:val="000000" w:themeColor="text1"/>
                <w:szCs w:val="28"/>
                <w14:textFill>
                  <w14:solidFill>
                    <w14:schemeClr w14:val="tx1"/>
                  </w14:solidFill>
                </w14:textFill>
              </w:rPr>
              <w:t>施工</w:t>
            </w:r>
            <w:r>
              <w:rPr>
                <w:rFonts w:hint="eastAsia" w:ascii="仿宋_GB2312" w:hAnsi="宋体"/>
                <w:color w:val="000000" w:themeColor="text1"/>
                <w:szCs w:val="28"/>
                <w14:textFill>
                  <w14:solidFill>
                    <w14:schemeClr w14:val="tx1"/>
                  </w14:solidFill>
                </w14:textFill>
              </w:rPr>
              <w:t>(</w:t>
            </w:r>
            <w:r>
              <w:rPr>
                <w:rFonts w:ascii="仿宋_GB2312" w:hAnsi="宋体"/>
                <w:color w:val="000000" w:themeColor="text1"/>
                <w:szCs w:val="28"/>
                <w14:textFill>
                  <w14:solidFill>
                    <w14:schemeClr w14:val="tx1"/>
                  </w14:solidFill>
                </w14:textFill>
              </w:rPr>
              <w:t>A</w:t>
            </w:r>
            <w:r>
              <w:rPr>
                <w:rFonts w:hint="eastAsia" w:ascii="仿宋_GB2312" w:hAnsi="宋体"/>
                <w:color w:val="000000" w:themeColor="text1"/>
                <w:szCs w:val="28"/>
                <w14:textFill>
                  <w14:solidFill>
                    <w14:schemeClr w14:val="tx1"/>
                  </w14:solidFill>
                </w14:textFill>
              </w:rPr>
              <w:t>包),综合评分法</w:t>
            </w:r>
          </w:p>
        </w:tc>
      </w:tr>
      <w:tr w14:paraId="2CF1A05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73" w:hRule="atLeast"/>
          <w:jc w:val="center"/>
        </w:trPr>
        <w:tc>
          <w:tcPr>
            <w:tcW w:w="908" w:type="dxa"/>
            <w:tcBorders>
              <w:top w:val="single" w:color="auto" w:sz="4" w:space="0"/>
              <w:bottom w:val="single" w:color="auto" w:sz="4" w:space="0"/>
              <w:right w:val="single" w:color="auto" w:sz="4" w:space="0"/>
            </w:tcBorders>
            <w:vAlign w:val="center"/>
          </w:tcPr>
          <w:p w14:paraId="14ACBEED">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23</w:t>
            </w:r>
          </w:p>
        </w:tc>
        <w:tc>
          <w:tcPr>
            <w:tcW w:w="8291" w:type="dxa"/>
            <w:tcBorders>
              <w:top w:val="single" w:color="auto" w:sz="4" w:space="0"/>
              <w:left w:val="single" w:color="auto" w:sz="4" w:space="0"/>
              <w:bottom w:val="single" w:color="auto" w:sz="4" w:space="0"/>
            </w:tcBorders>
            <w:vAlign w:val="center"/>
          </w:tcPr>
          <w:p w14:paraId="7F35C238">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本项目不收取履约保证金。如成交单位中标后不按采购文件相关规定执行的，按诚信体系建设要求列入信用黑名单，1-3年内禁止参加政府采购活动。</w:t>
            </w:r>
          </w:p>
        </w:tc>
      </w:tr>
      <w:tr w14:paraId="2F96499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73" w:hRule="atLeast"/>
          <w:jc w:val="center"/>
        </w:trPr>
        <w:tc>
          <w:tcPr>
            <w:tcW w:w="908" w:type="dxa"/>
            <w:tcBorders>
              <w:top w:val="single" w:color="auto" w:sz="4" w:space="0"/>
              <w:bottom w:val="single" w:color="auto" w:sz="4" w:space="0"/>
              <w:right w:val="single" w:color="auto" w:sz="4" w:space="0"/>
            </w:tcBorders>
            <w:vAlign w:val="center"/>
          </w:tcPr>
          <w:p w14:paraId="0506835B">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24</w:t>
            </w:r>
          </w:p>
        </w:tc>
        <w:tc>
          <w:tcPr>
            <w:tcW w:w="8291" w:type="dxa"/>
            <w:tcBorders>
              <w:top w:val="single" w:color="auto" w:sz="4" w:space="0"/>
              <w:left w:val="single" w:color="auto" w:sz="4" w:space="0"/>
              <w:bottom w:val="single" w:color="auto" w:sz="4" w:space="0"/>
            </w:tcBorders>
            <w:vAlign w:val="center"/>
          </w:tcPr>
          <w:p w14:paraId="414433B9">
            <w:pPr>
              <w:spacing w:line="600" w:lineRule="exact"/>
              <w:ind w:firstLine="0" w:firstLineChars="0"/>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是否兼投不兼中：否</w:t>
            </w:r>
          </w:p>
        </w:tc>
      </w:tr>
      <w:tr w14:paraId="50C03C4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73" w:hRule="atLeast"/>
          <w:jc w:val="center"/>
        </w:trPr>
        <w:tc>
          <w:tcPr>
            <w:tcW w:w="908" w:type="dxa"/>
            <w:tcBorders>
              <w:top w:val="single" w:color="auto" w:sz="4" w:space="0"/>
              <w:bottom w:val="single" w:color="auto" w:sz="4" w:space="0"/>
              <w:right w:val="single" w:color="auto" w:sz="4" w:space="0"/>
            </w:tcBorders>
            <w:vAlign w:val="center"/>
          </w:tcPr>
          <w:p w14:paraId="35774E7B">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25</w:t>
            </w:r>
          </w:p>
        </w:tc>
        <w:tc>
          <w:tcPr>
            <w:tcW w:w="8291" w:type="dxa"/>
            <w:tcBorders>
              <w:top w:val="single" w:color="auto" w:sz="4" w:space="0"/>
              <w:left w:val="single" w:color="auto" w:sz="4" w:space="0"/>
              <w:bottom w:val="single" w:color="auto" w:sz="4" w:space="0"/>
            </w:tcBorders>
            <w:vAlign w:val="center"/>
          </w:tcPr>
          <w:p w14:paraId="4429D11E">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本项目付款方式如下：</w:t>
            </w:r>
          </w:p>
          <w:p w14:paraId="76D11AE0">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本工程无预付款，按工程形象进度付款，按月计量，在建设期内支付30%，工程竣工验收合格支付到合同价款的50%,审计结算结束支付到结算价款的70%；剩余资金分三年付清，每年各支付10%。</w:t>
            </w:r>
          </w:p>
        </w:tc>
      </w:tr>
      <w:tr w14:paraId="58D5C15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16037494">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26</w:t>
            </w:r>
          </w:p>
        </w:tc>
        <w:tc>
          <w:tcPr>
            <w:tcW w:w="8291" w:type="dxa"/>
            <w:tcBorders>
              <w:top w:val="single" w:color="auto" w:sz="4" w:space="0"/>
              <w:left w:val="single" w:color="auto" w:sz="4" w:space="0"/>
              <w:bottom w:val="single" w:color="auto" w:sz="4" w:space="0"/>
            </w:tcBorders>
            <w:vAlign w:val="center"/>
          </w:tcPr>
          <w:p w14:paraId="1809854D">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推荐成交</w:t>
            </w:r>
            <w:r>
              <w:rPr>
                <w:rFonts w:ascii="仿宋_GB2312" w:hAnsi="宋体"/>
                <w:color w:val="000000" w:themeColor="text1"/>
                <w:szCs w:val="28"/>
                <w14:textFill>
                  <w14:solidFill>
                    <w14:schemeClr w14:val="tx1"/>
                  </w14:solidFill>
                </w14:textFill>
              </w:rPr>
              <w:t>候选供应商的数量</w:t>
            </w:r>
            <w:r>
              <w:rPr>
                <w:rFonts w:hint="eastAsia" w:ascii="仿宋_GB2312" w:hAnsi="宋体"/>
                <w:color w:val="000000" w:themeColor="text1"/>
                <w:szCs w:val="28"/>
                <w14:textFill>
                  <w14:solidFill>
                    <w14:schemeClr w14:val="tx1"/>
                  </w14:solidFill>
                </w14:textFill>
              </w:rPr>
              <w:t>：1-3家（当资格性和符合性检查合格供应商家数为3家时，推荐总分排序最高的供应商为成交</w:t>
            </w:r>
            <w:r>
              <w:rPr>
                <w:rFonts w:ascii="仿宋_GB2312" w:hAnsi="宋体"/>
                <w:color w:val="000000" w:themeColor="text1"/>
                <w:szCs w:val="28"/>
                <w14:textFill>
                  <w14:solidFill>
                    <w14:schemeClr w14:val="tx1"/>
                  </w14:solidFill>
                </w14:textFill>
              </w:rPr>
              <w:t>候选供应商</w:t>
            </w:r>
            <w:r>
              <w:rPr>
                <w:rFonts w:hint="eastAsia" w:ascii="仿宋_GB2312" w:hAnsi="宋体"/>
                <w:color w:val="000000" w:themeColor="text1"/>
                <w:szCs w:val="28"/>
                <w14:textFill>
                  <w14:solidFill>
                    <w14:schemeClr w14:val="tx1"/>
                  </w14:solidFill>
                </w14:textFill>
              </w:rPr>
              <w:t>；当资格性和符合性检查合格供应商家数为4家时，推荐总分排序最高的前2名供应商为成交</w:t>
            </w:r>
            <w:r>
              <w:rPr>
                <w:rFonts w:ascii="仿宋_GB2312" w:hAnsi="宋体"/>
                <w:color w:val="000000" w:themeColor="text1"/>
                <w:szCs w:val="28"/>
                <w14:textFill>
                  <w14:solidFill>
                    <w14:schemeClr w14:val="tx1"/>
                  </w14:solidFill>
                </w14:textFill>
              </w:rPr>
              <w:t>候选供应商</w:t>
            </w:r>
            <w:r>
              <w:rPr>
                <w:rFonts w:hint="eastAsia" w:ascii="仿宋_GB2312" w:hAnsi="宋体"/>
                <w:color w:val="000000" w:themeColor="text1"/>
                <w:szCs w:val="28"/>
                <w14:textFill>
                  <w14:solidFill>
                    <w14:schemeClr w14:val="tx1"/>
                  </w14:solidFill>
                </w14:textFill>
              </w:rPr>
              <w:t>；当资格性和符合性检查合格供应商家数为5家及以上时，推荐总分排序最高的前3名供应商为成交</w:t>
            </w:r>
            <w:r>
              <w:rPr>
                <w:rFonts w:ascii="仿宋_GB2312" w:hAnsi="宋体"/>
                <w:color w:val="000000" w:themeColor="text1"/>
                <w:szCs w:val="28"/>
                <w14:textFill>
                  <w14:solidFill>
                    <w14:schemeClr w14:val="tx1"/>
                  </w14:solidFill>
                </w14:textFill>
              </w:rPr>
              <w:t>候选供应商</w:t>
            </w:r>
            <w:r>
              <w:rPr>
                <w:rFonts w:hint="eastAsia" w:ascii="仿宋_GB2312" w:hAnsi="宋体"/>
                <w:color w:val="000000" w:themeColor="text1"/>
                <w:szCs w:val="28"/>
                <w14:textFill>
                  <w14:solidFill>
                    <w14:schemeClr w14:val="tx1"/>
                  </w14:solidFill>
                </w14:textFill>
              </w:rPr>
              <w:t>。）</w:t>
            </w:r>
          </w:p>
        </w:tc>
      </w:tr>
      <w:tr w14:paraId="0142DF3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2B3108E9">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27</w:t>
            </w:r>
          </w:p>
        </w:tc>
        <w:tc>
          <w:tcPr>
            <w:tcW w:w="8291" w:type="dxa"/>
            <w:tcBorders>
              <w:top w:val="single" w:color="auto" w:sz="4" w:space="0"/>
              <w:left w:val="single" w:color="auto" w:sz="4" w:space="0"/>
              <w:bottom w:val="single" w:color="auto" w:sz="4" w:space="0"/>
            </w:tcBorders>
            <w:vAlign w:val="center"/>
          </w:tcPr>
          <w:p w14:paraId="7F06D3A3">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是否委托评审委员会确定成交供应商：是</w:t>
            </w:r>
          </w:p>
        </w:tc>
      </w:tr>
      <w:tr w14:paraId="61A213C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2ED7C39D">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28</w:t>
            </w:r>
          </w:p>
        </w:tc>
        <w:tc>
          <w:tcPr>
            <w:tcW w:w="8291" w:type="dxa"/>
            <w:tcBorders>
              <w:top w:val="single" w:color="auto" w:sz="4" w:space="0"/>
              <w:left w:val="single" w:color="auto" w:sz="4" w:space="0"/>
              <w:bottom w:val="single" w:color="auto" w:sz="4" w:space="0"/>
            </w:tcBorders>
            <w:vAlign w:val="center"/>
          </w:tcPr>
          <w:p w14:paraId="7A81C4F2">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是否</w:t>
            </w:r>
            <w:r>
              <w:rPr>
                <w:rFonts w:ascii="仿宋_GB2312" w:hAnsi="宋体"/>
                <w:color w:val="000000" w:themeColor="text1"/>
                <w:szCs w:val="28"/>
                <w14:textFill>
                  <w14:solidFill>
                    <w14:schemeClr w14:val="tx1"/>
                  </w14:solidFill>
                </w14:textFill>
              </w:rPr>
              <w:t>属于信用担保试点范围</w:t>
            </w:r>
            <w:r>
              <w:rPr>
                <w:rFonts w:hint="eastAsia" w:ascii="仿宋_GB2312" w:hAnsi="宋体"/>
                <w:color w:val="000000" w:themeColor="text1"/>
                <w:szCs w:val="28"/>
                <w14:textFill>
                  <w14:solidFill>
                    <w14:schemeClr w14:val="tx1"/>
                  </w14:solidFill>
                </w14:textFill>
              </w:rPr>
              <w:t>：是</w:t>
            </w:r>
          </w:p>
        </w:tc>
      </w:tr>
      <w:tr w14:paraId="319E5A3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46CC6F74">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29</w:t>
            </w:r>
          </w:p>
        </w:tc>
        <w:tc>
          <w:tcPr>
            <w:tcW w:w="8291" w:type="dxa"/>
            <w:tcBorders>
              <w:top w:val="single" w:color="auto" w:sz="4" w:space="0"/>
              <w:left w:val="single" w:color="auto" w:sz="4" w:space="0"/>
              <w:bottom w:val="single" w:color="auto" w:sz="4" w:space="0"/>
            </w:tcBorders>
            <w:vAlign w:val="center"/>
          </w:tcPr>
          <w:p w14:paraId="7C16ADDC">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反腐倡廉监督联系方式：</w:t>
            </w:r>
          </w:p>
          <w:p w14:paraId="77DE8ECB">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电话/邮箱：</w:t>
            </w:r>
            <w:r>
              <w:rPr>
                <w:rFonts w:ascii="仿宋_GB2312" w:hAnsi="宋体"/>
                <w:color w:val="000000" w:themeColor="text1"/>
                <w:szCs w:val="28"/>
                <w14:textFill>
                  <w14:solidFill>
                    <w14:schemeClr w14:val="tx1"/>
                  </w14:solidFill>
                </w14:textFill>
              </w:rPr>
              <w:t>0631-6662267/rushanjyzx@wh.shandong.cn</w:t>
            </w:r>
          </w:p>
        </w:tc>
      </w:tr>
      <w:tr w14:paraId="54E1B88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41B9B9F9">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30</w:t>
            </w:r>
          </w:p>
        </w:tc>
        <w:tc>
          <w:tcPr>
            <w:tcW w:w="8291" w:type="dxa"/>
            <w:tcBorders>
              <w:top w:val="single" w:color="auto" w:sz="4" w:space="0"/>
              <w:left w:val="single" w:color="auto" w:sz="4" w:space="0"/>
              <w:bottom w:val="single" w:color="auto" w:sz="4" w:space="0"/>
            </w:tcBorders>
            <w:vAlign w:val="center"/>
          </w:tcPr>
          <w:p w14:paraId="6DFBF08A">
            <w:pPr>
              <w:spacing w:line="560" w:lineRule="exact"/>
              <w:ind w:firstLine="0" w:firstLineChars="0"/>
              <w:rPr>
                <w:rFonts w:ascii="仿宋_GB2312" w:hAnsi="仿宋" w:cs="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质疑受理方式：</w:t>
            </w:r>
          </w:p>
          <w:p w14:paraId="01C8A362">
            <w:pPr>
              <w:spacing w:line="560" w:lineRule="exact"/>
              <w:ind w:firstLine="0" w:firstLineChars="0"/>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（1）当面接收：接收地址详见本表采购人及代理机构地址。</w:t>
            </w:r>
          </w:p>
          <w:p w14:paraId="1CE7B47A">
            <w:pPr>
              <w:spacing w:line="560" w:lineRule="exact"/>
              <w:ind w:firstLine="0" w:firstLineChars="0"/>
              <w:rPr>
                <w:rFonts w:hint="eastAsia" w:ascii="仿宋_GB2312" w:hAnsi="仿宋" w:eastAsia="仿宋_GB2312" w:cs="宋体"/>
                <w:color w:val="000000" w:themeColor="text1"/>
                <w:szCs w:val="28"/>
                <w:lang w:eastAsia="zh-CN"/>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（2）邮件接收：</w:t>
            </w:r>
            <w:r>
              <w:rPr>
                <w:rFonts w:hint="eastAsia" w:ascii="仿宋_GB2312" w:hAnsi="仿宋" w:cs="宋体"/>
                <w:color w:val="000000" w:themeColor="text1"/>
                <w:szCs w:val="28"/>
                <w:lang w:eastAsia="zh-CN"/>
                <w14:textFill>
                  <w14:solidFill>
                    <w14:schemeClr w14:val="tx1"/>
                  </w14:solidFill>
                </w14:textFill>
              </w:rPr>
              <w:t>rsfszb@163.com</w:t>
            </w:r>
          </w:p>
          <w:p w14:paraId="5C7D109F">
            <w:pPr>
              <w:spacing w:line="560" w:lineRule="exact"/>
              <w:ind w:firstLine="0" w:firstLineChars="0"/>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（3）政府采购电子交易系统上传：通过威海市政府采购电子交易系统中“公文管理-供”功能上传。</w:t>
            </w:r>
          </w:p>
          <w:p w14:paraId="43F02CA1">
            <w:pPr>
              <w:spacing w:line="560" w:lineRule="exact"/>
              <w:ind w:firstLine="0" w:firstLineChars="0"/>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以上三种方式任选其一。</w:t>
            </w:r>
          </w:p>
        </w:tc>
      </w:tr>
      <w:tr w14:paraId="688E2AF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21F634D4">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31</w:t>
            </w:r>
          </w:p>
        </w:tc>
        <w:tc>
          <w:tcPr>
            <w:tcW w:w="8291" w:type="dxa"/>
            <w:tcBorders>
              <w:top w:val="single" w:color="auto" w:sz="4" w:space="0"/>
              <w:left w:val="single" w:color="auto" w:sz="4" w:space="0"/>
              <w:bottom w:val="single" w:color="auto" w:sz="4" w:space="0"/>
            </w:tcBorders>
            <w:vAlign w:val="center"/>
          </w:tcPr>
          <w:p w14:paraId="3A78B6DF">
            <w:pPr>
              <w:spacing w:line="560" w:lineRule="exact"/>
              <w:ind w:firstLine="0" w:firstLineChars="0"/>
              <w:rPr>
                <w:rFonts w:ascii="仿宋_GB2312" w:hAnsi="仿宋" w:cs="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投诉受理方式：</w:t>
            </w:r>
          </w:p>
          <w:p w14:paraId="21897B8F">
            <w:pPr>
              <w:spacing w:line="560" w:lineRule="exact"/>
              <w:ind w:firstLine="0" w:firstLineChars="0"/>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（1）当面接收：接收地址为山东省乳山市深圳路108-7号市民服务中心社会事务类窗口70号。</w:t>
            </w:r>
          </w:p>
          <w:p w14:paraId="229B3E99">
            <w:pPr>
              <w:spacing w:line="560" w:lineRule="exact"/>
              <w:ind w:firstLine="0" w:firstLineChars="0"/>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（2）邮件接收：rsczjcgb@wh.shandong.cn。</w:t>
            </w:r>
          </w:p>
          <w:p w14:paraId="1C26813C">
            <w:pPr>
              <w:spacing w:line="560" w:lineRule="exact"/>
              <w:ind w:firstLine="0" w:firstLineChars="0"/>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（3）政府采购电子交易系统上传：通过威海市政府采购电子交易系统中“网上投诉”功能上传。</w:t>
            </w:r>
          </w:p>
          <w:p w14:paraId="1C222A66">
            <w:pPr>
              <w:spacing w:line="560" w:lineRule="exact"/>
              <w:ind w:firstLine="0" w:firstLineChars="0"/>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以上三种方式任选其一。</w:t>
            </w:r>
          </w:p>
        </w:tc>
      </w:tr>
      <w:tr w14:paraId="6FBC8468">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36F84A33">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32</w:t>
            </w:r>
          </w:p>
        </w:tc>
        <w:tc>
          <w:tcPr>
            <w:tcW w:w="8291" w:type="dxa"/>
            <w:tcBorders>
              <w:top w:val="single" w:color="auto" w:sz="4" w:space="0"/>
              <w:left w:val="single" w:color="auto" w:sz="4" w:space="0"/>
              <w:bottom w:val="single" w:color="auto" w:sz="4" w:space="0"/>
            </w:tcBorders>
            <w:vAlign w:val="center"/>
          </w:tcPr>
          <w:p w14:paraId="5A74F68D">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代理服务费：参照“发改价格[2011]534号”规定的收费标准向中标供应商收取代理服务费。共计人民币</w:t>
            </w:r>
            <w:r>
              <w:rPr>
                <w:rFonts w:hint="eastAsia" w:ascii="仿宋_GB2312" w:hAnsi="宋体"/>
                <w:color w:val="000000" w:themeColor="text1"/>
                <w:szCs w:val="28"/>
                <w:lang w:val="en-US" w:eastAsia="zh-CN"/>
                <w14:textFill>
                  <w14:solidFill>
                    <w14:schemeClr w14:val="tx1"/>
                  </w14:solidFill>
                </w14:textFill>
              </w:rPr>
              <w:t>26450</w:t>
            </w:r>
            <w:r>
              <w:rPr>
                <w:rFonts w:hint="eastAsia" w:ascii="仿宋_GB2312" w:hAnsi="宋体"/>
                <w:color w:val="000000" w:themeColor="text1"/>
                <w:szCs w:val="28"/>
                <w14:textFill>
                  <w14:solidFill>
                    <w14:schemeClr w14:val="tx1"/>
                  </w14:solidFill>
                </w14:textFill>
              </w:rPr>
              <w:t>.00元，由中标单位在签订合同前向采购代理机构缴纳，包含在报价中。</w:t>
            </w:r>
          </w:p>
          <w:p w14:paraId="5BB1A05F">
            <w:pPr>
              <w:snapToGrid w:val="0"/>
              <w:spacing w:line="560" w:lineRule="exact"/>
              <w:ind w:firstLine="0" w:firstLineChars="0"/>
              <w:jc w:val="left"/>
              <w:rPr>
                <w:rFonts w:hint="eastAsia" w:ascii="仿宋_GB2312" w:hAnsi="宋体" w:eastAsia="仿宋_GB2312"/>
                <w:color w:val="000000" w:themeColor="text1"/>
                <w:szCs w:val="28"/>
                <w:lang w:eastAsia="zh-CN"/>
                <w14:textFill>
                  <w14:solidFill>
                    <w14:schemeClr w14:val="tx1"/>
                  </w14:solidFill>
                </w14:textFill>
              </w:rPr>
            </w:pPr>
            <w:r>
              <w:rPr>
                <w:rFonts w:hint="eastAsia" w:ascii="仿宋_GB2312" w:hAnsi="宋体"/>
                <w:color w:val="000000" w:themeColor="text1"/>
                <w:szCs w:val="28"/>
                <w14:textFill>
                  <w14:solidFill>
                    <w14:schemeClr w14:val="tx1"/>
                  </w14:solidFill>
                </w14:textFill>
              </w:rPr>
              <w:t>开户名称：</w:t>
            </w:r>
            <w:r>
              <w:rPr>
                <w:rFonts w:hint="eastAsia" w:ascii="仿宋_GB2312" w:hAnsi="宋体"/>
                <w:color w:val="000000" w:themeColor="text1"/>
                <w:szCs w:val="28"/>
                <w:lang w:eastAsia="zh-CN"/>
                <w14:textFill>
                  <w14:solidFill>
                    <w14:schemeClr w14:val="tx1"/>
                  </w14:solidFill>
                </w14:textFill>
              </w:rPr>
              <w:t>乳山市方识建设工程咨询有限公司</w:t>
            </w:r>
          </w:p>
          <w:p w14:paraId="02829F3D">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开户行：</w:t>
            </w:r>
            <w:r>
              <w:rPr>
                <w:rFonts w:ascii="仿宋_GB2312" w:hAnsi="宋体"/>
                <w:color w:val="000000" w:themeColor="text1"/>
                <w:szCs w:val="28"/>
                <w14:textFill>
                  <w14:solidFill>
                    <w14:schemeClr w14:val="tx1"/>
                  </w14:solidFill>
                </w14:textFill>
              </w:rPr>
              <w:t>中国建设银行股份有限公司乳山支行</w:t>
            </w:r>
          </w:p>
          <w:p w14:paraId="6E540F12">
            <w:pPr>
              <w:spacing w:line="560" w:lineRule="exact"/>
              <w:ind w:firstLine="0" w:firstLineChars="0"/>
              <w:rPr>
                <w:rFonts w:hint="eastAsia" w:ascii="仿宋_GB2312" w:hAnsi="宋体" w:eastAsia="仿宋_GB2312"/>
                <w:color w:val="000000" w:themeColor="text1"/>
                <w:szCs w:val="28"/>
                <w:lang w:eastAsia="zh-CN"/>
                <w14:textFill>
                  <w14:solidFill>
                    <w14:schemeClr w14:val="tx1"/>
                  </w14:solidFill>
                </w14:textFill>
              </w:rPr>
            </w:pPr>
            <w:r>
              <w:rPr>
                <w:rFonts w:hint="eastAsia" w:ascii="仿宋_GB2312" w:hAnsi="宋体"/>
                <w:color w:val="000000" w:themeColor="text1"/>
                <w:szCs w:val="28"/>
                <w14:textFill>
                  <w14:solidFill>
                    <w14:schemeClr w14:val="tx1"/>
                  </w14:solidFill>
                </w14:textFill>
              </w:rPr>
              <w:t>账号：</w:t>
            </w:r>
            <w:r>
              <w:rPr>
                <w:rFonts w:hint="eastAsia" w:ascii="仿宋_GB2312" w:hAnsi="宋体"/>
                <w:color w:val="000000" w:themeColor="text1"/>
                <w:szCs w:val="28"/>
                <w:lang w:eastAsia="zh-CN"/>
                <w14:textFill>
                  <w14:solidFill>
                    <w14:schemeClr w14:val="tx1"/>
                  </w14:solidFill>
                </w14:textFill>
              </w:rPr>
              <w:t>37050170810800001762</w:t>
            </w:r>
          </w:p>
        </w:tc>
      </w:tr>
      <w:tr w14:paraId="15A66DC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6C14584F">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33</w:t>
            </w:r>
          </w:p>
        </w:tc>
        <w:tc>
          <w:tcPr>
            <w:tcW w:w="8291" w:type="dxa"/>
            <w:tcBorders>
              <w:top w:val="single" w:color="auto" w:sz="4" w:space="0"/>
              <w:left w:val="single" w:color="auto" w:sz="4" w:space="0"/>
              <w:bottom w:val="single" w:color="auto" w:sz="4" w:space="0"/>
            </w:tcBorders>
            <w:vAlign w:val="center"/>
          </w:tcPr>
          <w:p w14:paraId="728827BF">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 xml:space="preserve">公证费/见证费：无 </w:t>
            </w:r>
          </w:p>
        </w:tc>
      </w:tr>
      <w:tr w14:paraId="76DB8CF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27CCA034">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34</w:t>
            </w:r>
          </w:p>
        </w:tc>
        <w:tc>
          <w:tcPr>
            <w:tcW w:w="8291" w:type="dxa"/>
            <w:tcBorders>
              <w:top w:val="single" w:color="auto" w:sz="4" w:space="0"/>
              <w:left w:val="single" w:color="auto" w:sz="4" w:space="0"/>
              <w:bottom w:val="single" w:color="auto" w:sz="4" w:space="0"/>
            </w:tcBorders>
            <w:vAlign w:val="center"/>
          </w:tcPr>
          <w:p w14:paraId="63DF5465">
            <w:pPr>
              <w:spacing w:line="560" w:lineRule="exact"/>
              <w:ind w:firstLine="0" w:firstLineChars="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本项目按</w:t>
            </w:r>
            <w:r>
              <w:rPr>
                <w:rFonts w:ascii="仿宋_GB2312" w:hAnsi="宋体"/>
                <w:color w:val="000000" w:themeColor="text1"/>
                <w:szCs w:val="28"/>
                <w14:textFill>
                  <w14:solidFill>
                    <w14:schemeClr w14:val="tx1"/>
                  </w14:solidFill>
                </w14:textFill>
              </w:rPr>
              <w:t>工程类</w:t>
            </w:r>
            <w:r>
              <w:rPr>
                <w:rFonts w:hint="eastAsia" w:ascii="仿宋_GB2312" w:hAnsi="宋体"/>
                <w:color w:val="000000" w:themeColor="text1"/>
                <w:szCs w:val="28"/>
                <w14:textFill>
                  <w14:solidFill>
                    <w14:schemeClr w14:val="tx1"/>
                  </w14:solidFill>
                </w14:textFill>
              </w:rPr>
              <w:t>以</w:t>
            </w:r>
            <w:r>
              <w:rPr>
                <w:rFonts w:ascii="仿宋_GB2312" w:hAnsi="宋体"/>
                <w:color w:val="000000" w:themeColor="text1"/>
                <w:szCs w:val="28"/>
                <w14:textFill>
                  <w14:solidFill>
                    <w14:schemeClr w14:val="tx1"/>
                  </w14:solidFill>
                </w14:textFill>
              </w:rPr>
              <w:t>竞争性磋商</w:t>
            </w:r>
            <w:r>
              <w:rPr>
                <w:rFonts w:hint="eastAsia" w:ascii="仿宋_GB2312" w:hAnsi="宋体"/>
                <w:color w:val="000000" w:themeColor="text1"/>
                <w:szCs w:val="28"/>
                <w14:textFill>
                  <w14:solidFill>
                    <w14:schemeClr w14:val="tx1"/>
                  </w14:solidFill>
                </w14:textFill>
              </w:rPr>
              <w:t>方式实施采购</w:t>
            </w:r>
          </w:p>
        </w:tc>
      </w:tr>
      <w:tr w14:paraId="172D8DB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0CA3928C">
            <w:pPr>
              <w:spacing w:line="560" w:lineRule="exact"/>
              <w:ind w:firstLine="0" w:firstLineChars="0"/>
              <w:jc w:val="center"/>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35</w:t>
            </w:r>
          </w:p>
        </w:tc>
        <w:tc>
          <w:tcPr>
            <w:tcW w:w="8291" w:type="dxa"/>
            <w:tcBorders>
              <w:top w:val="single" w:color="auto" w:sz="4" w:space="0"/>
              <w:left w:val="single" w:color="auto" w:sz="4" w:space="0"/>
              <w:bottom w:val="single" w:color="auto" w:sz="4" w:space="0"/>
            </w:tcBorders>
            <w:vAlign w:val="center"/>
          </w:tcPr>
          <w:p w14:paraId="1114FBA0">
            <w:pPr>
              <w:spacing w:line="560" w:lineRule="exact"/>
              <w:ind w:firstLine="0" w:firstLineChars="0"/>
              <w:rPr>
                <w:rFonts w:hint="eastAsia" w:ascii="仿宋_GB2312" w:hAnsi="宋体" w:eastAsia="仿宋_GB2312"/>
                <w:color w:val="000000" w:themeColor="text1"/>
                <w:szCs w:val="28"/>
                <w:lang w:val="en-US" w:eastAsia="zh-CN"/>
                <w14:textFill>
                  <w14:solidFill>
                    <w14:schemeClr w14:val="tx1"/>
                  </w14:solidFill>
                </w14:textFill>
              </w:rPr>
            </w:pPr>
            <w:r>
              <w:rPr>
                <w:rFonts w:hint="eastAsia" w:ascii="仿宋_GB2312" w:hAnsi="宋体"/>
                <w:color w:val="000000" w:themeColor="text1"/>
                <w:szCs w:val="28"/>
                <w14:textFill>
                  <w14:solidFill>
                    <w14:schemeClr w14:val="tx1"/>
                  </w14:solidFill>
                </w14:textFill>
              </w:rPr>
              <w:t>采购标的对应的中小企业划分标准所属行业（具体划分标准详见下附表）：</w:t>
            </w:r>
            <w:r>
              <w:rPr>
                <w:rFonts w:hint="eastAsia" w:ascii="仿宋_GB2312" w:hAnsi="宋体"/>
                <w:color w:val="000000" w:themeColor="text1"/>
                <w:szCs w:val="28"/>
                <w:lang w:val="en-US" w:eastAsia="zh-CN"/>
                <w14:textFill>
                  <w14:solidFill>
                    <w14:schemeClr w14:val="tx1"/>
                  </w14:solidFill>
                </w14:textFill>
              </w:rPr>
              <w:t>建筑业</w:t>
            </w:r>
          </w:p>
        </w:tc>
      </w:tr>
    </w:tbl>
    <w:p w14:paraId="604FFA84">
      <w:pPr>
        <w:pStyle w:val="41"/>
        <w:spacing w:line="432" w:lineRule="auto"/>
        <w:ind w:left="0" w:leftChars="0" w:firstLine="0" w:firstLineChars="0"/>
        <w:rPr>
          <w:rFonts w:ascii="仿宋_GB2312"/>
          <w:bCs/>
          <w:color w:val="000000" w:themeColor="text1"/>
          <w:sz w:val="28"/>
          <w:szCs w:val="28"/>
          <w14:textFill>
            <w14:solidFill>
              <w14:schemeClr w14:val="tx1"/>
            </w14:solidFill>
          </w14:textFill>
        </w:rPr>
      </w:pPr>
      <w:r>
        <w:rPr>
          <w:rFonts w:ascii="仿宋_GB2312"/>
          <w:bCs/>
          <w:color w:val="000000" w:themeColor="text1"/>
          <w:sz w:val="28"/>
          <w:szCs w:val="28"/>
          <w14:textFill>
            <w14:solidFill>
              <w14:schemeClr w14:val="tx1"/>
            </w14:solidFill>
          </w14:textFill>
        </w:rPr>
        <w:br w:type="page"/>
      </w:r>
      <w:r>
        <w:rPr>
          <w:rFonts w:hint="eastAsia" w:ascii="仿宋_GB2312"/>
          <w:bCs/>
          <w:color w:val="000000" w:themeColor="text1"/>
          <w:sz w:val="28"/>
          <w:szCs w:val="28"/>
          <w14:textFill>
            <w14:solidFill>
              <w14:schemeClr w14:val="tx1"/>
            </w14:solidFill>
          </w14:textFill>
        </w:rPr>
        <w:t>附表：</w:t>
      </w:r>
    </w:p>
    <w:p w14:paraId="160A339E">
      <w:pPr>
        <w:pStyle w:val="41"/>
        <w:spacing w:line="432" w:lineRule="auto"/>
        <w:ind w:firstLine="720"/>
        <w:jc w:val="center"/>
        <w:rPr>
          <w:color w:val="000000" w:themeColor="text1"/>
          <w14:textFill>
            <w14:solidFill>
              <w14:schemeClr w14:val="tx1"/>
            </w14:solidFill>
          </w14:textFill>
        </w:rPr>
      </w:pPr>
      <w:r>
        <w:rPr>
          <w:rStyle w:val="48"/>
          <w:rFonts w:hint="eastAsia" w:ascii="方正小标宋简体" w:eastAsia="方正小标宋简体"/>
          <w:b w:val="0"/>
          <w:color w:val="000000" w:themeColor="text1"/>
          <w:sz w:val="36"/>
          <w:szCs w:val="36"/>
          <w14:textFill>
            <w14:solidFill>
              <w14:schemeClr w14:val="tx1"/>
            </w14:solidFill>
          </w14:textFill>
        </w:rPr>
        <w:t>关于印发中小企业划型标准规定的通知</w:t>
      </w:r>
      <w:r>
        <w:rPr>
          <w:rFonts w:hint="eastAsia" w:ascii="方正小标宋简体" w:eastAsia="方正小标宋简体"/>
          <w:b/>
          <w:color w:val="000000" w:themeColor="text1"/>
          <w14:textFill>
            <w14:solidFill>
              <w14:schemeClr w14:val="tx1"/>
            </w14:solidFill>
          </w14:textFill>
        </w:rPr>
        <w:br w:type="textWrapping"/>
      </w:r>
      <w:r>
        <w:rPr>
          <w:rFonts w:hint="eastAsia" w:ascii="楷体_GB2312" w:eastAsia="楷体_GB2312"/>
          <w:color w:val="000000" w:themeColor="text1"/>
          <w:sz w:val="22"/>
          <w14:textFill>
            <w14:solidFill>
              <w14:schemeClr w14:val="tx1"/>
            </w14:solidFill>
          </w14:textFill>
        </w:rPr>
        <w:t>工信部联企业〔2011〕300号</w:t>
      </w:r>
    </w:p>
    <w:p w14:paraId="6730A8F5">
      <w:pPr>
        <w:pStyle w:val="41"/>
        <w:spacing w:line="432" w:lineRule="auto"/>
        <w:ind w:firstLine="560"/>
        <w:rPr>
          <w:rFonts w:ascii="仿宋_GB2312"/>
          <w:color w:val="000000" w:themeColor="text1"/>
          <w:sz w:val="28"/>
          <w:szCs w:val="28"/>
          <w14:textFill>
            <w14:solidFill>
              <w14:schemeClr w14:val="tx1"/>
            </w14:solidFill>
          </w14:textFill>
        </w:rPr>
      </w:pPr>
      <w:r>
        <w:rPr>
          <w:rFonts w:hint="eastAsia" w:ascii="仿宋_GB2312"/>
          <w:color w:val="000000" w:themeColor="text1"/>
          <w:sz w:val="28"/>
          <w:szCs w:val="28"/>
          <w14:textFill>
            <w14:solidFill>
              <w14:schemeClr w14:val="tx1"/>
            </w14:solidFill>
          </w14:textFill>
        </w:rPr>
        <w:t>各省、自治区、直辖市人民政府，国务院各部委、各直属机构及有关单位：</w:t>
      </w:r>
      <w:r>
        <w:rPr>
          <w:rFonts w:hint="eastAsia" w:ascii="仿宋_GB2312"/>
          <w:color w:val="000000" w:themeColor="text1"/>
          <w:sz w:val="28"/>
          <w:szCs w:val="28"/>
          <w14:textFill>
            <w14:solidFill>
              <w14:schemeClr w14:val="tx1"/>
            </w14:solidFill>
          </w14:textFill>
        </w:rPr>
        <w:br w:type="textWrapping"/>
      </w:r>
      <w:r>
        <w:rPr>
          <w:rFonts w:hint="eastAsia" w:ascii="仿宋_GB2312"/>
          <w:color w:val="000000" w:themeColor="text1"/>
          <w:sz w:val="28"/>
          <w:szCs w:val="28"/>
          <w14:textFill>
            <w14:solidFill>
              <w14:schemeClr w14:val="tx1"/>
            </w14:solidFill>
          </w14:textFill>
        </w:rPr>
        <w:t>　　为贯彻落实《中华人民共和国中小企业促进法》和《国务院关于进一步促进中小企业发展的若干意见》（国发〔2009〕36号），工业和信息化部、国家统计局、发展改革委、财政部研究制定了《中小企业划型标准规定》。经国务院同意，现印发给你们，请遵照执行。</w:t>
      </w:r>
    </w:p>
    <w:p w14:paraId="215A608D">
      <w:pPr>
        <w:pStyle w:val="41"/>
        <w:spacing w:line="432" w:lineRule="auto"/>
        <w:ind w:firstLine="560"/>
        <w:jc w:val="right"/>
        <w:rPr>
          <w:rFonts w:ascii="仿宋_GB2312"/>
          <w:color w:val="000000" w:themeColor="text1"/>
          <w:sz w:val="28"/>
          <w:szCs w:val="28"/>
          <w14:textFill>
            <w14:solidFill>
              <w14:schemeClr w14:val="tx1"/>
            </w14:solidFill>
          </w14:textFill>
        </w:rPr>
      </w:pPr>
      <w:r>
        <w:rPr>
          <w:rFonts w:hint="eastAsia" w:ascii="仿宋_GB2312"/>
          <w:color w:val="000000" w:themeColor="text1"/>
          <w:sz w:val="28"/>
          <w:szCs w:val="28"/>
          <w14:textFill>
            <w14:solidFill>
              <w14:schemeClr w14:val="tx1"/>
            </w14:solidFill>
          </w14:textFill>
        </w:rPr>
        <w:br w:type="textWrapping"/>
      </w:r>
      <w:r>
        <w:rPr>
          <w:rFonts w:hint="eastAsia" w:ascii="仿宋_GB2312"/>
          <w:color w:val="000000" w:themeColor="text1"/>
          <w:sz w:val="28"/>
          <w:szCs w:val="28"/>
          <w14:textFill>
            <w14:solidFill>
              <w14:schemeClr w14:val="tx1"/>
            </w14:solidFill>
          </w14:textFill>
        </w:rPr>
        <w:t>　　　　　　　　　　工业和信息化部　国家统计局</w:t>
      </w:r>
    </w:p>
    <w:p w14:paraId="608A1E27">
      <w:pPr>
        <w:pStyle w:val="41"/>
        <w:spacing w:line="432" w:lineRule="auto"/>
        <w:ind w:firstLine="560"/>
        <w:jc w:val="right"/>
        <w:rPr>
          <w:rFonts w:ascii="仿宋_GB2312"/>
          <w:color w:val="000000" w:themeColor="text1"/>
          <w:sz w:val="28"/>
          <w:szCs w:val="28"/>
          <w14:textFill>
            <w14:solidFill>
              <w14:schemeClr w14:val="tx1"/>
            </w14:solidFill>
          </w14:textFill>
        </w:rPr>
      </w:pPr>
      <w:r>
        <w:rPr>
          <w:rFonts w:hint="eastAsia" w:ascii="仿宋_GB2312"/>
          <w:color w:val="000000" w:themeColor="text1"/>
          <w:sz w:val="28"/>
          <w:szCs w:val="28"/>
          <w14:textFill>
            <w14:solidFill>
              <w14:schemeClr w14:val="tx1"/>
            </w14:solidFill>
          </w14:textFill>
        </w:rPr>
        <w:t>国家发展和改革委员会　财政部</w:t>
      </w:r>
    </w:p>
    <w:p w14:paraId="6D03AF83">
      <w:pPr>
        <w:pStyle w:val="41"/>
        <w:spacing w:line="432" w:lineRule="auto"/>
        <w:ind w:firstLine="560"/>
        <w:jc w:val="right"/>
        <w:rPr>
          <w:rFonts w:ascii="仿宋_GB2312"/>
          <w:color w:val="000000" w:themeColor="text1"/>
          <w:sz w:val="28"/>
          <w:szCs w:val="28"/>
          <w14:textFill>
            <w14:solidFill>
              <w14:schemeClr w14:val="tx1"/>
            </w14:solidFill>
          </w14:textFill>
        </w:rPr>
      </w:pPr>
      <w:r>
        <w:rPr>
          <w:rFonts w:hint="eastAsia" w:ascii="仿宋_GB2312"/>
          <w:color w:val="000000" w:themeColor="text1"/>
          <w:sz w:val="28"/>
          <w:szCs w:val="28"/>
          <w14:textFill>
            <w14:solidFill>
              <w14:schemeClr w14:val="tx1"/>
            </w14:solidFill>
          </w14:textFill>
        </w:rPr>
        <w:t>二○一一年六月十八日</w:t>
      </w:r>
    </w:p>
    <w:p w14:paraId="339C21D7">
      <w:pPr>
        <w:pStyle w:val="41"/>
        <w:spacing w:line="432" w:lineRule="auto"/>
        <w:ind w:firstLine="560"/>
        <w:rPr>
          <w:rFonts w:ascii="仿宋_GB2312"/>
          <w:color w:val="000000" w:themeColor="text1"/>
          <w:sz w:val="28"/>
          <w:szCs w:val="28"/>
          <w14:textFill>
            <w14:solidFill>
              <w14:schemeClr w14:val="tx1"/>
            </w14:solidFill>
          </w14:textFill>
        </w:rPr>
      </w:pPr>
      <w:r>
        <w:rPr>
          <w:rFonts w:hint="eastAsia"/>
          <w:color w:val="000000" w:themeColor="text1"/>
          <w:sz w:val="28"/>
          <w:szCs w:val="28"/>
          <w14:textFill>
            <w14:solidFill>
              <w14:schemeClr w14:val="tx1"/>
            </w14:solidFill>
          </w14:textFill>
        </w:rPr>
        <w:t> </w:t>
      </w:r>
    </w:p>
    <w:p w14:paraId="632C1E73">
      <w:pPr>
        <w:pStyle w:val="41"/>
        <w:spacing w:line="432" w:lineRule="auto"/>
        <w:ind w:firstLine="720"/>
        <w:jc w:val="center"/>
        <w:rPr>
          <w:rFonts w:ascii="方正小标宋简体" w:eastAsia="方正小标宋简体"/>
          <w:b/>
          <w:color w:val="000000" w:themeColor="text1"/>
          <w:sz w:val="36"/>
          <w:szCs w:val="36"/>
          <w14:textFill>
            <w14:solidFill>
              <w14:schemeClr w14:val="tx1"/>
            </w14:solidFill>
          </w14:textFill>
        </w:rPr>
      </w:pPr>
      <w:r>
        <w:rPr>
          <w:rStyle w:val="48"/>
          <w:rFonts w:hint="eastAsia" w:ascii="方正小标宋简体" w:eastAsia="方正小标宋简体"/>
          <w:b w:val="0"/>
          <w:color w:val="000000" w:themeColor="text1"/>
          <w:sz w:val="36"/>
          <w:szCs w:val="36"/>
          <w14:textFill>
            <w14:solidFill>
              <w14:schemeClr w14:val="tx1"/>
            </w14:solidFill>
          </w14:textFill>
        </w:rPr>
        <w:t>中小企业划型标准规定</w:t>
      </w:r>
    </w:p>
    <w:p w14:paraId="52332CA3">
      <w:pPr>
        <w:pStyle w:val="41"/>
        <w:spacing w:line="432" w:lineRule="auto"/>
        <w:ind w:firstLine="560"/>
        <w:rPr>
          <w:rFonts w:ascii="仿宋_GB2312"/>
          <w:color w:val="000000" w:themeColor="text1"/>
          <w:sz w:val="28"/>
          <w:szCs w:val="28"/>
          <w14:textFill>
            <w14:solidFill>
              <w14:schemeClr w14:val="tx1"/>
            </w14:solidFill>
          </w14:textFill>
        </w:rPr>
      </w:pPr>
      <w:r>
        <w:rPr>
          <w:rFonts w:hint="eastAsia" w:ascii="仿宋_GB2312"/>
          <w:color w:val="000000" w:themeColor="text1"/>
          <w:sz w:val="28"/>
          <w:szCs w:val="28"/>
          <w14:textFill>
            <w14:solidFill>
              <w14:schemeClr w14:val="tx1"/>
            </w14:solidFill>
          </w14:textFill>
        </w:rPr>
        <w:t>　　 一、根据《中华人民共和国中小企业促进法》和《国务院关于进一步促进中小企业发展的若干意见》(国发〔2009〕36号)，制定本规定。　　</w:t>
      </w:r>
    </w:p>
    <w:p w14:paraId="45D7CD4B">
      <w:pPr>
        <w:pStyle w:val="41"/>
        <w:spacing w:line="432" w:lineRule="auto"/>
        <w:ind w:firstLine="700" w:firstLineChars="250"/>
        <w:rPr>
          <w:rFonts w:ascii="仿宋_GB2312"/>
          <w:color w:val="000000" w:themeColor="text1"/>
          <w:sz w:val="28"/>
          <w:szCs w:val="28"/>
          <w14:textFill>
            <w14:solidFill>
              <w14:schemeClr w14:val="tx1"/>
            </w14:solidFill>
          </w14:textFill>
        </w:rPr>
      </w:pPr>
      <w:r>
        <w:rPr>
          <w:rFonts w:hint="eastAsia" w:ascii="仿宋_GB2312"/>
          <w:color w:val="000000" w:themeColor="text1"/>
          <w:sz w:val="28"/>
          <w:szCs w:val="28"/>
          <w14:textFill>
            <w14:solidFill>
              <w14:schemeClr w14:val="tx1"/>
            </w14:solidFill>
          </w14:textFill>
        </w:rPr>
        <w:t>二、中小企业划分为中型、小型、微型三种类型，具体标准根据企业从业人员、营业收入、资产总额等指标，结合行业特点制定。　　</w:t>
      </w:r>
    </w:p>
    <w:p w14:paraId="36E9A521">
      <w:pPr>
        <w:pStyle w:val="41"/>
        <w:spacing w:line="432" w:lineRule="auto"/>
        <w:ind w:firstLine="700" w:firstLineChars="250"/>
        <w:rPr>
          <w:rFonts w:ascii="仿宋_GB2312"/>
          <w:color w:val="000000" w:themeColor="text1"/>
          <w:sz w:val="28"/>
          <w:szCs w:val="28"/>
          <w14:textFill>
            <w14:solidFill>
              <w14:schemeClr w14:val="tx1"/>
            </w14:solidFill>
          </w14:textFill>
        </w:rPr>
      </w:pPr>
      <w:r>
        <w:rPr>
          <w:rFonts w:hint="eastAsia" w:ascii="仿宋_GB2312"/>
          <w:color w:val="000000" w:themeColor="text1"/>
          <w:sz w:val="28"/>
          <w:szCs w:val="28"/>
          <w14:textFill>
            <w14:solidFill>
              <w14:schemeClr w14:val="tx1"/>
            </w14:solidFill>
          </w14:textFill>
        </w:rPr>
        <w:t>三、本规定适用的行业包括：农、林、牧、渔业，工业（包括采矿业，制造业，电力、热力、燃气及水生产和供应业），建筑业，批发业，零售业，交通运输业（不含铁路运输业），仓储业，邮政业，住宿业，餐饮业，信息传输业（包括电信、互联网和相关服务），软件和信息技术服务业，房地产开发经营，物业管理，租赁和商务服务业，其他未列明行业（包括科学研究和技术服务业，水利、环境和公共设施管理业，居民服务、修理和其他服务业，社会工作，文化、体育和娱乐业等）。　　</w:t>
      </w:r>
    </w:p>
    <w:p w14:paraId="20A79E1C">
      <w:pPr>
        <w:pStyle w:val="41"/>
        <w:spacing w:line="432" w:lineRule="auto"/>
        <w:ind w:firstLine="700" w:firstLineChars="250"/>
        <w:rPr>
          <w:rFonts w:ascii="仿宋_GB2312"/>
          <w:color w:val="000000" w:themeColor="text1"/>
          <w:sz w:val="28"/>
          <w:szCs w:val="28"/>
          <w14:textFill>
            <w14:solidFill>
              <w14:schemeClr w14:val="tx1"/>
            </w14:solidFill>
          </w14:textFill>
        </w:rPr>
      </w:pPr>
      <w:r>
        <w:rPr>
          <w:rFonts w:hint="eastAsia" w:ascii="仿宋_GB2312"/>
          <w:color w:val="000000" w:themeColor="text1"/>
          <w:sz w:val="28"/>
          <w:szCs w:val="28"/>
          <w14:textFill>
            <w14:solidFill>
              <w14:schemeClr w14:val="tx1"/>
            </w14:solidFill>
          </w14:textFill>
        </w:rPr>
        <w:t>四、各行业划型标准为：　　</w:t>
      </w:r>
    </w:p>
    <w:p w14:paraId="0E67A4CA">
      <w:pPr>
        <w:pStyle w:val="41"/>
        <w:spacing w:line="432" w:lineRule="auto"/>
        <w:ind w:firstLine="980" w:firstLineChars="350"/>
        <w:rPr>
          <w:rFonts w:ascii="仿宋_GB2312"/>
          <w:color w:val="000000" w:themeColor="text1"/>
          <w:sz w:val="28"/>
          <w:szCs w:val="28"/>
          <w14:textFill>
            <w14:solidFill>
              <w14:schemeClr w14:val="tx1"/>
            </w14:solidFill>
          </w14:textFill>
        </w:rPr>
      </w:pPr>
      <w:r>
        <w:rPr>
          <w:rFonts w:hint="eastAsia" w:ascii="仿宋_GB2312"/>
          <w:color w:val="000000" w:themeColor="text1"/>
          <w:sz w:val="28"/>
          <w:szCs w:val="28"/>
          <w14:textFill>
            <w14:solidFill>
              <w14:schemeClr w14:val="tx1"/>
            </w14:solidFill>
          </w14:textFill>
        </w:rPr>
        <w:t>（一）农、林、牧、渔业。营业收入20000万元以下的为中小微型企业。其中，营业收入500万元及以上的为中型企业，营业收入50万元及以上的为小型企业，营业收入50万元以下的为微型企业。　　</w:t>
      </w:r>
    </w:p>
    <w:p w14:paraId="1FBF212F">
      <w:pPr>
        <w:pStyle w:val="41"/>
        <w:spacing w:line="432" w:lineRule="auto"/>
        <w:ind w:firstLine="980" w:firstLineChars="350"/>
        <w:rPr>
          <w:rFonts w:ascii="仿宋_GB2312"/>
          <w:color w:val="000000" w:themeColor="text1"/>
          <w:sz w:val="28"/>
          <w:szCs w:val="28"/>
          <w14:textFill>
            <w14:solidFill>
              <w14:schemeClr w14:val="tx1"/>
            </w14:solidFill>
          </w14:textFill>
        </w:rPr>
      </w:pPr>
      <w:r>
        <w:rPr>
          <w:rFonts w:hint="eastAsia" w:ascii="仿宋_GB2312"/>
          <w:color w:val="000000" w:themeColor="text1"/>
          <w:sz w:val="28"/>
          <w:szCs w:val="28"/>
          <w14:textFill>
            <w14:solidFill>
              <w14:schemeClr w14:val="tx1"/>
            </w14:solidFill>
          </w14:textFill>
        </w:rPr>
        <w:t>（二）工业。从业人员1000人以下或营业收入40000万元以下的为中小微型企业。其中，从业人员300人及以上，且营业收入2000万元及以上的为中型企业；从业人员20人及以上，且营业收入300万元及以上的为小型企业；从业人员20人以下或营业收入300万元以下的为微型企业。　　</w:t>
      </w:r>
    </w:p>
    <w:p w14:paraId="1FE32111">
      <w:pPr>
        <w:pStyle w:val="41"/>
        <w:spacing w:line="432" w:lineRule="auto"/>
        <w:ind w:firstLine="980" w:firstLineChars="350"/>
        <w:rPr>
          <w:rFonts w:ascii="仿宋_GB2312"/>
          <w:color w:val="000000" w:themeColor="text1"/>
          <w:sz w:val="28"/>
          <w:szCs w:val="28"/>
          <w14:textFill>
            <w14:solidFill>
              <w14:schemeClr w14:val="tx1"/>
            </w14:solidFill>
          </w14:textFill>
        </w:rPr>
      </w:pPr>
      <w:r>
        <w:rPr>
          <w:rFonts w:hint="eastAsia" w:ascii="仿宋_GB2312"/>
          <w:color w:val="000000" w:themeColor="text1"/>
          <w:sz w:val="28"/>
          <w:szCs w:val="28"/>
          <w14:textFill>
            <w14:solidFill>
              <w14:schemeClr w14:val="tx1"/>
            </w14:solidFill>
          </w14:textFill>
        </w:rPr>
        <w:t>（三）建筑业。营业收入80000万元以下或资产总额80000万元以下的为中小微型企业。其中，营业收入6000万元及以上，且资产总额5000万元及以上的为中型企业；营业收入300万元及以上，且资产总额300万元及以上的为小型企业；营业收入300万元以下或资产总额300万元以下的为微型企业。　　</w:t>
      </w:r>
    </w:p>
    <w:p w14:paraId="3FEBDCD5">
      <w:pPr>
        <w:pStyle w:val="41"/>
        <w:spacing w:line="432" w:lineRule="auto"/>
        <w:ind w:firstLine="980" w:firstLineChars="350"/>
        <w:rPr>
          <w:rFonts w:ascii="仿宋_GB2312"/>
          <w:color w:val="000000" w:themeColor="text1"/>
          <w:sz w:val="28"/>
          <w:szCs w:val="28"/>
          <w14:textFill>
            <w14:solidFill>
              <w14:schemeClr w14:val="tx1"/>
            </w14:solidFill>
          </w14:textFill>
        </w:rPr>
      </w:pPr>
      <w:r>
        <w:rPr>
          <w:rFonts w:hint="eastAsia" w:ascii="仿宋_GB2312"/>
          <w:color w:val="000000" w:themeColor="text1"/>
          <w:sz w:val="28"/>
          <w:szCs w:val="28"/>
          <w14:textFill>
            <w14:solidFill>
              <w14:schemeClr w14:val="tx1"/>
            </w14:solidFill>
          </w14:textFill>
        </w:rPr>
        <w:t>（四）批发业。从业人员200人以下或营业收入40000万元以下的为中小微型企业。其中，从业人员20人及以上，且营业收入5000万元及以上的为中型企业；从业人员5人及以上，且营业收入1000万元及以上的为小型企业；从业人员5人以下或营业收入1000万元以下的为微型企业。　　</w:t>
      </w:r>
    </w:p>
    <w:p w14:paraId="68B6674E">
      <w:pPr>
        <w:pStyle w:val="41"/>
        <w:spacing w:line="432" w:lineRule="auto"/>
        <w:ind w:firstLine="980" w:firstLineChars="350"/>
        <w:rPr>
          <w:rFonts w:ascii="仿宋_GB2312"/>
          <w:color w:val="000000" w:themeColor="text1"/>
          <w:sz w:val="28"/>
          <w:szCs w:val="28"/>
          <w14:textFill>
            <w14:solidFill>
              <w14:schemeClr w14:val="tx1"/>
            </w14:solidFill>
          </w14:textFill>
        </w:rPr>
      </w:pPr>
      <w:r>
        <w:rPr>
          <w:rFonts w:hint="eastAsia" w:ascii="仿宋_GB2312"/>
          <w:color w:val="000000" w:themeColor="text1"/>
          <w:sz w:val="28"/>
          <w:szCs w:val="28"/>
          <w14:textFill>
            <w14:solidFill>
              <w14:schemeClr w14:val="tx1"/>
            </w14:solidFill>
          </w14:textFill>
        </w:rPr>
        <w:t>（五）零售业。从业人员300人以下或营业收入20000万元以下的为中小微型企业。其中，从业人员50人及以上，且营业收入500万元及以上的为中型企业；从业人员10人及以上，且营业收入100万元及以上的为小型企业；从业人员10人以下或营业收入100万元以下的为微型企业。　　</w:t>
      </w:r>
    </w:p>
    <w:p w14:paraId="16134445">
      <w:pPr>
        <w:pStyle w:val="41"/>
        <w:spacing w:line="432" w:lineRule="auto"/>
        <w:ind w:firstLine="980" w:firstLineChars="350"/>
        <w:rPr>
          <w:rFonts w:ascii="仿宋_GB2312"/>
          <w:color w:val="000000" w:themeColor="text1"/>
          <w:sz w:val="28"/>
          <w:szCs w:val="28"/>
          <w14:textFill>
            <w14:solidFill>
              <w14:schemeClr w14:val="tx1"/>
            </w14:solidFill>
          </w14:textFill>
        </w:rPr>
      </w:pPr>
      <w:r>
        <w:rPr>
          <w:rFonts w:hint="eastAsia" w:ascii="仿宋_GB2312"/>
          <w:color w:val="000000" w:themeColor="text1"/>
          <w:sz w:val="28"/>
          <w:szCs w:val="28"/>
          <w14:textFill>
            <w14:solidFill>
              <w14:schemeClr w14:val="tx1"/>
            </w14:solidFill>
          </w14:textFill>
        </w:rPr>
        <w:t>（六）交通运输业。从业人员1000人以下或营业收入17000万元以下的为中小微型企业。其中，从业人员300人及以上，且营业收入3000万元及以上的为中型企业；从业人员20人及以上，且营业收入200万元及以上的为小型企业；从业人员20人以下或营业收入200万元以下的为微型企业。　　</w:t>
      </w:r>
    </w:p>
    <w:p w14:paraId="357CD83A">
      <w:pPr>
        <w:pStyle w:val="41"/>
        <w:spacing w:line="432" w:lineRule="auto"/>
        <w:ind w:firstLine="980" w:firstLineChars="350"/>
        <w:rPr>
          <w:rFonts w:ascii="仿宋_GB2312"/>
          <w:color w:val="000000" w:themeColor="text1"/>
          <w:sz w:val="28"/>
          <w:szCs w:val="28"/>
          <w14:textFill>
            <w14:solidFill>
              <w14:schemeClr w14:val="tx1"/>
            </w14:solidFill>
          </w14:textFill>
        </w:rPr>
      </w:pPr>
      <w:r>
        <w:rPr>
          <w:rFonts w:hint="eastAsia" w:ascii="仿宋_GB2312"/>
          <w:color w:val="000000" w:themeColor="text1"/>
          <w:sz w:val="28"/>
          <w:szCs w:val="28"/>
          <w14:textFill>
            <w14:solidFill>
              <w14:schemeClr w14:val="tx1"/>
            </w14:solidFill>
          </w14:textFill>
        </w:rPr>
        <w:t>（七）仓储业。从业人员200人以下或营业收入17000万元以下的为中小微型企业。其中，从业人员100人及以上，且营业收入1000万元及以上的为中型企业；从业人员20人及以上，且营业收入100万元及以上的为小型企业；从业人员20人以下或营业收入100万元以下的为微型企业。　　</w:t>
      </w:r>
    </w:p>
    <w:p w14:paraId="5B016A1F">
      <w:pPr>
        <w:pStyle w:val="41"/>
        <w:spacing w:line="432" w:lineRule="auto"/>
        <w:ind w:firstLine="980" w:firstLineChars="350"/>
        <w:rPr>
          <w:rFonts w:ascii="仿宋_GB2312"/>
          <w:color w:val="000000" w:themeColor="text1"/>
          <w:sz w:val="28"/>
          <w:szCs w:val="28"/>
          <w14:textFill>
            <w14:solidFill>
              <w14:schemeClr w14:val="tx1"/>
            </w14:solidFill>
          </w14:textFill>
        </w:rPr>
      </w:pPr>
      <w:r>
        <w:rPr>
          <w:rFonts w:hint="eastAsia" w:ascii="仿宋_GB2312"/>
          <w:color w:val="000000" w:themeColor="text1"/>
          <w:sz w:val="28"/>
          <w:szCs w:val="28"/>
          <w14:textFill>
            <w14:solidFill>
              <w14:schemeClr w14:val="tx1"/>
            </w14:solidFill>
          </w14:textFill>
        </w:rPr>
        <w:t>（八）邮政业。从业人员1000人以下或营业收入17000万元以下的为中小微型企业。其中，从业人员300人及以上，且营业收入2000万元及以上的为中型企业；从业人员20人及以上，且营业收入100万元及以上的为小型企业；从业人员20人以下或营业收入100万元以下的为微型企业。　　</w:t>
      </w:r>
    </w:p>
    <w:p w14:paraId="7801D036">
      <w:pPr>
        <w:pStyle w:val="41"/>
        <w:spacing w:line="432" w:lineRule="auto"/>
        <w:ind w:firstLine="980" w:firstLineChars="350"/>
        <w:rPr>
          <w:rFonts w:ascii="仿宋_GB2312"/>
          <w:color w:val="000000" w:themeColor="text1"/>
          <w:sz w:val="28"/>
          <w:szCs w:val="28"/>
          <w14:textFill>
            <w14:solidFill>
              <w14:schemeClr w14:val="tx1"/>
            </w14:solidFill>
          </w14:textFill>
        </w:rPr>
      </w:pPr>
      <w:r>
        <w:rPr>
          <w:rFonts w:hint="eastAsia" w:ascii="仿宋_GB2312"/>
          <w:color w:val="000000" w:themeColor="text1"/>
          <w:sz w:val="28"/>
          <w:szCs w:val="28"/>
          <w14:textFill>
            <w14:solidFill>
              <w14:schemeClr w14:val="tx1"/>
            </w14:solidFill>
          </w14:textFill>
        </w:rPr>
        <w:t>（九）住宿业。从业人员300人以下或营业收入10000万元以下的为中小微型企业。其中，从业人员100人及以上，且营业收入2000万元及以上的为中型企业；从业人员10人及以上，且营业收入100万元及以上的为小型企业；从业人员10人以下或营业收入100万元以下的为微型企业。　　</w:t>
      </w:r>
    </w:p>
    <w:p w14:paraId="6E0DBDA8">
      <w:pPr>
        <w:pStyle w:val="41"/>
        <w:spacing w:line="432" w:lineRule="auto"/>
        <w:ind w:firstLine="980" w:firstLineChars="350"/>
        <w:rPr>
          <w:rFonts w:ascii="仿宋_GB2312"/>
          <w:color w:val="000000" w:themeColor="text1"/>
          <w:sz w:val="28"/>
          <w:szCs w:val="28"/>
          <w14:textFill>
            <w14:solidFill>
              <w14:schemeClr w14:val="tx1"/>
            </w14:solidFill>
          </w14:textFill>
        </w:rPr>
      </w:pPr>
      <w:r>
        <w:rPr>
          <w:rFonts w:hint="eastAsia" w:ascii="仿宋_GB2312"/>
          <w:color w:val="000000" w:themeColor="text1"/>
          <w:sz w:val="28"/>
          <w:szCs w:val="28"/>
          <w14:textFill>
            <w14:solidFill>
              <w14:schemeClr w14:val="tx1"/>
            </w14:solidFill>
          </w14:textFill>
        </w:rPr>
        <w:t>（十）餐饮业。从业人员300人以下或营业收入10000万元以下的为中小微型企业。其中，从业人员100人及以上，且营业收入2000万元及以上的为中型企业；从业人员10人及以上，且营业收入100万元及以上的为小型企业；从业人员10人以下或营业收入100万元以下的为微型企业。　　</w:t>
      </w:r>
    </w:p>
    <w:p w14:paraId="4A30FAA4">
      <w:pPr>
        <w:pStyle w:val="41"/>
        <w:spacing w:line="432" w:lineRule="auto"/>
        <w:ind w:firstLine="980" w:firstLineChars="350"/>
        <w:rPr>
          <w:rFonts w:ascii="仿宋_GB2312"/>
          <w:color w:val="000000" w:themeColor="text1"/>
          <w:sz w:val="28"/>
          <w:szCs w:val="28"/>
          <w14:textFill>
            <w14:solidFill>
              <w14:schemeClr w14:val="tx1"/>
            </w14:solidFill>
          </w14:textFill>
        </w:rPr>
      </w:pPr>
      <w:r>
        <w:rPr>
          <w:rFonts w:hint="eastAsia" w:ascii="仿宋_GB2312"/>
          <w:color w:val="000000" w:themeColor="text1"/>
          <w:sz w:val="28"/>
          <w:szCs w:val="28"/>
          <w14:textFill>
            <w14:solidFill>
              <w14:schemeClr w14:val="tx1"/>
            </w14:solidFill>
          </w14:textFill>
        </w:rPr>
        <w:t>（十一）信息传输业。从业人员2000人以下或营业收入100000万元以下的为中小微型企业。其中，从业人员100人及以上，且营业收入1000万元及以上的为中型企业；从业人员10人及以上，且营业收入100万元及以上的为小型企业；从业人员10人以下或营业收入100万元以下的为微型企业。　　</w:t>
      </w:r>
    </w:p>
    <w:p w14:paraId="7712CDF7">
      <w:pPr>
        <w:pStyle w:val="41"/>
        <w:spacing w:line="432" w:lineRule="auto"/>
        <w:ind w:firstLine="980" w:firstLineChars="350"/>
        <w:rPr>
          <w:rFonts w:ascii="仿宋_GB2312"/>
          <w:color w:val="000000" w:themeColor="text1"/>
          <w:sz w:val="28"/>
          <w:szCs w:val="28"/>
          <w14:textFill>
            <w14:solidFill>
              <w14:schemeClr w14:val="tx1"/>
            </w14:solidFill>
          </w14:textFill>
        </w:rPr>
      </w:pPr>
      <w:r>
        <w:rPr>
          <w:rFonts w:hint="eastAsia" w:ascii="仿宋_GB2312"/>
          <w:color w:val="000000" w:themeColor="text1"/>
          <w:sz w:val="28"/>
          <w:szCs w:val="28"/>
          <w14:textFill>
            <w14:solidFill>
              <w14:schemeClr w14:val="tx1"/>
            </w14:solidFill>
          </w14:textFill>
        </w:rPr>
        <w:t>（十二）软件和信息技术服务业。从业人员300人以下或营业收入10000万元以下的为中小微型企业。其中，从业人员100人及以上，且营业收入1000万元及以上的为中型企业；从业人员10人及以上，且营业收入50万元及以上的为小型企业；从业人员10人以下或营业收入50万元以下的为微型企业。　</w:t>
      </w:r>
    </w:p>
    <w:p w14:paraId="75D7AADB">
      <w:pPr>
        <w:pStyle w:val="41"/>
        <w:spacing w:line="432" w:lineRule="auto"/>
        <w:ind w:firstLine="560"/>
        <w:rPr>
          <w:rFonts w:ascii="仿宋_GB2312"/>
          <w:color w:val="000000" w:themeColor="text1"/>
          <w:sz w:val="28"/>
          <w:szCs w:val="28"/>
          <w14:textFill>
            <w14:solidFill>
              <w14:schemeClr w14:val="tx1"/>
            </w14:solidFill>
          </w14:textFill>
        </w:rPr>
      </w:pPr>
      <w:r>
        <w:rPr>
          <w:rFonts w:hint="eastAsia" w:ascii="仿宋_GB2312"/>
          <w:color w:val="000000" w:themeColor="text1"/>
          <w:sz w:val="28"/>
          <w:szCs w:val="28"/>
          <w14:textFill>
            <w14:solidFill>
              <w14:schemeClr w14:val="tx1"/>
            </w14:solidFill>
          </w14:textFill>
        </w:rPr>
        <w:t>　（十三）房地产开发经营。营业收入200000万元以下或资产总额10000万元以下的为中小微型企业。其中，营业收入1000万元及以上，且资产总额5000万元及以上的为中型企业；营业收入100万元及以上，且资产总额2000万元及以上的为小型企业；营业收入100万元以下或资产总额2000万元以下的为微型企业。　　</w:t>
      </w:r>
    </w:p>
    <w:p w14:paraId="5E486EB3">
      <w:pPr>
        <w:pStyle w:val="41"/>
        <w:spacing w:line="432" w:lineRule="auto"/>
        <w:ind w:firstLine="700" w:firstLineChars="250"/>
        <w:rPr>
          <w:rFonts w:ascii="仿宋_GB2312"/>
          <w:color w:val="000000" w:themeColor="text1"/>
          <w:sz w:val="28"/>
          <w:szCs w:val="28"/>
          <w14:textFill>
            <w14:solidFill>
              <w14:schemeClr w14:val="tx1"/>
            </w14:solidFill>
          </w14:textFill>
        </w:rPr>
      </w:pPr>
      <w:r>
        <w:rPr>
          <w:rFonts w:hint="eastAsia" w:ascii="仿宋_GB2312"/>
          <w:color w:val="000000" w:themeColor="text1"/>
          <w:sz w:val="28"/>
          <w:szCs w:val="28"/>
          <w14:textFill>
            <w14:solidFill>
              <w14:schemeClr w14:val="tx1"/>
            </w14:solidFill>
          </w14:textFill>
        </w:rPr>
        <w:t>（十四）物业管理。从业人员1000人以下或营业收入5000万元以下的为中小微型企业。其中，从业人员300人及以上，且营业收入1000万元及以上的为中型企业；从业人员100人及以上，且营业收入500万元及以上的为小型企业；从业人员100人以下或营业收入500万元以下的为微型企业。　　</w:t>
      </w:r>
    </w:p>
    <w:p w14:paraId="2877E2F7">
      <w:pPr>
        <w:pStyle w:val="41"/>
        <w:spacing w:line="432" w:lineRule="auto"/>
        <w:ind w:firstLine="700" w:firstLineChars="250"/>
        <w:rPr>
          <w:rFonts w:ascii="仿宋_GB2312"/>
          <w:color w:val="000000" w:themeColor="text1"/>
          <w:sz w:val="28"/>
          <w:szCs w:val="28"/>
          <w14:textFill>
            <w14:solidFill>
              <w14:schemeClr w14:val="tx1"/>
            </w14:solidFill>
          </w14:textFill>
        </w:rPr>
      </w:pPr>
      <w:r>
        <w:rPr>
          <w:rFonts w:hint="eastAsia" w:ascii="仿宋_GB2312"/>
          <w:color w:val="000000" w:themeColor="text1"/>
          <w:sz w:val="28"/>
          <w:szCs w:val="28"/>
          <w14:textFill>
            <w14:solidFill>
              <w14:schemeClr w14:val="tx1"/>
            </w14:solidFill>
          </w14:textFill>
        </w:rPr>
        <w:t>（十五）租赁和商务服务业。从业人员300人以下或资产总额120000万元以下的为中小微型企业。其中，从业人员100人及以上，且资产总额8000万元及以上的为中型企业；从业人员10人及以上，且资产总额100万元及以上的为小型企业；从业人员10人以下或资产总额100万元以下的为微型企业。　</w:t>
      </w:r>
    </w:p>
    <w:p w14:paraId="7EDC286F">
      <w:pPr>
        <w:pStyle w:val="41"/>
        <w:spacing w:line="432" w:lineRule="auto"/>
        <w:ind w:firstLine="700" w:firstLineChars="250"/>
        <w:rPr>
          <w:rFonts w:ascii="仿宋_GB2312"/>
          <w:color w:val="000000" w:themeColor="text1"/>
          <w:sz w:val="28"/>
          <w:szCs w:val="28"/>
          <w14:textFill>
            <w14:solidFill>
              <w14:schemeClr w14:val="tx1"/>
            </w14:solidFill>
          </w14:textFill>
        </w:rPr>
      </w:pPr>
      <w:r>
        <w:rPr>
          <w:rFonts w:hint="eastAsia" w:ascii="仿宋_GB2312"/>
          <w:color w:val="000000" w:themeColor="text1"/>
          <w:sz w:val="28"/>
          <w:szCs w:val="28"/>
          <w14:textFill>
            <w14:solidFill>
              <w14:schemeClr w14:val="tx1"/>
            </w14:solidFill>
          </w14:textFill>
        </w:rPr>
        <w:t>（十六）其他未列明行业。从业人员300人以下的为中小微型企业。其中，从业人员100人及以上的为中型企业；从业人员10人及以上的为小型企业；从业人员10人以下的为微型企业。　　</w:t>
      </w:r>
    </w:p>
    <w:p w14:paraId="632C52D6">
      <w:pPr>
        <w:pStyle w:val="41"/>
        <w:spacing w:line="432" w:lineRule="auto"/>
        <w:ind w:firstLine="420" w:firstLineChars="150"/>
        <w:rPr>
          <w:rFonts w:ascii="仿宋_GB2312"/>
          <w:color w:val="000000" w:themeColor="text1"/>
          <w:sz w:val="28"/>
          <w:szCs w:val="28"/>
          <w14:textFill>
            <w14:solidFill>
              <w14:schemeClr w14:val="tx1"/>
            </w14:solidFill>
          </w14:textFill>
        </w:rPr>
      </w:pPr>
      <w:r>
        <w:rPr>
          <w:rFonts w:hint="eastAsia" w:ascii="仿宋_GB2312"/>
          <w:color w:val="000000" w:themeColor="text1"/>
          <w:sz w:val="28"/>
          <w:szCs w:val="28"/>
          <w14:textFill>
            <w14:solidFill>
              <w14:schemeClr w14:val="tx1"/>
            </w14:solidFill>
          </w14:textFill>
        </w:rPr>
        <w:t>五、企业类型的划分以统计部门的统计数据为依据。　　</w:t>
      </w:r>
    </w:p>
    <w:p w14:paraId="5A7314C5">
      <w:pPr>
        <w:pStyle w:val="41"/>
        <w:spacing w:line="432" w:lineRule="auto"/>
        <w:ind w:firstLine="420" w:firstLineChars="150"/>
        <w:rPr>
          <w:rFonts w:ascii="仿宋_GB2312"/>
          <w:color w:val="000000" w:themeColor="text1"/>
          <w:sz w:val="28"/>
          <w:szCs w:val="28"/>
          <w14:textFill>
            <w14:solidFill>
              <w14:schemeClr w14:val="tx1"/>
            </w14:solidFill>
          </w14:textFill>
        </w:rPr>
      </w:pPr>
      <w:r>
        <w:rPr>
          <w:rFonts w:hint="eastAsia" w:ascii="仿宋_GB2312"/>
          <w:color w:val="000000" w:themeColor="text1"/>
          <w:sz w:val="28"/>
          <w:szCs w:val="28"/>
          <w14:textFill>
            <w14:solidFill>
              <w14:schemeClr w14:val="tx1"/>
            </w14:solidFill>
          </w14:textFill>
        </w:rPr>
        <w:t>六、本规定适用于在中华人民共和国境内依法设立的各类所有制和各种组织形式的企业。个体工商户和本规定以外的行业，参照本规定进行划型。　　</w:t>
      </w:r>
    </w:p>
    <w:p w14:paraId="328699FF">
      <w:pPr>
        <w:pStyle w:val="41"/>
        <w:spacing w:line="432" w:lineRule="auto"/>
        <w:ind w:firstLine="420" w:firstLineChars="150"/>
        <w:rPr>
          <w:rFonts w:ascii="仿宋_GB2312"/>
          <w:color w:val="000000" w:themeColor="text1"/>
          <w:sz w:val="28"/>
          <w:szCs w:val="28"/>
          <w14:textFill>
            <w14:solidFill>
              <w14:schemeClr w14:val="tx1"/>
            </w14:solidFill>
          </w14:textFill>
        </w:rPr>
      </w:pPr>
      <w:r>
        <w:rPr>
          <w:rFonts w:hint="eastAsia" w:ascii="仿宋_GB2312"/>
          <w:color w:val="000000" w:themeColor="text1"/>
          <w:sz w:val="28"/>
          <w:szCs w:val="28"/>
          <w14:textFill>
            <w14:solidFill>
              <w14:schemeClr w14:val="tx1"/>
            </w14:solidFill>
          </w14:textFill>
        </w:rPr>
        <w:t>七、本规定的中型企业标准上限即为大型企业标准的下限，国家统计部门据此制定大中小微型企业的统计分类。国务院有关部门据此进行相关数据分析，不得制定与本规定不一致的企业划型标准。　　</w:t>
      </w:r>
    </w:p>
    <w:p w14:paraId="5E12129E">
      <w:pPr>
        <w:pStyle w:val="41"/>
        <w:spacing w:line="432" w:lineRule="auto"/>
        <w:ind w:firstLine="420" w:firstLineChars="150"/>
        <w:rPr>
          <w:rFonts w:ascii="仿宋_GB2312"/>
          <w:color w:val="000000" w:themeColor="text1"/>
          <w:sz w:val="28"/>
          <w:szCs w:val="28"/>
          <w14:textFill>
            <w14:solidFill>
              <w14:schemeClr w14:val="tx1"/>
            </w14:solidFill>
          </w14:textFill>
        </w:rPr>
      </w:pPr>
      <w:r>
        <w:rPr>
          <w:rFonts w:hint="eastAsia" w:ascii="仿宋_GB2312"/>
          <w:color w:val="000000" w:themeColor="text1"/>
          <w:sz w:val="28"/>
          <w:szCs w:val="28"/>
          <w14:textFill>
            <w14:solidFill>
              <w14:schemeClr w14:val="tx1"/>
            </w14:solidFill>
          </w14:textFill>
        </w:rPr>
        <w:t>八、本规定由工业和信息化部、国家统计局会同有关部门根据《国民经济行业分类》修订情况和企业发展变化情况适时修订。　　</w:t>
      </w:r>
    </w:p>
    <w:p w14:paraId="3F92454A">
      <w:pPr>
        <w:pStyle w:val="41"/>
        <w:spacing w:line="432" w:lineRule="auto"/>
        <w:ind w:firstLine="420" w:firstLineChars="150"/>
        <w:rPr>
          <w:rFonts w:ascii="仿宋_GB2312"/>
          <w:color w:val="000000" w:themeColor="text1"/>
          <w:sz w:val="28"/>
          <w:szCs w:val="28"/>
          <w14:textFill>
            <w14:solidFill>
              <w14:schemeClr w14:val="tx1"/>
            </w14:solidFill>
          </w14:textFill>
        </w:rPr>
      </w:pPr>
      <w:r>
        <w:rPr>
          <w:rFonts w:hint="eastAsia" w:ascii="仿宋_GB2312"/>
          <w:color w:val="000000" w:themeColor="text1"/>
          <w:sz w:val="28"/>
          <w:szCs w:val="28"/>
          <w14:textFill>
            <w14:solidFill>
              <w14:schemeClr w14:val="tx1"/>
            </w14:solidFill>
          </w14:textFill>
        </w:rPr>
        <w:t>九、本规定由工业和信息化部、国家统计局会同有关部门负责解释。　　</w:t>
      </w:r>
    </w:p>
    <w:p w14:paraId="64008B89">
      <w:pPr>
        <w:pStyle w:val="41"/>
        <w:spacing w:line="432" w:lineRule="auto"/>
        <w:ind w:firstLine="420" w:firstLineChars="150"/>
        <w:rPr>
          <w:rFonts w:eastAsia="黑体"/>
          <w:color w:val="000000" w:themeColor="text1"/>
          <w:sz w:val="32"/>
          <w:szCs w:val="32"/>
          <w14:textFill>
            <w14:solidFill>
              <w14:schemeClr w14:val="tx1"/>
            </w14:solidFill>
          </w14:textFill>
        </w:rPr>
      </w:pPr>
      <w:r>
        <w:rPr>
          <w:rFonts w:hint="eastAsia" w:ascii="仿宋_GB2312"/>
          <w:color w:val="000000" w:themeColor="text1"/>
          <w:sz w:val="28"/>
          <w:szCs w:val="28"/>
          <w14:textFill>
            <w14:solidFill>
              <w14:schemeClr w14:val="tx1"/>
            </w14:solidFill>
          </w14:textFill>
        </w:rPr>
        <w:t>十、本规定自发布之日起执行，原国家经贸委、原国家计委、财政部和国家统计局2003年颁布的《中小企业标准暂行规定》同时废止。</w:t>
      </w:r>
    </w:p>
    <w:p w14:paraId="3051FC9B">
      <w:pPr>
        <w:widowControl/>
        <w:spacing w:line="240" w:lineRule="auto"/>
        <w:ind w:firstLine="0" w:firstLineChars="0"/>
        <w:jc w:val="left"/>
        <w:rPr>
          <w:rFonts w:eastAsia="黑体"/>
          <w:color w:val="000000" w:themeColor="text1"/>
          <w:sz w:val="32"/>
          <w:szCs w:val="32"/>
          <w14:textFill>
            <w14:solidFill>
              <w14:schemeClr w14:val="tx1"/>
            </w14:solidFill>
          </w14:textFill>
        </w:rPr>
      </w:pPr>
      <w:r>
        <w:rPr>
          <w:rFonts w:eastAsia="黑体"/>
          <w:color w:val="000000" w:themeColor="text1"/>
          <w:sz w:val="32"/>
          <w:szCs w:val="32"/>
          <w14:textFill>
            <w14:solidFill>
              <w14:schemeClr w14:val="tx1"/>
            </w14:solidFill>
          </w14:textFill>
        </w:rPr>
        <w:br w:type="page"/>
      </w:r>
    </w:p>
    <w:p w14:paraId="4ACDD9F2">
      <w:pPr>
        <w:spacing w:line="560" w:lineRule="exact"/>
        <w:ind w:firstLine="198" w:firstLineChars="62"/>
        <w:jc w:val="center"/>
        <w:rPr>
          <w:rFonts w:eastAsia="黑体"/>
          <w:color w:val="000000" w:themeColor="text1"/>
          <w:sz w:val="32"/>
          <w:szCs w:val="32"/>
          <w14:textFill>
            <w14:solidFill>
              <w14:schemeClr w14:val="tx1"/>
            </w14:solidFill>
          </w14:textFill>
        </w:rPr>
      </w:pPr>
      <w:r>
        <w:rPr>
          <w:rFonts w:hint="eastAsia" w:eastAsia="黑体"/>
          <w:color w:val="000000" w:themeColor="text1"/>
          <w:sz w:val="32"/>
          <w:szCs w:val="32"/>
          <w14:textFill>
            <w14:solidFill>
              <w14:schemeClr w14:val="tx1"/>
            </w14:solidFill>
          </w14:textFill>
        </w:rPr>
        <w:t>《实质性条款一览表》</w:t>
      </w:r>
    </w:p>
    <w:p w14:paraId="401089CA">
      <w:pPr>
        <w:snapToGrid w:val="0"/>
        <w:ind w:firstLine="560"/>
        <w:jc w:val="left"/>
        <w:rPr>
          <w:rFonts w:ascii="仿宋_GB2312"/>
          <w:color w:val="000000" w:themeColor="text1"/>
          <w:szCs w:val="28"/>
          <w14:textFill>
            <w14:solidFill>
              <w14:schemeClr w14:val="tx1"/>
            </w14:solidFill>
          </w14:textFill>
        </w:rPr>
      </w:pPr>
      <w:r>
        <w:rPr>
          <w:rFonts w:hint="eastAsia" w:ascii="仿宋_GB2312"/>
          <w:color w:val="000000" w:themeColor="text1"/>
          <w:szCs w:val="28"/>
          <w14:textFill>
            <w14:solidFill>
              <w14:schemeClr w14:val="tx1"/>
            </w14:solidFill>
          </w14:textFill>
        </w:rPr>
        <w:t>说明：本表系采购文件及修改性文件中涉及的所有实质性条款的汇总。不允许有任何负偏离，否则报价将被否决。</w:t>
      </w:r>
    </w:p>
    <w:tbl>
      <w:tblPr>
        <w:tblStyle w:val="45"/>
        <w:tblW w:w="0" w:type="auto"/>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 w:type="dxa"/>
          <w:bottom w:w="0" w:type="dxa"/>
          <w:right w:w="10" w:type="dxa"/>
        </w:tblCellMar>
      </w:tblPr>
      <w:tblGrid>
        <w:gridCol w:w="9309"/>
      </w:tblGrid>
      <w:tr w14:paraId="081DF5B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07" w:hRule="atLeast"/>
          <w:jc w:val="center"/>
        </w:trPr>
        <w:tc>
          <w:tcPr>
            <w:tcW w:w="9309" w:type="dxa"/>
            <w:tcBorders>
              <w:top w:val="single" w:color="auto" w:sz="4" w:space="0"/>
              <w:left w:val="single" w:color="auto" w:sz="4" w:space="0"/>
              <w:bottom w:val="single" w:color="auto" w:sz="4" w:space="0"/>
            </w:tcBorders>
            <w:vAlign w:val="center"/>
          </w:tcPr>
          <w:p w14:paraId="08E58296">
            <w:pPr>
              <w:spacing w:line="560" w:lineRule="exact"/>
              <w:ind w:firstLine="562"/>
              <w:rPr>
                <w:rFonts w:ascii="仿宋_GB2312" w:hAnsi="宋体"/>
                <w:b/>
                <w:bCs/>
                <w:color w:val="000000" w:themeColor="text1"/>
                <w:szCs w:val="28"/>
                <w14:textFill>
                  <w14:solidFill>
                    <w14:schemeClr w14:val="tx1"/>
                  </w14:solidFill>
                </w14:textFill>
              </w:rPr>
            </w:pPr>
            <w:r>
              <w:rPr>
                <w:rFonts w:hint="eastAsia" w:ascii="仿宋_GB2312" w:hAnsi="宋体"/>
                <w:b/>
                <w:bCs/>
                <w:color w:val="000000" w:themeColor="text1"/>
                <w:szCs w:val="28"/>
                <w14:textFill>
                  <w14:solidFill>
                    <w14:schemeClr w14:val="tx1"/>
                  </w14:solidFill>
                </w14:textFill>
              </w:rPr>
              <w:t>资格性核查</w:t>
            </w:r>
          </w:p>
        </w:tc>
      </w:tr>
      <w:tr w14:paraId="5A4AA14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07" w:hRule="atLeast"/>
          <w:jc w:val="center"/>
        </w:trPr>
        <w:tc>
          <w:tcPr>
            <w:tcW w:w="9309" w:type="dxa"/>
            <w:tcBorders>
              <w:top w:val="single" w:color="auto" w:sz="4" w:space="0"/>
              <w:left w:val="single" w:color="auto" w:sz="4" w:space="0"/>
              <w:bottom w:val="single" w:color="auto" w:sz="4" w:space="0"/>
            </w:tcBorders>
          </w:tcPr>
          <w:p w14:paraId="72323C3B">
            <w:pPr>
              <w:spacing w:line="560" w:lineRule="exact"/>
              <w:ind w:firstLine="341" w:firstLineChars="122"/>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1、法人或其他组织的营业执照等证明文件扫描件；（A）包</w:t>
            </w:r>
          </w:p>
          <w:p w14:paraId="4E5417F9">
            <w:pPr>
              <w:spacing w:line="560" w:lineRule="exact"/>
              <w:ind w:firstLine="341" w:firstLineChars="122"/>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2、具有水利水电施工总承包三级及以上资质证书扫描件；具有行政主管部门颁发的安全生产许可证扫描件；（A）包</w:t>
            </w:r>
          </w:p>
          <w:p w14:paraId="5B195DD1">
            <w:pPr>
              <w:spacing w:line="560" w:lineRule="exact"/>
              <w:ind w:firstLine="341" w:firstLineChars="122"/>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3、项目负责人具有水利水电工程专业贰级及以上注册建造师执业资格</w:t>
            </w:r>
            <w:r>
              <w:rPr>
                <w:rFonts w:hint="eastAsia" w:ascii="仿宋_GB2312" w:hAnsi="宋体"/>
                <w:color w:val="000000" w:themeColor="text1"/>
                <w:szCs w:val="28"/>
                <w14:textFill>
                  <w14:solidFill>
                    <w14:schemeClr w14:val="tx1"/>
                  </w14:solidFill>
                </w14:textFill>
              </w:rPr>
              <w:t>，</w:t>
            </w:r>
            <w:r>
              <w:rPr>
                <w:rFonts w:ascii="仿宋_GB2312" w:hAnsi="宋体"/>
                <w:color w:val="000000" w:themeColor="text1"/>
                <w:szCs w:val="28"/>
                <w14:textFill>
                  <w14:solidFill>
                    <w14:schemeClr w14:val="tx1"/>
                  </w14:solidFill>
                </w14:textFill>
              </w:rPr>
              <w:t>同时应具有安全生产考核合格证（B证）证书扫描件</w:t>
            </w:r>
            <w:r>
              <w:rPr>
                <w:rFonts w:hint="eastAsia" w:ascii="仿宋_GB2312" w:hAnsi="宋体"/>
                <w:color w:val="000000" w:themeColor="text1"/>
                <w:szCs w:val="28"/>
                <w14:textFill>
                  <w14:solidFill>
                    <w14:schemeClr w14:val="tx1"/>
                  </w14:solidFill>
                </w14:textFill>
              </w:rPr>
              <w:t>；</w:t>
            </w:r>
            <w:r>
              <w:rPr>
                <w:rFonts w:ascii="仿宋_GB2312" w:hAnsi="宋体"/>
                <w:color w:val="000000" w:themeColor="text1"/>
                <w:szCs w:val="28"/>
                <w14:textFill>
                  <w14:solidFill>
                    <w14:schemeClr w14:val="tx1"/>
                  </w14:solidFill>
                </w14:textFill>
              </w:rPr>
              <w:t>（A）包</w:t>
            </w:r>
          </w:p>
          <w:p w14:paraId="5172EA5A">
            <w:pPr>
              <w:spacing w:line="560" w:lineRule="exact"/>
              <w:ind w:firstLine="341" w:firstLineChars="122"/>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4、法定代表人授权委托书；被授权人身份证扫描件；</w:t>
            </w:r>
          </w:p>
          <w:p w14:paraId="4653B7F6">
            <w:pPr>
              <w:spacing w:line="560" w:lineRule="exact"/>
              <w:ind w:firstLine="341" w:firstLineChars="122"/>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若响应单位代表为企业法定代表人/单位负责人的，则只需提供企业法定代表人/单位负责人身份证扫描件；（A）包</w:t>
            </w:r>
          </w:p>
          <w:p w14:paraId="518FDB1C">
            <w:pPr>
              <w:spacing w:line="560" w:lineRule="exact"/>
              <w:ind w:firstLine="341" w:firstLineChars="122"/>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5、依法缴纳税收和社会保障资金的声明（格式自拟）；近期的完税凭证及交纳社保资金凭证的扫描件（依法免税或不需要缴纳社会保障资金的供应商，应提供相关证明材料）；（A）包</w:t>
            </w:r>
          </w:p>
          <w:p w14:paraId="3CC6D027">
            <w:pPr>
              <w:spacing w:line="560" w:lineRule="exact"/>
              <w:ind w:firstLine="341" w:firstLineChars="122"/>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6、参加本项目报价前三年内无重大违法记录声明（格式自定）；（A）包</w:t>
            </w:r>
          </w:p>
          <w:p w14:paraId="6F2A7752">
            <w:pPr>
              <w:spacing w:line="560" w:lineRule="exact"/>
              <w:ind w:firstLine="341" w:firstLineChars="122"/>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7、由代理机构查询“信用中国”、报价供应商所在地省级信用官方网站(如:“信用山东)、“中国政府采购网”，对已列入失信被执行人、重大税收违法案件当事人名单、政府采购严重违法失信行为记录名单的供应商，将拒绝其继续参与政府采购活动；（A）包</w:t>
            </w:r>
          </w:p>
          <w:p w14:paraId="6F2BC82B">
            <w:pPr>
              <w:spacing w:line="560" w:lineRule="exact"/>
              <w:ind w:firstLine="341" w:firstLineChars="122"/>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8、财务状况报告等相关材料</w:t>
            </w:r>
          </w:p>
          <w:p w14:paraId="49C46FDF">
            <w:pPr>
              <w:spacing w:line="560" w:lineRule="exact"/>
              <w:ind w:firstLine="341" w:firstLineChars="122"/>
              <w:rPr>
                <w:rFonts w:hint="eastAsia"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A.供应商自行编制的近一年度公司财务报表或由中介机构出具的近一年度财务审计报告书扫描件；</w:t>
            </w:r>
            <w:r>
              <w:rPr>
                <w:rFonts w:hint="eastAsia" w:ascii="仿宋_GB2312" w:hAnsi="宋体"/>
                <w:color w:val="000000" w:themeColor="text1"/>
                <w:szCs w:val="28"/>
                <w14:textFill>
                  <w14:solidFill>
                    <w14:schemeClr w14:val="tx1"/>
                  </w14:solidFill>
                </w14:textFill>
              </w:rPr>
              <w:t>(</w:t>
            </w:r>
            <w:r>
              <w:rPr>
                <w:rFonts w:ascii="仿宋_GB2312" w:hAnsi="宋体"/>
                <w:color w:val="000000" w:themeColor="text1"/>
                <w:szCs w:val="28"/>
                <w14:textFill>
                  <w14:solidFill>
                    <w14:schemeClr w14:val="tx1"/>
                  </w14:solidFill>
                </w14:textFill>
              </w:rPr>
              <w:t>2022</w:t>
            </w:r>
            <w:r>
              <w:rPr>
                <w:rFonts w:hint="eastAsia" w:ascii="仿宋_GB2312" w:hAnsi="宋体"/>
                <w:color w:val="000000" w:themeColor="text1"/>
                <w:szCs w:val="28"/>
                <w14:textFill>
                  <w14:solidFill>
                    <w14:schemeClr w14:val="tx1"/>
                  </w14:solidFill>
                </w14:textFill>
              </w:rPr>
              <w:t>年度或2</w:t>
            </w:r>
            <w:r>
              <w:rPr>
                <w:rFonts w:ascii="仿宋_GB2312" w:hAnsi="宋体"/>
                <w:color w:val="000000" w:themeColor="text1"/>
                <w:szCs w:val="28"/>
                <w14:textFill>
                  <w14:solidFill>
                    <w14:schemeClr w14:val="tx1"/>
                  </w14:solidFill>
                </w14:textFill>
              </w:rPr>
              <w:t>023</w:t>
            </w:r>
            <w:r>
              <w:rPr>
                <w:rFonts w:hint="eastAsia" w:ascii="仿宋_GB2312" w:hAnsi="宋体"/>
                <w:color w:val="000000" w:themeColor="text1"/>
                <w:szCs w:val="28"/>
                <w14:textFill>
                  <w14:solidFill>
                    <w14:schemeClr w14:val="tx1"/>
                  </w14:solidFill>
                </w14:textFill>
              </w:rPr>
              <w:t>年度)</w:t>
            </w:r>
          </w:p>
          <w:p w14:paraId="764D15B2">
            <w:pPr>
              <w:spacing w:line="560" w:lineRule="exact"/>
              <w:ind w:firstLine="341" w:firstLineChars="122"/>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B.银行出具的有效期内的资信证明扫描件。</w:t>
            </w:r>
          </w:p>
          <w:p w14:paraId="3F201DB9">
            <w:pPr>
              <w:spacing w:line="560" w:lineRule="exact"/>
              <w:ind w:firstLine="341" w:firstLineChars="122"/>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注：A、B两项提供任意一项均可。（A）包</w:t>
            </w:r>
          </w:p>
          <w:p w14:paraId="45F9A710">
            <w:pPr>
              <w:spacing w:line="560" w:lineRule="exact"/>
              <w:ind w:firstLine="341" w:firstLineChars="122"/>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9、具有履行合同所必需的设备和专业技术能力承诺函（格式自拟）；（A）包</w:t>
            </w:r>
          </w:p>
          <w:p w14:paraId="60F668DD">
            <w:pPr>
              <w:spacing w:line="560" w:lineRule="exact"/>
              <w:ind w:firstLine="341" w:firstLineChars="122"/>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10、中小企业声明函声明为中小企业；（A）包</w:t>
            </w:r>
          </w:p>
        </w:tc>
      </w:tr>
      <w:tr w14:paraId="4D3AC66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59" w:hRule="atLeast"/>
          <w:jc w:val="center"/>
        </w:trPr>
        <w:tc>
          <w:tcPr>
            <w:tcW w:w="9309" w:type="dxa"/>
            <w:tcBorders>
              <w:top w:val="single" w:color="auto" w:sz="4" w:space="0"/>
              <w:left w:val="single" w:color="auto" w:sz="4" w:space="0"/>
              <w:bottom w:val="single" w:color="auto" w:sz="4" w:space="0"/>
            </w:tcBorders>
            <w:vAlign w:val="center"/>
          </w:tcPr>
          <w:p w14:paraId="233A3BF7">
            <w:pPr>
              <w:spacing w:line="560" w:lineRule="exact"/>
              <w:ind w:firstLine="562"/>
              <w:rPr>
                <w:rFonts w:ascii="仿宋_GB2312" w:hAnsi="宋体"/>
                <w:b/>
                <w:bCs/>
                <w:color w:val="000000" w:themeColor="text1"/>
                <w:szCs w:val="28"/>
                <w14:textFill>
                  <w14:solidFill>
                    <w14:schemeClr w14:val="tx1"/>
                  </w14:solidFill>
                </w14:textFill>
              </w:rPr>
            </w:pPr>
            <w:r>
              <w:rPr>
                <w:rFonts w:hint="eastAsia" w:ascii="仿宋_GB2312" w:hAnsi="宋体"/>
                <w:b/>
                <w:bCs/>
                <w:color w:val="000000" w:themeColor="text1"/>
                <w:szCs w:val="28"/>
                <w14:textFill>
                  <w14:solidFill>
                    <w14:schemeClr w14:val="tx1"/>
                  </w14:solidFill>
                </w14:textFill>
              </w:rPr>
              <w:t>符合性检查</w:t>
            </w:r>
          </w:p>
        </w:tc>
      </w:tr>
      <w:tr w14:paraId="4A3E754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59" w:hRule="atLeast"/>
          <w:jc w:val="center"/>
        </w:trPr>
        <w:tc>
          <w:tcPr>
            <w:tcW w:w="9309" w:type="dxa"/>
            <w:tcBorders>
              <w:top w:val="single" w:color="auto" w:sz="4" w:space="0"/>
              <w:left w:val="single" w:color="auto" w:sz="4" w:space="0"/>
              <w:bottom w:val="single" w:color="auto" w:sz="4" w:space="0"/>
            </w:tcBorders>
            <w:vAlign w:val="center"/>
          </w:tcPr>
          <w:p w14:paraId="58877A42">
            <w:pPr>
              <w:spacing w:line="560" w:lineRule="exact"/>
              <w:ind w:firstLine="560"/>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1、被授权人未在规定时间内答疑或澄清的，作为无效报价；（A）包</w:t>
            </w:r>
          </w:p>
          <w:p w14:paraId="19F46E99">
            <w:pPr>
              <w:spacing w:line="560" w:lineRule="exact"/>
              <w:ind w:firstLine="560"/>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2、响应文件含有采购人不能接受的附加条件的，作为无效报价；（A）包</w:t>
            </w:r>
          </w:p>
          <w:p w14:paraId="38076D5A">
            <w:pPr>
              <w:spacing w:line="560" w:lineRule="exact"/>
              <w:ind w:firstLine="560"/>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3、响应报价、交付期（工期）、服务期（质保期）、付款方式、报价有效期等内容不满足采购文件要求的作为无效报价；（A）包</w:t>
            </w:r>
          </w:p>
          <w:p w14:paraId="3AC4F61F">
            <w:pPr>
              <w:spacing w:line="560" w:lineRule="exact"/>
              <w:ind w:firstLine="560"/>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4、参加同一项目的不同供应商的电子投标文件文件制作机器码（MAC地址、主硬盘序列号、CPU信息、计算机名称）一致导致串标率100%，将作为无效报价；（A）包</w:t>
            </w:r>
          </w:p>
          <w:p w14:paraId="7EAD6C7C">
            <w:pPr>
              <w:spacing w:line="560" w:lineRule="exact"/>
              <w:ind w:firstLine="560"/>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5、评审小组认为不符合采购文件其他实质性要求或法律法规规定的其他情形；作为无效报价。（A）包</w:t>
            </w:r>
          </w:p>
          <w:p w14:paraId="161BF5EC">
            <w:pPr>
              <w:spacing w:line="560" w:lineRule="exact"/>
              <w:ind w:firstLine="560"/>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6、响应文件未按规定签章的，作为无效报价；（A）包</w:t>
            </w:r>
          </w:p>
        </w:tc>
      </w:tr>
    </w:tbl>
    <w:p w14:paraId="01B037A2">
      <w:pPr>
        <w:spacing w:line="560" w:lineRule="exact"/>
        <w:ind w:firstLine="880"/>
        <w:rPr>
          <w:rFonts w:ascii="宋体" w:hAnsi="宋体"/>
          <w:color w:val="000000" w:themeColor="text1"/>
          <w:sz w:val="44"/>
          <w:szCs w:val="44"/>
          <w14:textFill>
            <w14:solidFill>
              <w14:schemeClr w14:val="tx1"/>
            </w14:solidFill>
          </w14:textFill>
        </w:rPr>
      </w:pPr>
    </w:p>
    <w:p w14:paraId="1B984F4A">
      <w:pPr>
        <w:spacing w:line="560" w:lineRule="exact"/>
        <w:ind w:firstLine="880"/>
        <w:rPr>
          <w:rFonts w:ascii="宋体" w:hAnsi="宋体"/>
          <w:color w:val="000000" w:themeColor="text1"/>
          <w:sz w:val="44"/>
          <w:szCs w:val="44"/>
          <w14:textFill>
            <w14:solidFill>
              <w14:schemeClr w14:val="tx1"/>
            </w14:solidFill>
          </w14:textFill>
        </w:rPr>
        <w:sectPr>
          <w:headerReference r:id="rId17" w:type="default"/>
          <w:footerReference r:id="rId18" w:type="default"/>
          <w:pgSz w:w="11906" w:h="16838"/>
          <w:pgMar w:top="1440" w:right="1077" w:bottom="1440" w:left="1077" w:header="851" w:footer="992" w:gutter="0"/>
          <w:cols w:space="720" w:num="1"/>
          <w:docGrid w:type="lines" w:linePitch="312" w:charSpace="0"/>
        </w:sectPr>
      </w:pPr>
    </w:p>
    <w:p w14:paraId="316CC2B7">
      <w:pPr>
        <w:pStyle w:val="4"/>
        <w:ind w:firstLine="562"/>
        <w:rPr>
          <w:color w:val="000000" w:themeColor="text1"/>
          <w14:textFill>
            <w14:solidFill>
              <w14:schemeClr w14:val="tx1"/>
            </w14:solidFill>
          </w14:textFill>
        </w:rPr>
      </w:pPr>
      <w:r>
        <w:rPr>
          <w:rFonts w:hint="eastAsia"/>
          <w:color w:val="000000" w:themeColor="text1"/>
          <w14:textFill>
            <w14:solidFill>
              <w14:schemeClr w14:val="tx1"/>
            </w14:solidFill>
          </w14:textFill>
        </w:rPr>
        <w:t>一、说明</w:t>
      </w:r>
    </w:p>
    <w:p w14:paraId="6E8EE617">
      <w:pPr>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本文件依据《中华人民共和国政府采购法》、《中华人民共和国政府采购法实施条例》和财政部《政府采购竞争性磋商采购方式管理暂行办法》及国家和山东省有关法律、法规、规章制度编制。参加本项目供应商应接受本采购文件关于电子招投标各项规定。</w:t>
      </w:r>
    </w:p>
    <w:p w14:paraId="2D85A8D3">
      <w:pPr>
        <w:snapToGrid w:val="0"/>
        <w:spacing w:line="560" w:lineRule="exact"/>
        <w:ind w:firstLine="565" w:firstLineChars="201"/>
        <w:rPr>
          <w:rFonts w:ascii="楷体_GB2312" w:hAnsi="宋体" w:eastAsia="楷体_GB2312"/>
          <w:b/>
          <w:color w:val="000000" w:themeColor="text1"/>
          <w:szCs w:val="28"/>
          <w14:textFill>
            <w14:solidFill>
              <w14:schemeClr w14:val="tx1"/>
            </w14:solidFill>
          </w14:textFill>
        </w:rPr>
      </w:pPr>
      <w:r>
        <w:rPr>
          <w:rFonts w:hint="eastAsia" w:ascii="楷体_GB2312" w:hAnsi="宋体" w:eastAsia="楷体_GB2312"/>
          <w:b/>
          <w:color w:val="000000" w:themeColor="text1"/>
          <w:szCs w:val="28"/>
          <w14:textFill>
            <w14:solidFill>
              <w14:schemeClr w14:val="tx1"/>
            </w14:solidFill>
          </w14:textFill>
        </w:rPr>
        <w:t>1.适用范围</w:t>
      </w:r>
    </w:p>
    <w:p w14:paraId="60B4BC55">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1.1本竞争性磋商文件仅适用于本次采购公告中所涉及的项目和内容。</w:t>
      </w:r>
    </w:p>
    <w:p w14:paraId="4F7CA479">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 xml:space="preserve">1.2本竞争性磋商文件的解释权为 </w:t>
      </w:r>
      <w:r>
        <w:rPr>
          <w:rFonts w:hint="eastAsia" w:ascii="仿宋_GB2312" w:hAnsi="宋体"/>
          <w:color w:val="000000" w:themeColor="text1"/>
          <w:szCs w:val="28"/>
          <w:lang w:eastAsia="zh-CN"/>
          <w14:textFill>
            <w14:solidFill>
              <w14:schemeClr w14:val="tx1"/>
            </w14:solidFill>
          </w14:textFill>
        </w:rPr>
        <w:t>乳山市方识建设工程咨询有限公司</w:t>
      </w:r>
      <w:r>
        <w:rPr>
          <w:rFonts w:hint="eastAsia" w:ascii="仿宋_GB2312" w:hAnsi="仿宋" w:cs="宋体"/>
          <w:color w:val="000000" w:themeColor="text1"/>
          <w:szCs w:val="28"/>
          <w14:textFill>
            <w14:solidFill>
              <w14:schemeClr w14:val="tx1"/>
            </w14:solidFill>
          </w14:textFill>
        </w:rPr>
        <w:t>，以书面解释为准。</w:t>
      </w:r>
    </w:p>
    <w:p w14:paraId="0D83A637">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1.3本竞争性磋商文件未做须知明示，而又有相关法律、法规规定的，从其规定。</w:t>
      </w:r>
    </w:p>
    <w:p w14:paraId="57BC75D5">
      <w:pPr>
        <w:spacing w:line="560" w:lineRule="exact"/>
        <w:ind w:firstLine="565" w:firstLineChars="201"/>
        <w:rPr>
          <w:rFonts w:ascii="楷体_GB2312" w:hAnsi="仿宋" w:eastAsia="楷体_GB2312" w:cs="宋体"/>
          <w:b/>
          <w:color w:val="000000" w:themeColor="text1"/>
          <w:szCs w:val="28"/>
          <w14:textFill>
            <w14:solidFill>
              <w14:schemeClr w14:val="tx1"/>
            </w14:solidFill>
          </w14:textFill>
        </w:rPr>
      </w:pPr>
      <w:r>
        <w:rPr>
          <w:rFonts w:hint="eastAsia" w:ascii="楷体_GB2312" w:hAnsi="仿宋" w:eastAsia="楷体_GB2312" w:cs="宋体"/>
          <w:b/>
          <w:color w:val="000000" w:themeColor="text1"/>
          <w:szCs w:val="28"/>
          <w14:textFill>
            <w14:solidFill>
              <w14:schemeClr w14:val="tx1"/>
            </w14:solidFill>
          </w14:textFill>
        </w:rPr>
        <w:t>2.采购人、采购代理机构及供应商</w:t>
      </w:r>
    </w:p>
    <w:p w14:paraId="7CC1F2C4">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2.1采购人：是指</w:t>
      </w:r>
      <w:r>
        <w:rPr>
          <w:rFonts w:ascii="仿宋_GB2312" w:hAnsi="仿宋" w:cs="宋体"/>
          <w:color w:val="000000" w:themeColor="text1"/>
          <w:szCs w:val="28"/>
          <w14:textFill>
            <w14:solidFill>
              <w14:schemeClr w14:val="tx1"/>
            </w14:solidFill>
          </w14:textFill>
        </w:rPr>
        <w:t>依法</w:t>
      </w:r>
      <w:r>
        <w:rPr>
          <w:rFonts w:hint="eastAsia" w:ascii="仿宋_GB2312" w:hAnsi="仿宋" w:cs="宋体"/>
          <w:color w:val="000000" w:themeColor="text1"/>
          <w:szCs w:val="28"/>
          <w14:textFill>
            <w14:solidFill>
              <w14:schemeClr w14:val="tx1"/>
            </w14:solidFill>
          </w14:textFill>
        </w:rPr>
        <w:t>开展</w:t>
      </w:r>
      <w:r>
        <w:rPr>
          <w:rFonts w:ascii="仿宋_GB2312" w:hAnsi="仿宋" w:cs="宋体"/>
          <w:color w:val="000000" w:themeColor="text1"/>
          <w:szCs w:val="28"/>
          <w14:textFill>
            <w14:solidFill>
              <w14:schemeClr w14:val="tx1"/>
            </w14:solidFill>
          </w14:textFill>
        </w:rPr>
        <w:t>政府采购</w:t>
      </w:r>
      <w:r>
        <w:rPr>
          <w:rFonts w:hint="eastAsia" w:ascii="仿宋_GB2312" w:hAnsi="仿宋" w:cs="宋体"/>
          <w:color w:val="000000" w:themeColor="text1"/>
          <w:szCs w:val="28"/>
          <w14:textFill>
            <w14:solidFill>
              <w14:schemeClr w14:val="tx1"/>
            </w14:solidFill>
          </w14:textFill>
        </w:rPr>
        <w:t>活动</w:t>
      </w:r>
      <w:r>
        <w:rPr>
          <w:rFonts w:ascii="仿宋_GB2312" w:hAnsi="仿宋" w:cs="宋体"/>
          <w:color w:val="000000" w:themeColor="text1"/>
          <w:szCs w:val="28"/>
          <w14:textFill>
            <w14:solidFill>
              <w14:schemeClr w14:val="tx1"/>
            </w14:solidFill>
          </w14:textFill>
        </w:rPr>
        <w:t>的国家机</w:t>
      </w:r>
      <w:r>
        <w:rPr>
          <w:rFonts w:hint="eastAsia" w:ascii="仿宋_GB2312" w:hAnsi="仿宋" w:cs="宋体"/>
          <w:color w:val="000000" w:themeColor="text1"/>
          <w:szCs w:val="28"/>
          <w14:textFill>
            <w14:solidFill>
              <w14:schemeClr w14:val="tx1"/>
            </w14:solidFill>
          </w14:textFill>
        </w:rPr>
        <w:t>关</w:t>
      </w:r>
      <w:r>
        <w:rPr>
          <w:rFonts w:ascii="仿宋_GB2312" w:hAnsi="仿宋" w:cs="宋体"/>
          <w:color w:val="000000" w:themeColor="text1"/>
          <w:szCs w:val="28"/>
          <w14:textFill>
            <w14:solidFill>
              <w14:schemeClr w14:val="tx1"/>
            </w14:solidFill>
          </w14:textFill>
        </w:rPr>
        <w:t>、事业单位、团体组织</w:t>
      </w:r>
      <w:r>
        <w:rPr>
          <w:rFonts w:hint="eastAsia" w:ascii="仿宋_GB2312" w:hAnsi="仿宋" w:cs="宋体"/>
          <w:color w:val="000000" w:themeColor="text1"/>
          <w:szCs w:val="28"/>
          <w14:textFill>
            <w14:solidFill>
              <w14:schemeClr w14:val="tx1"/>
            </w14:solidFill>
          </w14:textFill>
        </w:rPr>
        <w:t>。</w:t>
      </w:r>
    </w:p>
    <w:p w14:paraId="22D5251F">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本项目的采购人见</w:t>
      </w:r>
      <w:r>
        <w:rPr>
          <w:rFonts w:hint="eastAsia" w:ascii="仿宋_GB2312" w:hAnsi="仿宋" w:cs="宋体"/>
          <w:color w:val="000000" w:themeColor="text1"/>
          <w:szCs w:val="28"/>
          <w:u w:val="single"/>
          <w14:textFill>
            <w14:solidFill>
              <w14:schemeClr w14:val="tx1"/>
            </w14:solidFill>
          </w14:textFill>
        </w:rPr>
        <w:t>响应须知前附表</w:t>
      </w:r>
      <w:r>
        <w:rPr>
          <w:rFonts w:hint="eastAsia" w:ascii="仿宋_GB2312" w:hAnsi="仿宋" w:cs="宋体"/>
          <w:color w:val="000000" w:themeColor="text1"/>
          <w:szCs w:val="28"/>
          <w14:textFill>
            <w14:solidFill>
              <w14:schemeClr w14:val="tx1"/>
            </w14:solidFill>
          </w14:textFill>
        </w:rPr>
        <w:t>。</w:t>
      </w:r>
    </w:p>
    <w:p w14:paraId="560D2EDA">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2.2采购代理机构：是指采购代理机构或从事采购代理业务的社会中介机构。本项目的采购代理机构见</w:t>
      </w:r>
      <w:r>
        <w:rPr>
          <w:rFonts w:hint="eastAsia" w:ascii="仿宋_GB2312" w:hAnsi="仿宋" w:cs="宋体"/>
          <w:color w:val="000000" w:themeColor="text1"/>
          <w:szCs w:val="28"/>
          <w:u w:val="single"/>
          <w14:textFill>
            <w14:solidFill>
              <w14:schemeClr w14:val="tx1"/>
            </w14:solidFill>
          </w14:textFill>
        </w:rPr>
        <w:t>响应须知前附表</w:t>
      </w:r>
      <w:r>
        <w:rPr>
          <w:rFonts w:hint="eastAsia" w:ascii="仿宋_GB2312" w:hAnsi="仿宋" w:cs="宋体"/>
          <w:color w:val="000000" w:themeColor="text1"/>
          <w:szCs w:val="28"/>
          <w14:textFill>
            <w14:solidFill>
              <w14:schemeClr w14:val="tx1"/>
            </w14:solidFill>
          </w14:textFill>
        </w:rPr>
        <w:t>。</w:t>
      </w:r>
    </w:p>
    <w:p w14:paraId="4B908DF8">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2.3供应商</w:t>
      </w:r>
      <w:r>
        <w:rPr>
          <w:rFonts w:ascii="仿宋_GB2312" w:hAnsi="仿宋" w:cs="宋体"/>
          <w:color w:val="000000" w:themeColor="text1"/>
          <w:szCs w:val="28"/>
          <w14:textFill>
            <w14:solidFill>
              <w14:schemeClr w14:val="tx1"/>
            </w14:solidFill>
          </w14:textFill>
        </w:rPr>
        <w:t>：是指向采购人提供货物</w:t>
      </w:r>
      <w:r>
        <w:rPr>
          <w:rFonts w:hint="eastAsia" w:ascii="仿宋_GB2312" w:hAnsi="仿宋" w:cs="宋体"/>
          <w:color w:val="000000" w:themeColor="text1"/>
          <w:szCs w:val="28"/>
          <w14:textFill>
            <w14:solidFill>
              <w14:schemeClr w14:val="tx1"/>
            </w14:solidFill>
          </w14:textFill>
        </w:rPr>
        <w:t>及伴随的</w:t>
      </w:r>
      <w:r>
        <w:rPr>
          <w:rFonts w:ascii="仿宋_GB2312" w:hAnsi="仿宋" w:cs="宋体"/>
          <w:color w:val="000000" w:themeColor="text1"/>
          <w:szCs w:val="28"/>
          <w14:textFill>
            <w14:solidFill>
              <w14:schemeClr w14:val="tx1"/>
            </w14:solidFill>
          </w14:textFill>
        </w:rPr>
        <w:t>服务的法人、其他组织或者自然人。</w:t>
      </w:r>
      <w:r>
        <w:rPr>
          <w:rFonts w:hint="eastAsia" w:ascii="仿宋_GB2312" w:hAnsi="仿宋" w:cs="宋体"/>
          <w:color w:val="000000" w:themeColor="text1"/>
          <w:szCs w:val="28"/>
          <w14:textFill>
            <w14:solidFill>
              <w14:schemeClr w14:val="tx1"/>
            </w14:solidFill>
          </w14:textFill>
        </w:rPr>
        <w:t>潜在</w:t>
      </w:r>
      <w:r>
        <w:rPr>
          <w:rFonts w:ascii="仿宋_GB2312" w:hAnsi="仿宋" w:cs="宋体"/>
          <w:color w:val="000000" w:themeColor="text1"/>
          <w:szCs w:val="28"/>
          <w14:textFill>
            <w14:solidFill>
              <w14:schemeClr w14:val="tx1"/>
            </w14:solidFill>
          </w14:textFill>
        </w:rPr>
        <w:t>供应商：是指</w:t>
      </w:r>
      <w:r>
        <w:rPr>
          <w:rFonts w:hint="eastAsia" w:ascii="仿宋_GB2312" w:hAnsi="仿宋" w:cs="宋体"/>
          <w:color w:val="000000" w:themeColor="text1"/>
          <w:szCs w:val="28"/>
          <w14:textFill>
            <w14:solidFill>
              <w14:schemeClr w14:val="tx1"/>
            </w14:solidFill>
          </w14:textFill>
        </w:rPr>
        <w:t>响应招标</w:t>
      </w:r>
      <w:r>
        <w:rPr>
          <w:rFonts w:ascii="仿宋_GB2312" w:hAnsi="仿宋" w:cs="宋体"/>
          <w:color w:val="000000" w:themeColor="text1"/>
          <w:szCs w:val="28"/>
          <w14:textFill>
            <w14:solidFill>
              <w14:schemeClr w14:val="tx1"/>
            </w14:solidFill>
          </w14:textFill>
        </w:rPr>
        <w:t>、参加投标竞争的法人、其他组织或者自然人</w:t>
      </w:r>
      <w:r>
        <w:rPr>
          <w:rFonts w:hint="eastAsia" w:ascii="仿宋_GB2312" w:hAnsi="仿宋" w:cs="宋体"/>
          <w:color w:val="000000" w:themeColor="text1"/>
          <w:szCs w:val="28"/>
          <w14:textFill>
            <w14:solidFill>
              <w14:schemeClr w14:val="tx1"/>
            </w14:solidFill>
          </w14:textFill>
        </w:rPr>
        <w:t>，以采购文件规定</w:t>
      </w:r>
      <w:r>
        <w:rPr>
          <w:rFonts w:ascii="仿宋_GB2312" w:hAnsi="仿宋" w:cs="宋体"/>
          <w:color w:val="000000" w:themeColor="text1"/>
          <w:szCs w:val="28"/>
          <w14:textFill>
            <w14:solidFill>
              <w14:schemeClr w14:val="tx1"/>
            </w14:solidFill>
          </w14:textFill>
        </w:rPr>
        <w:t>的方式</w:t>
      </w:r>
      <w:r>
        <w:rPr>
          <w:rFonts w:hint="eastAsia" w:ascii="仿宋_GB2312" w:hAnsi="仿宋" w:cs="宋体"/>
          <w:color w:val="000000" w:themeColor="text1"/>
          <w:szCs w:val="28"/>
          <w14:textFill>
            <w14:solidFill>
              <w14:schemeClr w14:val="tx1"/>
            </w14:solidFill>
          </w14:textFill>
        </w:rPr>
        <w:t>获取本项目</w:t>
      </w:r>
      <w:r>
        <w:rPr>
          <w:rFonts w:ascii="仿宋_GB2312" w:hAnsi="仿宋" w:cs="宋体"/>
          <w:color w:val="000000" w:themeColor="text1"/>
          <w:szCs w:val="28"/>
          <w14:textFill>
            <w14:solidFill>
              <w14:schemeClr w14:val="tx1"/>
            </w14:solidFill>
          </w14:textFill>
        </w:rPr>
        <w:t>采购文件的法人、其他组织或者自然人。</w:t>
      </w:r>
    </w:p>
    <w:p w14:paraId="71C4F729">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本项目的供应商须满足以下条件：</w:t>
      </w:r>
    </w:p>
    <w:p w14:paraId="61CBC729">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2.3.1具备《中华人民共和国政府采购法》第二十二条(第一款 银行、保险、石油石化、电力、电信等特殊行业除外)关于供应商条件的规定，遵守本项目采购人本级</w:t>
      </w:r>
      <w:r>
        <w:rPr>
          <w:rFonts w:ascii="仿宋_GB2312" w:hAnsi="仿宋" w:cs="宋体"/>
          <w:color w:val="000000" w:themeColor="text1"/>
          <w:szCs w:val="28"/>
          <w14:textFill>
            <w14:solidFill>
              <w14:schemeClr w14:val="tx1"/>
            </w14:solidFill>
          </w14:textFill>
        </w:rPr>
        <w:t>和上级财政部门</w:t>
      </w:r>
      <w:r>
        <w:rPr>
          <w:rFonts w:hint="eastAsia" w:ascii="仿宋_GB2312" w:hAnsi="仿宋" w:cs="宋体"/>
          <w:color w:val="000000" w:themeColor="text1"/>
          <w:szCs w:val="28"/>
          <w14:textFill>
            <w14:solidFill>
              <w14:schemeClr w14:val="tx1"/>
            </w14:solidFill>
          </w14:textFill>
        </w:rPr>
        <w:t>政府采购的有关规定。</w:t>
      </w:r>
    </w:p>
    <w:p w14:paraId="3529BF48">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2.</w:t>
      </w:r>
      <w:r>
        <w:rPr>
          <w:rFonts w:ascii="仿宋_GB2312" w:hAnsi="仿宋" w:cs="宋体"/>
          <w:color w:val="000000" w:themeColor="text1"/>
          <w:szCs w:val="28"/>
          <w14:textFill>
            <w14:solidFill>
              <w14:schemeClr w14:val="tx1"/>
            </w14:solidFill>
          </w14:textFill>
        </w:rPr>
        <w:t>3.</w:t>
      </w:r>
      <w:r>
        <w:rPr>
          <w:rFonts w:hint="eastAsia" w:ascii="仿宋_GB2312" w:hAnsi="仿宋" w:cs="宋体"/>
          <w:color w:val="000000" w:themeColor="text1"/>
          <w:szCs w:val="28"/>
          <w14:textFill>
            <w14:solidFill>
              <w14:schemeClr w14:val="tx1"/>
            </w14:solidFill>
          </w14:textFill>
        </w:rPr>
        <w:t>2以采购文件规定</w:t>
      </w:r>
      <w:r>
        <w:rPr>
          <w:rFonts w:ascii="仿宋_GB2312" w:hAnsi="仿宋" w:cs="宋体"/>
          <w:color w:val="000000" w:themeColor="text1"/>
          <w:szCs w:val="28"/>
          <w14:textFill>
            <w14:solidFill>
              <w14:schemeClr w14:val="tx1"/>
            </w14:solidFill>
          </w14:textFill>
        </w:rPr>
        <w:t>的方式</w:t>
      </w:r>
      <w:r>
        <w:rPr>
          <w:rFonts w:hint="eastAsia" w:ascii="仿宋_GB2312" w:hAnsi="仿宋" w:cs="宋体"/>
          <w:color w:val="000000" w:themeColor="text1"/>
          <w:szCs w:val="28"/>
          <w14:textFill>
            <w14:solidFill>
              <w14:schemeClr w14:val="tx1"/>
            </w14:solidFill>
          </w14:textFill>
        </w:rPr>
        <w:t>获得了本项目的采购文件。</w:t>
      </w:r>
    </w:p>
    <w:p w14:paraId="4FBA3AAB">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2.</w:t>
      </w:r>
      <w:r>
        <w:rPr>
          <w:rFonts w:ascii="仿宋_GB2312" w:hAnsi="仿宋" w:cs="宋体"/>
          <w:color w:val="000000" w:themeColor="text1"/>
          <w:szCs w:val="28"/>
          <w14:textFill>
            <w14:solidFill>
              <w14:schemeClr w14:val="tx1"/>
            </w14:solidFill>
          </w14:textFill>
        </w:rPr>
        <w:t>3</w:t>
      </w:r>
      <w:r>
        <w:rPr>
          <w:rFonts w:hint="eastAsia" w:ascii="仿宋_GB2312" w:hAnsi="仿宋" w:cs="宋体"/>
          <w:color w:val="000000" w:themeColor="text1"/>
          <w:szCs w:val="28"/>
          <w14:textFill>
            <w14:solidFill>
              <w14:schemeClr w14:val="tx1"/>
            </w14:solidFill>
          </w14:textFill>
        </w:rPr>
        <w:t>.3符合</w:t>
      </w:r>
      <w:r>
        <w:rPr>
          <w:rFonts w:hint="eastAsia" w:ascii="仿宋_GB2312" w:hAnsi="仿宋" w:cs="宋体"/>
          <w:color w:val="000000" w:themeColor="text1"/>
          <w:szCs w:val="28"/>
          <w:u w:val="single"/>
          <w14:textFill>
            <w14:solidFill>
              <w14:schemeClr w14:val="tx1"/>
            </w14:solidFill>
          </w14:textFill>
        </w:rPr>
        <w:t>响应须知前附表</w:t>
      </w:r>
      <w:r>
        <w:rPr>
          <w:rFonts w:hint="eastAsia" w:ascii="仿宋_GB2312" w:hAnsi="仿宋" w:cs="宋体"/>
          <w:color w:val="000000" w:themeColor="text1"/>
          <w:szCs w:val="28"/>
          <w14:textFill>
            <w14:solidFill>
              <w14:schemeClr w14:val="tx1"/>
            </w14:solidFill>
          </w14:textFill>
        </w:rPr>
        <w:t>中规定的其他要求。</w:t>
      </w:r>
    </w:p>
    <w:p w14:paraId="23E49551">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2.</w:t>
      </w:r>
      <w:r>
        <w:rPr>
          <w:rFonts w:ascii="仿宋_GB2312" w:hAnsi="仿宋" w:cs="宋体"/>
          <w:color w:val="000000" w:themeColor="text1"/>
          <w:szCs w:val="28"/>
          <w14:textFill>
            <w14:solidFill>
              <w14:schemeClr w14:val="tx1"/>
            </w14:solidFill>
          </w14:textFill>
        </w:rPr>
        <w:t>3</w:t>
      </w:r>
      <w:r>
        <w:rPr>
          <w:rFonts w:hint="eastAsia" w:ascii="仿宋_GB2312" w:hAnsi="仿宋" w:cs="宋体"/>
          <w:color w:val="000000" w:themeColor="text1"/>
          <w:szCs w:val="28"/>
          <w14:textFill>
            <w14:solidFill>
              <w14:schemeClr w14:val="tx1"/>
            </w14:solidFill>
          </w14:textFill>
        </w:rPr>
        <w:t>.4若响应须知前附表中写明</w:t>
      </w:r>
      <w:r>
        <w:rPr>
          <w:rFonts w:ascii="仿宋_GB2312" w:hAnsi="仿宋" w:cs="宋体"/>
          <w:color w:val="000000" w:themeColor="text1"/>
          <w:szCs w:val="28"/>
          <w14:textFill>
            <w14:solidFill>
              <w14:schemeClr w14:val="tx1"/>
            </w14:solidFill>
          </w14:textFill>
        </w:rPr>
        <w:t>专门面向中小企业采购</w:t>
      </w:r>
      <w:r>
        <w:rPr>
          <w:rFonts w:hint="eastAsia" w:ascii="仿宋_GB2312" w:hAnsi="仿宋" w:cs="宋体"/>
          <w:color w:val="000000" w:themeColor="text1"/>
          <w:szCs w:val="28"/>
          <w14:textFill>
            <w14:solidFill>
              <w14:schemeClr w14:val="tx1"/>
            </w14:solidFill>
          </w14:textFill>
        </w:rPr>
        <w:t>的，按货物类实施采购的，其货物应由中小企业制造，即货物由中小企业生产且使用该中小企业商号或者注册商标；按工程类实施采购的，工程应由中小企业承建，即工程施工单位应为中小企业；按服务类实施采购的，服务应由中小企业承接，即提供服务的人员为中小企业按照《中华人民共和国劳动合同法》订立劳动合同的从业人员。否则，其报价将被认定为</w:t>
      </w:r>
      <w:r>
        <w:rPr>
          <w:rFonts w:hint="eastAsia" w:ascii="仿宋_GB2312" w:hAnsi="仿宋" w:cs="宋体"/>
          <w:b/>
          <w:bCs/>
          <w:color w:val="000000" w:themeColor="text1"/>
          <w:szCs w:val="28"/>
          <w14:textFill>
            <w14:solidFill>
              <w14:schemeClr w14:val="tx1"/>
            </w14:solidFill>
          </w14:textFill>
        </w:rPr>
        <w:t>无效</w:t>
      </w:r>
      <w:r>
        <w:rPr>
          <w:rFonts w:hint="eastAsia" w:ascii="仿宋_GB2312" w:hAnsi="仿宋" w:cs="宋体"/>
          <w:color w:val="000000" w:themeColor="text1"/>
          <w:szCs w:val="28"/>
          <w14:textFill>
            <w14:solidFill>
              <w14:schemeClr w14:val="tx1"/>
            </w14:solidFill>
          </w14:textFill>
        </w:rPr>
        <w:t>。</w:t>
      </w:r>
    </w:p>
    <w:p w14:paraId="328470A9">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2.4货物，是指供应商按采购文件要求，向采购人提供全新的、未使用过的各种形态和种类的物品，包括原材料、燃料、设备、产品等。</w:t>
      </w:r>
    </w:p>
    <w:p w14:paraId="2BEBE2A2">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2.5服务，是指供应商按采购文件要求，完成规定的货物供货过程中须承担的制造、运输、吊拉、安装、调试、技术协助、培训及其他各项义务。</w:t>
      </w:r>
    </w:p>
    <w:p w14:paraId="74B0581E">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2.6单位</w:t>
      </w:r>
      <w:r>
        <w:rPr>
          <w:rFonts w:ascii="仿宋_GB2312" w:hAnsi="仿宋" w:cs="宋体"/>
          <w:color w:val="000000" w:themeColor="text1"/>
          <w:szCs w:val="28"/>
          <w14:textFill>
            <w14:solidFill>
              <w14:schemeClr w14:val="tx1"/>
            </w14:solidFill>
          </w14:textFill>
        </w:rPr>
        <w:t>负责人为同一</w:t>
      </w:r>
      <w:r>
        <w:rPr>
          <w:rFonts w:hint="eastAsia" w:ascii="仿宋_GB2312" w:hAnsi="仿宋" w:cs="宋体"/>
          <w:color w:val="000000" w:themeColor="text1"/>
          <w:szCs w:val="28"/>
          <w14:textFill>
            <w14:solidFill>
              <w14:schemeClr w14:val="tx1"/>
            </w14:solidFill>
          </w14:textFill>
        </w:rPr>
        <w:t>人</w:t>
      </w:r>
      <w:r>
        <w:rPr>
          <w:rFonts w:ascii="仿宋_GB2312" w:hAnsi="仿宋" w:cs="宋体"/>
          <w:color w:val="000000" w:themeColor="text1"/>
          <w:szCs w:val="28"/>
          <w14:textFill>
            <w14:solidFill>
              <w14:schemeClr w14:val="tx1"/>
            </w14:solidFill>
          </w14:textFill>
        </w:rPr>
        <w:t>或者存在</w:t>
      </w:r>
      <w:r>
        <w:rPr>
          <w:rFonts w:hint="eastAsia" w:ascii="仿宋_GB2312" w:hAnsi="仿宋" w:cs="宋体"/>
          <w:color w:val="000000" w:themeColor="text1"/>
          <w:szCs w:val="28"/>
          <w14:textFill>
            <w14:solidFill>
              <w14:schemeClr w14:val="tx1"/>
            </w14:solidFill>
          </w14:textFill>
        </w:rPr>
        <w:t>直接</w:t>
      </w:r>
      <w:r>
        <w:rPr>
          <w:rFonts w:ascii="仿宋_GB2312" w:hAnsi="仿宋" w:cs="宋体"/>
          <w:color w:val="000000" w:themeColor="text1"/>
          <w:szCs w:val="28"/>
          <w14:textFill>
            <w14:solidFill>
              <w14:schemeClr w14:val="tx1"/>
            </w14:solidFill>
          </w14:textFill>
        </w:rPr>
        <w:t>控股、管理</w:t>
      </w:r>
      <w:r>
        <w:rPr>
          <w:rFonts w:hint="eastAsia" w:ascii="仿宋_GB2312" w:hAnsi="仿宋" w:cs="宋体"/>
          <w:color w:val="000000" w:themeColor="text1"/>
          <w:szCs w:val="28"/>
          <w14:textFill>
            <w14:solidFill>
              <w14:schemeClr w14:val="tx1"/>
            </w14:solidFill>
          </w14:textFill>
        </w:rPr>
        <w:t>关系</w:t>
      </w:r>
      <w:r>
        <w:rPr>
          <w:rFonts w:ascii="仿宋_GB2312" w:hAnsi="仿宋" w:cs="宋体"/>
          <w:color w:val="000000" w:themeColor="text1"/>
          <w:szCs w:val="28"/>
          <w14:textFill>
            <w14:solidFill>
              <w14:schemeClr w14:val="tx1"/>
            </w14:solidFill>
          </w14:textFill>
        </w:rPr>
        <w:t>的不同供应商，不得</w:t>
      </w:r>
      <w:r>
        <w:rPr>
          <w:rFonts w:hint="eastAsia" w:ascii="仿宋_GB2312" w:hAnsi="仿宋" w:cs="宋体"/>
          <w:color w:val="000000" w:themeColor="text1"/>
          <w:szCs w:val="28"/>
          <w14:textFill>
            <w14:solidFill>
              <w14:schemeClr w14:val="tx1"/>
            </w14:solidFill>
          </w14:textFill>
        </w:rPr>
        <w:t>参加同一合同项下的政府采购活动，否则其相关报价均将被认定为</w:t>
      </w:r>
      <w:r>
        <w:rPr>
          <w:rFonts w:hint="eastAsia" w:ascii="仿宋_GB2312" w:hAnsi="仿宋" w:cs="宋体"/>
          <w:b/>
          <w:bCs/>
          <w:color w:val="000000" w:themeColor="text1"/>
          <w:szCs w:val="28"/>
          <w14:textFill>
            <w14:solidFill>
              <w14:schemeClr w14:val="tx1"/>
            </w14:solidFill>
          </w14:textFill>
        </w:rPr>
        <w:t>无效</w:t>
      </w:r>
      <w:r>
        <w:rPr>
          <w:rFonts w:ascii="仿宋_GB2312" w:hAnsi="仿宋" w:cs="宋体"/>
          <w:color w:val="000000" w:themeColor="text1"/>
          <w:szCs w:val="28"/>
          <w14:textFill>
            <w14:solidFill>
              <w14:schemeClr w14:val="tx1"/>
            </w14:solidFill>
          </w14:textFill>
        </w:rPr>
        <w:t>。</w:t>
      </w:r>
    </w:p>
    <w:p w14:paraId="1BEF15A3">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2.7供应商在响应过程中不得向采购人提供或给予影响其正常决策行为的任何有</w:t>
      </w:r>
      <w:r>
        <w:rPr>
          <w:rFonts w:ascii="仿宋_GB2312" w:hAnsi="仿宋" w:cs="宋体"/>
          <w:color w:val="000000" w:themeColor="text1"/>
          <w:szCs w:val="28"/>
          <w14:textFill>
            <w14:solidFill>
              <w14:schemeClr w14:val="tx1"/>
            </w14:solidFill>
          </w14:textFill>
        </w:rPr>
        <w:t>价值物品</w:t>
      </w:r>
      <w:r>
        <w:rPr>
          <w:rFonts w:hint="eastAsia" w:ascii="仿宋_GB2312" w:hAnsi="仿宋" w:cs="宋体"/>
          <w:color w:val="000000" w:themeColor="text1"/>
          <w:szCs w:val="28"/>
          <w14:textFill>
            <w14:solidFill>
              <w14:schemeClr w14:val="tx1"/>
            </w14:solidFill>
          </w14:textFill>
        </w:rPr>
        <w:t>或</w:t>
      </w:r>
      <w:r>
        <w:rPr>
          <w:rFonts w:ascii="仿宋_GB2312" w:hAnsi="仿宋" w:cs="宋体"/>
          <w:color w:val="000000" w:themeColor="text1"/>
          <w:szCs w:val="28"/>
          <w14:textFill>
            <w14:solidFill>
              <w14:schemeClr w14:val="tx1"/>
            </w14:solidFill>
          </w14:textFill>
        </w:rPr>
        <w:t>服务</w:t>
      </w:r>
      <w:r>
        <w:rPr>
          <w:rFonts w:hint="eastAsia" w:ascii="仿宋_GB2312" w:hAnsi="仿宋" w:cs="宋体"/>
          <w:color w:val="000000" w:themeColor="text1"/>
          <w:szCs w:val="28"/>
          <w14:textFill>
            <w14:solidFill>
              <w14:schemeClr w14:val="tx1"/>
            </w14:solidFill>
          </w14:textFill>
        </w:rPr>
        <w:t>。</w:t>
      </w:r>
    </w:p>
    <w:p w14:paraId="42D42EFC">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2</w:t>
      </w:r>
      <w:r>
        <w:rPr>
          <w:rFonts w:ascii="仿宋_GB2312" w:hAnsi="仿宋" w:cs="宋体"/>
          <w:color w:val="000000" w:themeColor="text1"/>
          <w:szCs w:val="28"/>
          <w14:textFill>
            <w14:solidFill>
              <w14:schemeClr w14:val="tx1"/>
            </w14:solidFill>
          </w14:textFill>
        </w:rPr>
        <w:t>.</w:t>
      </w:r>
      <w:r>
        <w:rPr>
          <w:rFonts w:hint="eastAsia" w:ascii="仿宋_GB2312" w:hAnsi="仿宋" w:cs="宋体"/>
          <w:color w:val="000000" w:themeColor="text1"/>
          <w:szCs w:val="28"/>
          <w14:textFill>
            <w14:solidFill>
              <w14:schemeClr w14:val="tx1"/>
            </w14:solidFill>
          </w14:textFill>
        </w:rPr>
        <w:t>8供应商须对本项目指定一个项目负责人，对本项目所有事宜全程负责。未经采购人同意中途不得更换项目负责人。</w:t>
      </w:r>
    </w:p>
    <w:p w14:paraId="693AE06D">
      <w:pPr>
        <w:spacing w:line="560" w:lineRule="exact"/>
        <w:ind w:firstLine="565" w:firstLineChars="201"/>
        <w:rPr>
          <w:rFonts w:ascii="楷体_GB2312" w:hAnsi="仿宋" w:eastAsia="楷体_GB2312" w:cs="宋体"/>
          <w:b/>
          <w:color w:val="000000" w:themeColor="text1"/>
          <w:szCs w:val="28"/>
          <w14:textFill>
            <w14:solidFill>
              <w14:schemeClr w14:val="tx1"/>
            </w14:solidFill>
          </w14:textFill>
        </w:rPr>
      </w:pPr>
      <w:r>
        <w:rPr>
          <w:rFonts w:hint="eastAsia" w:ascii="楷体_GB2312" w:hAnsi="仿宋" w:eastAsia="楷体_GB2312" w:cs="宋体"/>
          <w:b/>
          <w:color w:val="000000" w:themeColor="text1"/>
          <w:szCs w:val="28"/>
          <w14:textFill>
            <w14:solidFill>
              <w14:schemeClr w14:val="tx1"/>
            </w14:solidFill>
          </w14:textFill>
        </w:rPr>
        <w:t>3.资金来源</w:t>
      </w:r>
    </w:p>
    <w:p w14:paraId="788DB61A">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3</w:t>
      </w:r>
      <w:r>
        <w:rPr>
          <w:rFonts w:ascii="仿宋_GB2312" w:hAnsi="仿宋" w:cs="宋体"/>
          <w:color w:val="000000" w:themeColor="text1"/>
          <w:szCs w:val="28"/>
          <w14:textFill>
            <w14:solidFill>
              <w14:schemeClr w14:val="tx1"/>
            </w14:solidFill>
          </w14:textFill>
        </w:rPr>
        <w:t>.1</w:t>
      </w:r>
      <w:r>
        <w:rPr>
          <w:rFonts w:hint="eastAsia" w:ascii="仿宋_GB2312" w:hAnsi="仿宋" w:cs="宋体"/>
          <w:color w:val="000000" w:themeColor="text1"/>
          <w:szCs w:val="28"/>
          <w14:textFill>
            <w14:solidFill>
              <w14:schemeClr w14:val="tx1"/>
            </w14:solidFill>
          </w14:textFill>
        </w:rPr>
        <w:t>本项目的采购人已获得足以支付本次采购后所签订的合同项下的资金（包括财政性资金和本项目采购</w:t>
      </w:r>
      <w:r>
        <w:rPr>
          <w:rFonts w:ascii="仿宋_GB2312" w:hAnsi="仿宋" w:cs="宋体"/>
          <w:color w:val="000000" w:themeColor="text1"/>
          <w:szCs w:val="28"/>
          <w14:textFill>
            <w14:solidFill>
              <w14:schemeClr w14:val="tx1"/>
            </w14:solidFill>
          </w14:textFill>
        </w:rPr>
        <w:t>中无法</w:t>
      </w:r>
      <w:r>
        <w:rPr>
          <w:rFonts w:hint="eastAsia" w:ascii="仿宋_GB2312" w:hAnsi="仿宋" w:cs="宋体"/>
          <w:color w:val="000000" w:themeColor="text1"/>
          <w:szCs w:val="28"/>
          <w14:textFill>
            <w14:solidFill>
              <w14:schemeClr w14:val="tx1"/>
            </w14:solidFill>
          </w14:textFill>
        </w:rPr>
        <w:t>与</w:t>
      </w:r>
      <w:r>
        <w:rPr>
          <w:rFonts w:ascii="仿宋_GB2312" w:hAnsi="仿宋" w:cs="宋体"/>
          <w:color w:val="000000" w:themeColor="text1"/>
          <w:szCs w:val="28"/>
          <w14:textFill>
            <w14:solidFill>
              <w14:schemeClr w14:val="tx1"/>
            </w14:solidFill>
          </w14:textFill>
        </w:rPr>
        <w:t>财政性资金分割的非财政性资金</w:t>
      </w:r>
      <w:r>
        <w:rPr>
          <w:rFonts w:hint="eastAsia" w:ascii="仿宋_GB2312" w:hAnsi="仿宋" w:cs="宋体"/>
          <w:color w:val="000000" w:themeColor="text1"/>
          <w:szCs w:val="28"/>
          <w14:textFill>
            <w14:solidFill>
              <w14:schemeClr w14:val="tx1"/>
            </w14:solidFill>
          </w14:textFill>
        </w:rPr>
        <w:t>，预采购项目除外）。</w:t>
      </w:r>
    </w:p>
    <w:p w14:paraId="4D99C5A4">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3.2项目预算金额和分项或分包最高限价见</w:t>
      </w:r>
      <w:r>
        <w:rPr>
          <w:rFonts w:hint="eastAsia" w:ascii="仿宋_GB2312" w:hAnsi="仿宋" w:cs="宋体"/>
          <w:color w:val="000000" w:themeColor="text1"/>
          <w:szCs w:val="28"/>
          <w:u w:val="single"/>
          <w14:textFill>
            <w14:solidFill>
              <w14:schemeClr w14:val="tx1"/>
            </w14:solidFill>
          </w14:textFill>
        </w:rPr>
        <w:t>响应须知前附表</w:t>
      </w:r>
      <w:r>
        <w:rPr>
          <w:rFonts w:hint="eastAsia" w:ascii="仿宋_GB2312" w:hAnsi="仿宋" w:cs="宋体"/>
          <w:color w:val="000000" w:themeColor="text1"/>
          <w:szCs w:val="28"/>
          <w14:textFill>
            <w14:solidFill>
              <w14:schemeClr w14:val="tx1"/>
            </w14:solidFill>
          </w14:textFill>
        </w:rPr>
        <w:t>。</w:t>
      </w:r>
    </w:p>
    <w:p w14:paraId="583EFDD9">
      <w:pPr>
        <w:snapToGrid w:val="0"/>
        <w:spacing w:line="560" w:lineRule="exact"/>
        <w:ind w:firstLine="562" w:firstLineChars="201"/>
        <w:rPr>
          <w:rFonts w:ascii="楷体_GB2312" w:hAnsi="宋体" w:eastAsia="楷体_GB2312"/>
          <w:b/>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3.3供应商报价超过采购文件规定的预算金额或者分项、分包最高限价的，其报价将被认定为</w:t>
      </w:r>
      <w:r>
        <w:rPr>
          <w:rFonts w:hint="eastAsia" w:ascii="仿宋_GB2312" w:hAnsi="仿宋" w:cs="宋体"/>
          <w:b/>
          <w:bCs/>
          <w:color w:val="000000" w:themeColor="text1"/>
          <w:szCs w:val="28"/>
          <w14:textFill>
            <w14:solidFill>
              <w14:schemeClr w14:val="tx1"/>
            </w14:solidFill>
          </w14:textFill>
        </w:rPr>
        <w:t>无效</w:t>
      </w:r>
      <w:r>
        <w:rPr>
          <w:rFonts w:ascii="仿宋_GB2312" w:hAnsi="仿宋" w:cs="宋体"/>
          <w:color w:val="000000" w:themeColor="text1"/>
          <w:szCs w:val="28"/>
          <w14:textFill>
            <w14:solidFill>
              <w14:schemeClr w14:val="tx1"/>
            </w14:solidFill>
          </w14:textFill>
        </w:rPr>
        <w:t>。</w:t>
      </w:r>
    </w:p>
    <w:p w14:paraId="5E346F04">
      <w:pPr>
        <w:snapToGrid w:val="0"/>
        <w:spacing w:line="560" w:lineRule="exact"/>
        <w:ind w:firstLine="565" w:firstLineChars="201"/>
        <w:rPr>
          <w:rFonts w:ascii="楷体_GB2312" w:hAnsi="宋体" w:eastAsia="楷体_GB2312"/>
          <w:b/>
          <w:color w:val="000000" w:themeColor="text1"/>
          <w:szCs w:val="28"/>
          <w14:textFill>
            <w14:solidFill>
              <w14:schemeClr w14:val="tx1"/>
            </w14:solidFill>
          </w14:textFill>
        </w:rPr>
      </w:pPr>
      <w:r>
        <w:rPr>
          <w:rFonts w:hint="eastAsia" w:ascii="楷体_GB2312" w:hAnsi="宋体" w:eastAsia="楷体_GB2312"/>
          <w:b/>
          <w:color w:val="000000" w:themeColor="text1"/>
          <w:szCs w:val="28"/>
          <w14:textFill>
            <w14:solidFill>
              <w14:schemeClr w14:val="tx1"/>
            </w14:solidFill>
          </w14:textFill>
        </w:rPr>
        <w:t>4.相关要求</w:t>
      </w:r>
    </w:p>
    <w:p w14:paraId="34760C77">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4.1供应商应承担所有与准备和参加报价的全部费用。不论电子响应结果如何，采购人和采购代理机构均无义务和责任承担这些费用。</w:t>
      </w:r>
    </w:p>
    <w:p w14:paraId="20FA698D">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4.2本项目若涉及采购货物，则合格的货物及相应服务应满足以下要求：</w:t>
      </w:r>
    </w:p>
    <w:p w14:paraId="7222C8D9">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4.2.1必须是全新、未使用过的原装合格正品（包括零部件），如安装或配置了软件的，须为正版软件。</w:t>
      </w:r>
    </w:p>
    <w:p w14:paraId="14A09D88">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4.2.2国产的货物及其有关服务必须符合中华人民共和国的设计和制造生产标准或行业标准。磋商公告有其他要求的，亦应符合其要求。</w:t>
      </w:r>
    </w:p>
    <w:p w14:paraId="64C3FEF5">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4.2.3进口货物及其有关服务必须符合原产地和/或中华人民共和国的设计和制造生产标准或行业标准。进口的货物必须具有合法的进口手续和途径，并通过中华人民共和国商检部门检验。磋商公告有其他要求的，亦应符合其要求。</w:t>
      </w:r>
    </w:p>
    <w:p w14:paraId="11E1B565">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4.2.4供应商应保证，其所提供的货物在提供给采购单位前具有完全的所有权，采购单位在中华人民共和国使用该货物或货物的任何一部分时，不会产生因第三方提出的包括但不限于侵犯其专利权、商标权、工业设计权等知识产权和侵犯其所有权、抵押权等物权及其他权利而引发的纠纷。如有纠纷，供应商应承担全部责任。</w:t>
      </w:r>
    </w:p>
    <w:p w14:paraId="72DB4D2B">
      <w:pPr>
        <w:snapToGrid w:val="0"/>
        <w:spacing w:line="560" w:lineRule="exact"/>
        <w:ind w:firstLine="565" w:firstLineChars="201"/>
        <w:rPr>
          <w:rFonts w:ascii="仿宋_GB2312" w:hAnsi="宋体"/>
          <w:b/>
          <w:color w:val="000000" w:themeColor="text1"/>
          <w:szCs w:val="28"/>
          <w14:textFill>
            <w14:solidFill>
              <w14:schemeClr w14:val="tx1"/>
            </w14:solidFill>
          </w14:textFill>
        </w:rPr>
      </w:pPr>
      <w:r>
        <w:rPr>
          <w:rFonts w:hint="eastAsia" w:ascii="仿宋_GB2312" w:hAnsi="宋体"/>
          <w:b/>
          <w:color w:val="000000" w:themeColor="text1"/>
          <w:szCs w:val="28"/>
          <w14:textFill>
            <w14:solidFill>
              <w14:schemeClr w14:val="tx1"/>
            </w14:solidFill>
          </w14:textFill>
        </w:rPr>
        <w:t>4.3供应商应通过威海市公共资源交易网（乳山分中心）登录威海市政府采购电子交易系统获取磋商文件，并通过威海市政府采购电子交易系统网上上传电子响应文件，电子响应文件成功上传后，将会生成投标回执，未通过威海市政府采购电子交易系统上传电子响应文件的，为无效响应。获取采购文件的供应商不足3家的，本项目直接废标。</w:t>
      </w:r>
    </w:p>
    <w:p w14:paraId="1D3B9A8A">
      <w:pPr>
        <w:spacing w:line="560" w:lineRule="exact"/>
        <w:ind w:firstLine="565" w:firstLineChars="201"/>
        <w:rPr>
          <w:rFonts w:ascii="楷体_GB2312" w:hAnsi="仿宋" w:eastAsia="楷体_GB2312" w:cs="宋体"/>
          <w:b/>
          <w:color w:val="000000" w:themeColor="text1"/>
          <w:szCs w:val="28"/>
          <w14:textFill>
            <w14:solidFill>
              <w14:schemeClr w14:val="tx1"/>
            </w14:solidFill>
          </w14:textFill>
        </w:rPr>
      </w:pPr>
      <w:r>
        <w:rPr>
          <w:rFonts w:hint="eastAsia" w:ascii="楷体_GB2312" w:hAnsi="仿宋" w:eastAsia="楷体_GB2312" w:cs="宋体"/>
          <w:b/>
          <w:color w:val="000000" w:themeColor="text1"/>
          <w:szCs w:val="28"/>
          <w14:textFill>
            <w14:solidFill>
              <w14:schemeClr w14:val="tx1"/>
            </w14:solidFill>
          </w14:textFill>
        </w:rPr>
        <w:t>5.电子报价特别提示</w:t>
      </w:r>
    </w:p>
    <w:p w14:paraId="676B4F57">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本项目供应商必须在中国山东政府采购网（网址：http://www.ccgp-shandong.gov.cn/sdgp2017/site/index.jsp）完成注册入库（已注册用户无需重复注册），然后登录威海市公共资源交易网（乳山分中心）（</w:t>
      </w:r>
      <w:r>
        <w:rPr>
          <w:rFonts w:ascii="仿宋_GB2312" w:hAnsi="仿宋" w:cs="宋体"/>
          <w:color w:val="000000" w:themeColor="text1"/>
          <w:szCs w:val="28"/>
          <w14:textFill>
            <w14:solidFill>
              <w14:schemeClr w14:val="tx1"/>
            </w14:solidFill>
          </w14:textFill>
        </w:rPr>
        <w:t>http://ggzyjy.weihai.cn/rushan/</w:t>
      </w:r>
      <w:r>
        <w:rPr>
          <w:rFonts w:hint="eastAsia" w:ascii="仿宋_GB2312" w:hAnsi="仿宋" w:cs="宋体"/>
          <w:color w:val="000000" w:themeColor="text1"/>
          <w:szCs w:val="28"/>
          <w14:textFill>
            <w14:solidFill>
              <w14:schemeClr w14:val="tx1"/>
            </w14:solidFill>
          </w14:textFill>
        </w:rPr>
        <w:t>），点击右侧【交易服务一网通办】按钮，进入“威海市交易服务一网通办系统”进行注册，取得用户名和密码（已经完成注册的供应商无须重复注册）；首次注册供应商应及时在威海市公共资源交易网（乳山分中心）申请办理安全证书（CA锁）及电子签章。</w:t>
      </w:r>
    </w:p>
    <w:p w14:paraId="00F6F0DA">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本项目必须</w:t>
      </w:r>
      <w:r>
        <w:rPr>
          <w:rFonts w:hint="eastAsia" w:ascii="仿宋_GB2312" w:hAnsi="仿宋" w:cs="宋体"/>
          <w:b/>
          <w:bCs/>
          <w:color w:val="000000" w:themeColor="text1"/>
          <w:szCs w:val="28"/>
          <w14:textFill>
            <w14:solidFill>
              <w14:schemeClr w14:val="tx1"/>
            </w14:solidFill>
          </w14:textFill>
        </w:rPr>
        <w:t>网上递交响应文件</w:t>
      </w:r>
      <w:r>
        <w:rPr>
          <w:rFonts w:hint="eastAsia" w:ascii="仿宋_GB2312" w:hAnsi="仿宋" w:cs="宋体"/>
          <w:color w:val="000000" w:themeColor="text1"/>
          <w:szCs w:val="28"/>
          <w14:textFill>
            <w14:solidFill>
              <w14:schemeClr w14:val="tx1"/>
            </w14:solidFill>
          </w14:textFill>
        </w:rPr>
        <w:t>，参与本项目报价的供应商应利用办理好的CA锁登录威海市政府采购电子交易系统获取采购文件、文件下载和网上报价，且安全证书（CA锁）在有效期内。</w:t>
      </w:r>
    </w:p>
    <w:p w14:paraId="7A841486">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 xml:space="preserve">网上报价时，登录交易平台的电脑须满足以下环境要求：（1）操作系统：Windows 7 </w:t>
      </w:r>
      <w:r>
        <w:rPr>
          <w:rFonts w:ascii="仿宋_GB2312" w:hAnsi="仿宋" w:cs="宋体"/>
          <w:color w:val="000000" w:themeColor="text1"/>
          <w:szCs w:val="28"/>
          <w14:textFill>
            <w14:solidFill>
              <w14:schemeClr w14:val="tx1"/>
            </w14:solidFill>
          </w14:textFill>
        </w:rPr>
        <w:t>/</w:t>
      </w:r>
      <w:r>
        <w:rPr>
          <w:rFonts w:hint="eastAsia" w:ascii="仿宋_GB2312" w:hAnsi="仿宋" w:cs="宋体"/>
          <w:color w:val="000000" w:themeColor="text1"/>
          <w:szCs w:val="28"/>
          <w14:textFill>
            <w14:solidFill>
              <w14:schemeClr w14:val="tx1"/>
            </w14:solidFill>
          </w14:textFill>
        </w:rPr>
        <w:t xml:space="preserve"> Windows </w:t>
      </w:r>
      <w:r>
        <w:rPr>
          <w:rFonts w:ascii="仿宋_GB2312" w:hAnsi="仿宋" w:cs="宋体"/>
          <w:color w:val="000000" w:themeColor="text1"/>
          <w:szCs w:val="28"/>
          <w14:textFill>
            <w14:solidFill>
              <w14:schemeClr w14:val="tx1"/>
            </w14:solidFill>
          </w14:textFill>
        </w:rPr>
        <w:t>10</w:t>
      </w:r>
      <w:r>
        <w:rPr>
          <w:rFonts w:hint="eastAsia" w:ascii="仿宋_GB2312" w:hAnsi="仿宋" w:cs="宋体"/>
          <w:color w:val="000000" w:themeColor="text1"/>
          <w:szCs w:val="28"/>
          <w14:textFill>
            <w14:solidFill>
              <w14:schemeClr w14:val="tx1"/>
            </w14:solidFill>
          </w14:textFill>
        </w:rPr>
        <w:t>（2）浏览器：Internet Explorer 11、10 （3）办公软件：Microsoft Office 2007、2010 （4）PDF软件推荐：Adobe Reader。非以上环境可能出现错误影响其报价，登录交易平台时如提示更新插件则必须更新，否则影响其电子响应。投标（响应）文件制作及递交等有关操作见本文件及威海市公共资源交易网（乳山分中心）-办事指南栏目-政府采购专区-《威海市政府采购电子交易系统供应商使用指南》，投标（响应）文件制作及系统使用咨询电话：</w:t>
      </w:r>
      <w:r>
        <w:rPr>
          <w:rFonts w:ascii="仿宋_GB2312" w:hAnsi="仿宋" w:cs="宋体"/>
          <w:color w:val="000000" w:themeColor="text1"/>
          <w:szCs w:val="28"/>
          <w14:textFill>
            <w14:solidFill>
              <w14:schemeClr w14:val="tx1"/>
            </w14:solidFill>
          </w14:textFill>
        </w:rPr>
        <w:t>4009</w:t>
      </w:r>
      <w:r>
        <w:rPr>
          <w:rFonts w:hint="eastAsia" w:ascii="仿宋_GB2312" w:hAnsi="仿宋" w:cs="宋体"/>
          <w:color w:val="000000" w:themeColor="text1"/>
          <w:szCs w:val="28"/>
          <w14:textFill>
            <w14:solidFill>
              <w14:schemeClr w14:val="tx1"/>
            </w14:solidFill>
          </w14:textFill>
        </w:rPr>
        <w:t>-</w:t>
      </w:r>
      <w:r>
        <w:rPr>
          <w:rFonts w:ascii="仿宋_GB2312" w:hAnsi="仿宋" w:cs="宋体"/>
          <w:color w:val="000000" w:themeColor="text1"/>
          <w:szCs w:val="28"/>
          <w14:textFill>
            <w14:solidFill>
              <w14:schemeClr w14:val="tx1"/>
            </w14:solidFill>
          </w14:textFill>
        </w:rPr>
        <w:t>913</w:t>
      </w:r>
      <w:r>
        <w:rPr>
          <w:rFonts w:hint="eastAsia" w:ascii="仿宋_GB2312" w:hAnsi="仿宋" w:cs="宋体"/>
          <w:color w:val="000000" w:themeColor="text1"/>
          <w:szCs w:val="28"/>
          <w14:textFill>
            <w14:solidFill>
              <w14:schemeClr w14:val="tx1"/>
            </w14:solidFill>
          </w14:textFill>
        </w:rPr>
        <w:t>-</w:t>
      </w:r>
      <w:r>
        <w:rPr>
          <w:rFonts w:ascii="仿宋_GB2312" w:hAnsi="仿宋" w:cs="宋体"/>
          <w:color w:val="000000" w:themeColor="text1"/>
          <w:szCs w:val="28"/>
          <w14:textFill>
            <w14:solidFill>
              <w14:schemeClr w14:val="tx1"/>
            </w14:solidFill>
          </w14:textFill>
        </w:rPr>
        <w:t>966</w:t>
      </w:r>
      <w:r>
        <w:rPr>
          <w:rFonts w:hint="eastAsia" w:ascii="仿宋_GB2312" w:hAnsi="仿宋" w:cs="宋体"/>
          <w:color w:val="000000" w:themeColor="text1"/>
          <w:szCs w:val="28"/>
          <w14:textFill>
            <w14:solidFill>
              <w14:schemeClr w14:val="tx1"/>
            </w14:solidFill>
          </w14:textFill>
        </w:rPr>
        <w:t>,18769124292。</w:t>
      </w:r>
    </w:p>
    <w:p w14:paraId="5F678124">
      <w:pPr>
        <w:snapToGrid w:val="0"/>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供应商提交的电子报价文件应按照本采购文件《第五章 投标文件格式》进行编制，数据文件（excel格式）必须从本项目的报价文件压缩包内的对应包段目录下获取，且必须在原文件上严格按照其中要求填写。电子报价文件编制不规范导致报价文件内容无法导入系统的，该报价文件将被视为无效报价文件。</w:t>
      </w:r>
    </w:p>
    <w:p w14:paraId="00D2B84B">
      <w:pPr>
        <w:snapToGrid w:val="0"/>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电子报价文件必需有电子签章方为合法的投标文件，未对电子报价文件进行电子签章签名的，将作为无效投标处理。电子报价文件的电子签章要求：在生成电子报价文件pdf格式时，都必须对电子报价文件进行电子签章；签章时需要将电子签章签署到相应的位置中。</w:t>
      </w:r>
    </w:p>
    <w:p w14:paraId="29E29FD9">
      <w:pPr>
        <w:snapToGrid w:val="0"/>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报价文件中的相关扫描件应保证清晰度，无法辨认的评审时受到影响的，由供应商承担相应责任。</w:t>
      </w:r>
    </w:p>
    <w:p w14:paraId="7E0923C6">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供应商应充分考虑到网上报价会发生的故障和风险。对发生的任何故障和风险造成供应商报价内容不一致或利益受损或报价失败的，采购人及采购代理机构不承担任何责任。</w:t>
      </w:r>
    </w:p>
    <w:p w14:paraId="1BE5DA81">
      <w:pPr>
        <w:pStyle w:val="4"/>
        <w:ind w:firstLine="562"/>
        <w:rPr>
          <w:color w:val="000000" w:themeColor="text1"/>
          <w14:textFill>
            <w14:solidFill>
              <w14:schemeClr w14:val="tx1"/>
            </w14:solidFill>
          </w14:textFill>
        </w:rPr>
      </w:pPr>
      <w:r>
        <w:rPr>
          <w:rFonts w:hint="eastAsia"/>
          <w:color w:val="000000" w:themeColor="text1"/>
          <w14:textFill>
            <w14:solidFill>
              <w14:schemeClr w14:val="tx1"/>
            </w14:solidFill>
          </w14:textFill>
        </w:rPr>
        <w:t>二、竞争性磋商文件</w:t>
      </w:r>
    </w:p>
    <w:p w14:paraId="2AE9DE99">
      <w:pPr>
        <w:snapToGrid w:val="0"/>
        <w:spacing w:line="560" w:lineRule="exact"/>
        <w:ind w:firstLine="565" w:firstLineChars="201"/>
        <w:rPr>
          <w:rFonts w:ascii="楷体_GB2312" w:hAnsi="宋体" w:eastAsia="楷体_GB2312"/>
          <w:b/>
          <w:color w:val="000000" w:themeColor="text1"/>
          <w:szCs w:val="28"/>
          <w14:textFill>
            <w14:solidFill>
              <w14:schemeClr w14:val="tx1"/>
            </w14:solidFill>
          </w14:textFill>
        </w:rPr>
      </w:pPr>
      <w:r>
        <w:rPr>
          <w:rFonts w:hint="eastAsia" w:ascii="楷体_GB2312" w:hAnsi="宋体" w:eastAsia="楷体_GB2312"/>
          <w:b/>
          <w:color w:val="000000" w:themeColor="text1"/>
          <w:szCs w:val="28"/>
          <w14:textFill>
            <w14:solidFill>
              <w14:schemeClr w14:val="tx1"/>
            </w14:solidFill>
          </w14:textFill>
        </w:rPr>
        <w:t>6.竞争性磋商文件的构成</w:t>
      </w:r>
    </w:p>
    <w:p w14:paraId="64C35323">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由各包段本文件（</w:t>
      </w:r>
      <w:r>
        <w:rPr>
          <w:rFonts w:ascii="仿宋_GB2312" w:hAnsi="宋体"/>
          <w:color w:val="000000" w:themeColor="text1"/>
          <w:szCs w:val="28"/>
          <w14:textFill>
            <w14:solidFill>
              <w14:schemeClr w14:val="tx1"/>
            </w14:solidFill>
          </w14:textFill>
        </w:rPr>
        <w:t>WORD</w:t>
      </w:r>
      <w:r>
        <w:rPr>
          <w:rFonts w:hint="eastAsia" w:ascii="仿宋_GB2312" w:hAnsi="宋体"/>
          <w:color w:val="000000" w:themeColor="text1"/>
          <w:szCs w:val="28"/>
          <w14:textFill>
            <w14:solidFill>
              <w14:schemeClr w14:val="tx1"/>
            </w14:solidFill>
          </w14:textFill>
        </w:rPr>
        <w:t>格式）和各包段的数据文件（</w:t>
      </w:r>
      <w:r>
        <w:rPr>
          <w:rFonts w:ascii="仿宋_GB2312" w:hAnsi="宋体"/>
          <w:color w:val="000000" w:themeColor="text1"/>
          <w:szCs w:val="28"/>
          <w14:textFill>
            <w14:solidFill>
              <w14:schemeClr w14:val="tx1"/>
            </w14:solidFill>
          </w14:textFill>
        </w:rPr>
        <w:t>EXCEL</w:t>
      </w:r>
      <w:r>
        <w:rPr>
          <w:rFonts w:hint="eastAsia" w:ascii="仿宋_GB2312" w:hAnsi="宋体"/>
          <w:color w:val="000000" w:themeColor="text1"/>
          <w:szCs w:val="28"/>
          <w14:textFill>
            <w14:solidFill>
              <w14:schemeClr w14:val="tx1"/>
            </w14:solidFill>
          </w14:textFill>
        </w:rPr>
        <w:t>格式）构成，采用压缩包电子版文件格式提供。</w:t>
      </w:r>
    </w:p>
    <w:p w14:paraId="260FFC30">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6.1本文件（</w:t>
      </w:r>
      <w:r>
        <w:rPr>
          <w:rFonts w:ascii="仿宋_GB2312" w:hAnsi="宋体"/>
          <w:color w:val="000000" w:themeColor="text1"/>
          <w:szCs w:val="28"/>
          <w14:textFill>
            <w14:solidFill>
              <w14:schemeClr w14:val="tx1"/>
            </w14:solidFill>
          </w14:textFill>
        </w:rPr>
        <w:t>WORD</w:t>
      </w:r>
      <w:r>
        <w:rPr>
          <w:rFonts w:hint="eastAsia" w:ascii="仿宋_GB2312" w:hAnsi="宋体"/>
          <w:color w:val="000000" w:themeColor="text1"/>
          <w:szCs w:val="28"/>
          <w14:textFill>
            <w14:solidFill>
              <w14:schemeClr w14:val="tx1"/>
            </w14:solidFill>
          </w14:textFill>
        </w:rPr>
        <w:t>格式）由下列文件组成：</w:t>
      </w:r>
    </w:p>
    <w:p w14:paraId="1D22A826">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（1）采购公告</w:t>
      </w:r>
    </w:p>
    <w:p w14:paraId="50157239">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（2）响应须知</w:t>
      </w:r>
    </w:p>
    <w:p w14:paraId="4A664112">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（3）采购内容与要求</w:t>
      </w:r>
    </w:p>
    <w:p w14:paraId="2770A9D0">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（4）评审原则和方法</w:t>
      </w:r>
    </w:p>
    <w:p w14:paraId="2EEEA77A">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（5）投标（响应）文件格式</w:t>
      </w:r>
    </w:p>
    <w:p w14:paraId="27707A5E">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（6）政府采购合同（范本）</w:t>
      </w:r>
    </w:p>
    <w:p w14:paraId="716D4E9E">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（7）在采购过程中由采购人或采购代理机构发出的修正和补充文件等(如有）</w:t>
      </w:r>
    </w:p>
    <w:p w14:paraId="5B1E9442">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6.2数据文件（</w:t>
      </w:r>
      <w:r>
        <w:rPr>
          <w:rFonts w:ascii="仿宋_GB2312" w:hAnsi="宋体"/>
          <w:color w:val="000000" w:themeColor="text1"/>
          <w:szCs w:val="28"/>
          <w14:textFill>
            <w14:solidFill>
              <w14:schemeClr w14:val="tx1"/>
            </w14:solidFill>
          </w14:textFill>
        </w:rPr>
        <w:t>EXCEL</w:t>
      </w:r>
      <w:r>
        <w:rPr>
          <w:rFonts w:hint="eastAsia" w:ascii="仿宋_GB2312" w:hAnsi="宋体"/>
          <w:color w:val="000000" w:themeColor="text1"/>
          <w:szCs w:val="28"/>
          <w14:textFill>
            <w14:solidFill>
              <w14:schemeClr w14:val="tx1"/>
            </w14:solidFill>
          </w14:textFill>
        </w:rPr>
        <w:t>格式）由下列文件组成：</w:t>
      </w:r>
    </w:p>
    <w:p w14:paraId="37A35B1E">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（1）封面</w:t>
      </w:r>
    </w:p>
    <w:p w14:paraId="03A7D6B7">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（2）投标报价表</w:t>
      </w:r>
    </w:p>
    <w:p w14:paraId="3E44D6E4">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（3）需求响应表（如有）</w:t>
      </w:r>
    </w:p>
    <w:p w14:paraId="5CD10BBF">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（4）评审对照表</w:t>
      </w:r>
    </w:p>
    <w:p w14:paraId="2198329D">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（5）评分对照表</w:t>
      </w:r>
    </w:p>
    <w:p w14:paraId="1DE1A712">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6.3供应商应认真阅读采购文件中所有的事项、格式、条款和技术规范、参数及要求等，如果供应商没有按照采购文件要求提交全部资料，或者供应商没有对采购文件在各方面都做出实质性响应，</w:t>
      </w:r>
      <w:r>
        <w:rPr>
          <w:rFonts w:hint="eastAsia" w:ascii="仿宋_GB2312" w:hAnsi="仿宋" w:cs="宋体"/>
          <w:b/>
          <w:bCs/>
          <w:color w:val="000000" w:themeColor="text1"/>
          <w:szCs w:val="28"/>
          <w14:textFill>
            <w14:solidFill>
              <w14:schemeClr w14:val="tx1"/>
            </w14:solidFill>
          </w14:textFill>
        </w:rPr>
        <w:t>其风险应由供应商自行承担并根据有关政策和条款规定</w:t>
      </w:r>
      <w:r>
        <w:rPr>
          <w:rFonts w:hint="eastAsia" w:ascii="仿宋_GB2312" w:hAnsi="仿宋" w:cs="宋体"/>
          <w:color w:val="000000" w:themeColor="text1"/>
          <w:szCs w:val="28"/>
          <w14:textFill>
            <w14:solidFill>
              <w14:schemeClr w14:val="tx1"/>
            </w14:solidFill>
          </w14:textFill>
        </w:rPr>
        <w:t>，</w:t>
      </w:r>
      <w:r>
        <w:rPr>
          <w:rFonts w:hint="eastAsia" w:ascii="仿宋_GB2312" w:hAnsi="宋体"/>
          <w:color w:val="000000" w:themeColor="text1"/>
          <w:szCs w:val="28"/>
          <w14:textFill>
            <w14:solidFill>
              <w14:schemeClr w14:val="tx1"/>
            </w14:solidFill>
          </w14:textFill>
        </w:rPr>
        <w:t>其响应有可能被拒绝，或者被认定为</w:t>
      </w:r>
      <w:r>
        <w:rPr>
          <w:rFonts w:hint="eastAsia" w:ascii="仿宋_GB2312" w:hAnsi="宋体"/>
          <w:b/>
          <w:color w:val="000000" w:themeColor="text1"/>
          <w:szCs w:val="28"/>
          <w14:textFill>
            <w14:solidFill>
              <w14:schemeClr w14:val="tx1"/>
            </w14:solidFill>
          </w14:textFill>
        </w:rPr>
        <w:t>无效</w:t>
      </w:r>
      <w:r>
        <w:rPr>
          <w:rFonts w:hint="eastAsia" w:ascii="仿宋_GB2312" w:hAnsi="仿宋" w:cs="宋体"/>
          <w:b/>
          <w:color w:val="000000" w:themeColor="text1"/>
          <w:szCs w:val="28"/>
          <w14:textFill>
            <w14:solidFill>
              <w14:schemeClr w14:val="tx1"/>
            </w14:solidFill>
          </w14:textFill>
        </w:rPr>
        <w:t>投标（响应）</w:t>
      </w:r>
      <w:r>
        <w:rPr>
          <w:rFonts w:hint="eastAsia" w:ascii="仿宋_GB2312" w:hAnsi="宋体"/>
          <w:color w:val="000000" w:themeColor="text1"/>
          <w:szCs w:val="28"/>
          <w14:textFill>
            <w14:solidFill>
              <w14:schemeClr w14:val="tx1"/>
            </w14:solidFill>
          </w14:textFill>
        </w:rPr>
        <w:t>。</w:t>
      </w:r>
    </w:p>
    <w:p w14:paraId="682FB7E8">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6</w:t>
      </w:r>
      <w:r>
        <w:rPr>
          <w:rFonts w:ascii="仿宋_GB2312" w:hAnsi="仿宋" w:cs="宋体"/>
          <w:color w:val="000000" w:themeColor="text1"/>
          <w:szCs w:val="28"/>
          <w14:textFill>
            <w14:solidFill>
              <w14:schemeClr w14:val="tx1"/>
            </w14:solidFill>
          </w14:textFill>
        </w:rPr>
        <w:t>.</w:t>
      </w:r>
      <w:r>
        <w:rPr>
          <w:rFonts w:hint="eastAsia" w:ascii="仿宋_GB2312" w:hAnsi="仿宋" w:cs="宋体"/>
          <w:color w:val="000000" w:themeColor="text1"/>
          <w:szCs w:val="28"/>
          <w14:textFill>
            <w14:solidFill>
              <w14:schemeClr w14:val="tx1"/>
            </w14:solidFill>
          </w14:textFill>
        </w:rPr>
        <w:t>4采购文件</w:t>
      </w:r>
      <w:r>
        <w:rPr>
          <w:rFonts w:ascii="仿宋_GB2312" w:hAnsi="仿宋" w:cs="宋体"/>
          <w:color w:val="000000" w:themeColor="text1"/>
          <w:szCs w:val="28"/>
          <w14:textFill>
            <w14:solidFill>
              <w14:schemeClr w14:val="tx1"/>
            </w14:solidFill>
          </w14:textFill>
        </w:rPr>
        <w:t>中有不一致的，有澄清的部分</w:t>
      </w:r>
      <w:r>
        <w:rPr>
          <w:rFonts w:hint="eastAsia" w:ascii="仿宋_GB2312" w:hAnsi="仿宋" w:cs="宋体"/>
          <w:color w:val="000000" w:themeColor="text1"/>
          <w:szCs w:val="28"/>
          <w14:textFill>
            <w14:solidFill>
              <w14:schemeClr w14:val="tx1"/>
            </w14:solidFill>
          </w14:textFill>
        </w:rPr>
        <w:t>以</w:t>
      </w:r>
      <w:r>
        <w:rPr>
          <w:rFonts w:ascii="仿宋_GB2312" w:hAnsi="仿宋" w:cs="宋体"/>
          <w:color w:val="000000" w:themeColor="text1"/>
          <w:szCs w:val="28"/>
          <w14:textFill>
            <w14:solidFill>
              <w14:schemeClr w14:val="tx1"/>
            </w14:solidFill>
          </w14:textFill>
        </w:rPr>
        <w:t>最终的澄清更正内容为准</w:t>
      </w:r>
      <w:r>
        <w:rPr>
          <w:rFonts w:hint="eastAsia" w:ascii="仿宋_GB2312" w:hAnsi="仿宋" w:cs="宋体"/>
          <w:color w:val="000000" w:themeColor="text1"/>
          <w:szCs w:val="28"/>
          <w14:textFill>
            <w14:solidFill>
              <w14:schemeClr w14:val="tx1"/>
            </w14:solidFill>
          </w14:textFill>
        </w:rPr>
        <w:t>；未澄清的，</w:t>
      </w:r>
      <w:r>
        <w:rPr>
          <w:rFonts w:ascii="仿宋_GB2312" w:hAnsi="仿宋" w:cs="宋体"/>
          <w:color w:val="000000" w:themeColor="text1"/>
          <w:szCs w:val="28"/>
          <w14:textFill>
            <w14:solidFill>
              <w14:schemeClr w14:val="tx1"/>
            </w14:solidFill>
          </w14:textFill>
        </w:rPr>
        <w:t>以</w:t>
      </w:r>
      <w:r>
        <w:rPr>
          <w:rFonts w:ascii="仿宋_GB2312" w:hAnsi="仿宋" w:cs="宋体"/>
          <w:color w:val="000000" w:themeColor="text1"/>
          <w:szCs w:val="28"/>
          <w:u w:val="single"/>
          <w14:textFill>
            <w14:solidFill>
              <w14:schemeClr w14:val="tx1"/>
            </w14:solidFill>
          </w14:textFill>
        </w:rPr>
        <w:t>响应须知前附表</w:t>
      </w:r>
      <w:r>
        <w:rPr>
          <w:rFonts w:ascii="仿宋_GB2312" w:hAnsi="仿宋" w:cs="宋体"/>
          <w:color w:val="000000" w:themeColor="text1"/>
          <w:szCs w:val="28"/>
          <w14:textFill>
            <w14:solidFill>
              <w14:schemeClr w14:val="tx1"/>
            </w14:solidFill>
          </w14:textFill>
        </w:rPr>
        <w:t>为准</w:t>
      </w:r>
      <w:r>
        <w:rPr>
          <w:rFonts w:hint="eastAsia" w:ascii="仿宋_GB2312" w:hAnsi="仿宋" w:cs="宋体"/>
          <w:color w:val="000000" w:themeColor="text1"/>
          <w:szCs w:val="28"/>
          <w14:textFill>
            <w14:solidFill>
              <w14:schemeClr w14:val="tx1"/>
            </w14:solidFill>
          </w14:textFill>
        </w:rPr>
        <w:t>；</w:t>
      </w:r>
      <w:r>
        <w:rPr>
          <w:rFonts w:ascii="仿宋_GB2312" w:hAnsi="仿宋" w:cs="宋体"/>
          <w:color w:val="000000" w:themeColor="text1"/>
          <w:szCs w:val="28"/>
          <w:u w:val="single"/>
          <w14:textFill>
            <w14:solidFill>
              <w14:schemeClr w14:val="tx1"/>
            </w14:solidFill>
          </w14:textFill>
        </w:rPr>
        <w:t>响应须知前附表</w:t>
      </w:r>
      <w:r>
        <w:rPr>
          <w:rFonts w:hint="eastAsia" w:ascii="仿宋_GB2312" w:hAnsi="仿宋" w:cs="宋体"/>
          <w:color w:val="000000" w:themeColor="text1"/>
          <w:szCs w:val="28"/>
          <w14:textFill>
            <w14:solidFill>
              <w14:schemeClr w14:val="tx1"/>
            </w14:solidFill>
          </w14:textFill>
        </w:rPr>
        <w:t>不涉及的内容，以编排在后的描述为准。</w:t>
      </w:r>
    </w:p>
    <w:p w14:paraId="68DBC52B">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6.5采购文件以中文编印，且以中文为准。</w:t>
      </w:r>
    </w:p>
    <w:p w14:paraId="445E7C68">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6.6除非有特殊要求，采购文件不单独提供采购货物使用地的自然环境、气候条件、公用设施等情况，供应商被视为熟悉上述与履行合同有关的一切情况。</w:t>
      </w:r>
    </w:p>
    <w:p w14:paraId="14446F26">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6.7除采购文件中另有规定外，采购文件所使用的时间单位“天”、“日”均指日历天，且所有时刻均为北京时间。</w:t>
      </w:r>
    </w:p>
    <w:p w14:paraId="6C414871">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6.8参与本次采购活动的各方应对采购文件和响应文件中的商业和技术等秘密保密，违者应对由此造成的后果承担法律责任。</w:t>
      </w:r>
    </w:p>
    <w:p w14:paraId="2C7399FC">
      <w:pPr>
        <w:snapToGrid w:val="0"/>
        <w:spacing w:line="560" w:lineRule="exact"/>
        <w:ind w:firstLine="565" w:firstLineChars="201"/>
        <w:rPr>
          <w:rFonts w:ascii="楷体_GB2312" w:hAnsi="宋体" w:eastAsia="楷体_GB2312"/>
          <w:b/>
          <w:color w:val="000000" w:themeColor="text1"/>
          <w:szCs w:val="28"/>
          <w14:textFill>
            <w14:solidFill>
              <w14:schemeClr w14:val="tx1"/>
            </w14:solidFill>
          </w14:textFill>
        </w:rPr>
      </w:pPr>
      <w:r>
        <w:rPr>
          <w:rFonts w:hint="eastAsia" w:ascii="楷体_GB2312" w:hAnsi="宋体" w:eastAsia="楷体_GB2312"/>
          <w:b/>
          <w:color w:val="000000" w:themeColor="text1"/>
          <w:szCs w:val="28"/>
          <w14:textFill>
            <w14:solidFill>
              <w14:schemeClr w14:val="tx1"/>
            </w14:solidFill>
          </w14:textFill>
        </w:rPr>
        <w:t>7.竞争性磋商文件的澄清</w:t>
      </w:r>
    </w:p>
    <w:p w14:paraId="40B26F68">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7.1供应商在收到磋商文件后，对磋商文件若有任何疑问或要求澄清磋商文件的，应在有效期内按“</w:t>
      </w:r>
      <w:r>
        <w:rPr>
          <w:rFonts w:hint="eastAsia" w:ascii="仿宋_GB2312" w:hAnsi="宋体"/>
          <w:color w:val="000000" w:themeColor="text1"/>
          <w:szCs w:val="28"/>
          <w:u w:val="single"/>
          <w14:textFill>
            <w14:solidFill>
              <w14:schemeClr w14:val="tx1"/>
            </w14:solidFill>
          </w14:textFill>
        </w:rPr>
        <w:t>响应须知前附表</w:t>
      </w:r>
      <w:r>
        <w:rPr>
          <w:rFonts w:hint="eastAsia" w:ascii="仿宋_GB2312" w:hAnsi="宋体"/>
          <w:color w:val="000000" w:themeColor="text1"/>
          <w:szCs w:val="28"/>
          <w14:textFill>
            <w14:solidFill>
              <w14:schemeClr w14:val="tx1"/>
            </w14:solidFill>
          </w14:textFill>
        </w:rPr>
        <w:t>”第四项向采购代理机构提出，必要时采购代理机构将协助采购人组织所有获取采购文件的供应商举行答疑会，采购代理机构根据需要主动对磋商文件进行必要的澄清或根据供应商的要求对磋商文件做出澄清，都将以原网站公开发布形式（包括电子交易系统推送）答复或发送给所有供应商。澄清文件作为磋商文件的组成部分，对供应商起约束作用。</w:t>
      </w:r>
    </w:p>
    <w:p w14:paraId="649C588C">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7.2供应商在规定的时间内未对磋商文件澄清或提出疑问的，采购代理机构将视其为接受磋商文件的所有条款，对磋商文件没有异议，此后也不再受理对磋商文件的相关质疑。</w:t>
      </w:r>
    </w:p>
    <w:p w14:paraId="15E77DB5">
      <w:pPr>
        <w:snapToGrid w:val="0"/>
        <w:spacing w:line="560" w:lineRule="exact"/>
        <w:ind w:firstLine="565" w:firstLineChars="201"/>
        <w:rPr>
          <w:rFonts w:ascii="楷体_GB2312" w:hAnsi="宋体" w:eastAsia="楷体_GB2312"/>
          <w:b/>
          <w:color w:val="000000" w:themeColor="text1"/>
          <w:szCs w:val="28"/>
          <w14:textFill>
            <w14:solidFill>
              <w14:schemeClr w14:val="tx1"/>
            </w14:solidFill>
          </w14:textFill>
        </w:rPr>
      </w:pPr>
      <w:r>
        <w:rPr>
          <w:rFonts w:hint="eastAsia" w:ascii="楷体_GB2312" w:hAnsi="宋体" w:eastAsia="楷体_GB2312"/>
          <w:b/>
          <w:color w:val="000000" w:themeColor="text1"/>
          <w:szCs w:val="28"/>
          <w14:textFill>
            <w14:solidFill>
              <w14:schemeClr w14:val="tx1"/>
            </w14:solidFill>
          </w14:textFill>
        </w:rPr>
        <w:t>8.竞争性磋商文件的修改</w:t>
      </w:r>
    </w:p>
    <w:p w14:paraId="474E012F">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8.</w:t>
      </w:r>
      <w:r>
        <w:rPr>
          <w:rFonts w:ascii="仿宋_GB2312" w:hAnsi="宋体"/>
          <w:color w:val="000000" w:themeColor="text1"/>
          <w:szCs w:val="28"/>
          <w14:textFill>
            <w14:solidFill>
              <w14:schemeClr w14:val="tx1"/>
            </w14:solidFill>
          </w14:textFill>
        </w:rPr>
        <w:t>1</w:t>
      </w:r>
      <w:r>
        <w:rPr>
          <w:rFonts w:hint="eastAsia" w:ascii="仿宋_GB2312" w:hAnsi="宋体"/>
          <w:color w:val="000000" w:themeColor="text1"/>
          <w:szCs w:val="28"/>
          <w14:textFill>
            <w14:solidFill>
              <w14:schemeClr w14:val="tx1"/>
            </w14:solidFill>
          </w14:textFill>
        </w:rPr>
        <w:t xml:space="preserve"> 在响应截止时间5日以前，无论出于何种原因，采购人或采购代理机构可主动或在解答供应商提出的疑问时对磋商文件进行修改。</w:t>
      </w:r>
    </w:p>
    <w:p w14:paraId="444387B6">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8.2 修改后的内容是磋商文件的组成部分，采购人、采购代理机构将会通过“中国山东政府采购网”、“威海市公共资源交易网”、“威海市公共资源交易网（乳山分中心）”，以更正公告形式（电子交易系统发送更正提醒通知）一并告知所有潜在供应商，并对潜在供应商具有约束力。潜在供应商在收到上述通知后，应立即以书面形式向采购代理机构或采购人确认，如在24小时内无书面回函则视为同意修改内容，并有义务履行相应的义务。</w:t>
      </w:r>
      <w:r>
        <w:rPr>
          <w:rFonts w:hint="eastAsia" w:ascii="仿宋_GB2312" w:hAnsi="仿宋" w:cs="宋体"/>
          <w:color w:val="000000" w:themeColor="text1"/>
          <w:szCs w:val="28"/>
          <w14:textFill>
            <w14:solidFill>
              <w14:schemeClr w14:val="tx1"/>
            </w14:solidFill>
          </w14:textFill>
        </w:rPr>
        <w:t>因潜在供应商原因或通讯线路故障导致逾期送达或无法送达，采购代理机构不因此承担任何责任，有关的采购活动可以继续有效进行。</w:t>
      </w:r>
    </w:p>
    <w:p w14:paraId="1A8D1016">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8.3 澄清或者修改的内容可能影响响应文件编制的，采购人或采购代理机构将在响应截止时间5日前，通过原网站发布公告的形式（电子交易系统内发送更正提醒通知）通知所有获取磋商文件的潜在供应商（采购文件变更的，供应商必须从电子交易系统中重新下载采购文件，并在新下载文件的基础上编制响应文件）；不足5日的，采购人或者采购代理机构将顺延提交响应文件的截止时间。</w:t>
      </w:r>
    </w:p>
    <w:p w14:paraId="26E85FD5">
      <w:pPr>
        <w:pStyle w:val="4"/>
        <w:ind w:firstLine="562"/>
        <w:rPr>
          <w:color w:val="000000" w:themeColor="text1"/>
          <w14:textFill>
            <w14:solidFill>
              <w14:schemeClr w14:val="tx1"/>
            </w14:solidFill>
          </w14:textFill>
        </w:rPr>
      </w:pPr>
      <w:r>
        <w:rPr>
          <w:rFonts w:hint="eastAsia"/>
          <w:color w:val="000000" w:themeColor="text1"/>
          <w14:textFill>
            <w14:solidFill>
              <w14:schemeClr w14:val="tx1"/>
            </w14:solidFill>
          </w14:textFill>
        </w:rPr>
        <w:t>三、响应文件的编制</w:t>
      </w:r>
    </w:p>
    <w:p w14:paraId="6814C52E">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本项目须提交两阶段响应文件，分别包括第一阶段响应文件、第二阶段响应文件（采购人实质性变动采购要求的情况下编制）。第一阶段提交首次响应文件，文件由资质、技术及商务和报价四部分组成。第二阶段按照磋商文件的变动情况和磋商小组的要求重新提交响应文件，并由其法定代表人（签章）或被授权人签字或者加盖公章。由被授权人签字的，应当附法定代表人授权书。供应商为自然人的，应当由本人签字并附身份证明。</w:t>
      </w:r>
    </w:p>
    <w:p w14:paraId="54558C62">
      <w:pPr>
        <w:snapToGrid w:val="0"/>
        <w:spacing w:line="560" w:lineRule="exact"/>
        <w:ind w:firstLine="565" w:firstLineChars="201"/>
        <w:rPr>
          <w:rFonts w:ascii="楷体_GB2312" w:hAnsi="宋体" w:eastAsia="楷体_GB2312"/>
          <w:b/>
          <w:color w:val="000000" w:themeColor="text1"/>
          <w:szCs w:val="28"/>
          <w14:textFill>
            <w14:solidFill>
              <w14:schemeClr w14:val="tx1"/>
            </w14:solidFill>
          </w14:textFill>
        </w:rPr>
      </w:pPr>
      <w:r>
        <w:rPr>
          <w:rFonts w:hint="eastAsia" w:ascii="楷体_GB2312" w:hAnsi="宋体" w:eastAsia="楷体_GB2312"/>
          <w:b/>
          <w:color w:val="000000" w:themeColor="text1"/>
          <w:szCs w:val="28"/>
          <w14:textFill>
            <w14:solidFill>
              <w14:schemeClr w14:val="tx1"/>
            </w14:solidFill>
          </w14:textFill>
        </w:rPr>
        <w:t>9.响应文件编制要求</w:t>
      </w:r>
    </w:p>
    <w:p w14:paraId="334750C3">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9.1供应商编写的文件和往来信件应以简体中文书写。如果响应文件或与响应有关的其它文件、信件及来往函电以其它语言书写的，供应商应将其译成中文，如未翻译该文件为无效文件。</w:t>
      </w:r>
    </w:p>
    <w:p w14:paraId="7F707D17">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9.2响应文件中使用的计量单位应使用中华人民共和国法定计量单位。</w:t>
      </w:r>
    </w:p>
    <w:p w14:paraId="2AF18F27">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9.3供应商必须保证响应文件所提供的全部资料真实可靠，并接受采购人或采购代理机构对其中任何资料进一步核实的要求。如果因为响应文件填报的内容不详，或没有提供竞争性磋商中所要求的全部资料及数据，或提供虚假文件，由此造成的后果由供应商自负。</w:t>
      </w:r>
    </w:p>
    <w:p w14:paraId="186B98FA">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9.4供应商应按磋商文件中提供的响应文件格式（详见第五章 投标（响应）文件格式）按包段编写响应文件，并使用A4规格编制。响应文件应编写目录，具有结构清晰的文档结构图（打开word视图中的“文档结构图”后能看到详细章节），页码连续。</w:t>
      </w:r>
    </w:p>
    <w:p w14:paraId="005DBCB7">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9.5供应商按照竞争性磋商要求所提供的各种证明文件必须真实且合法有效,经扫描后粘贴到响应文件的相关页上，确保清晰度可辨认，评审时由于无法辨认所产生的后果，由供应商自行承担。</w:t>
      </w:r>
    </w:p>
    <w:p w14:paraId="302F3C47">
      <w:pPr>
        <w:snapToGrid w:val="0"/>
        <w:spacing w:line="560" w:lineRule="exact"/>
        <w:ind w:firstLine="565" w:firstLineChars="201"/>
        <w:rPr>
          <w:rFonts w:ascii="仿宋_GB2312" w:hAnsi="宋体"/>
          <w:b/>
          <w:color w:val="000000" w:themeColor="text1"/>
          <w:szCs w:val="28"/>
          <w14:textFill>
            <w14:solidFill>
              <w14:schemeClr w14:val="tx1"/>
            </w14:solidFill>
          </w14:textFill>
        </w:rPr>
      </w:pPr>
      <w:r>
        <w:rPr>
          <w:rFonts w:hint="eastAsia" w:ascii="仿宋_GB2312" w:hAnsi="宋体"/>
          <w:b/>
          <w:color w:val="000000" w:themeColor="text1"/>
          <w:szCs w:val="28"/>
          <w14:textFill>
            <w14:solidFill>
              <w14:schemeClr w14:val="tx1"/>
            </w14:solidFill>
          </w14:textFill>
        </w:rPr>
        <w:t>9.6供应商应自行确保本文件的内容已充分覆盖了数据文件中《评审对照表》和《评分对照表(如有)》中的各项要求，并准确将对应的起止页码填写到数据文件《评审对照表》、《评分对照表(如有)》表格中每项后的起始页码和终止页码栏位上。对于不涉及或无法填写的评审项（评分项）（例如：报价），可在页码索引处填写1。</w:t>
      </w:r>
    </w:p>
    <w:p w14:paraId="1BBBA2EA">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9.7为了保证系统整体效率，系统对所投递的电子文件有大小的限制，因此，供应商应尽可能降低本文件的大小，小尺寸响应文件将使递交更快捷、减少差错发生几率，避免响应截止时间前未能完整上传文件。</w:t>
      </w:r>
    </w:p>
    <w:p w14:paraId="6A4ABA5A">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9.8响应文件具有法律效力，供应商与采购代理机构或采购人任何人的口头协议不影响响应文件的任何条款和内容。</w:t>
      </w:r>
    </w:p>
    <w:p w14:paraId="312B20F7">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9</w:t>
      </w:r>
      <w:r>
        <w:rPr>
          <w:rFonts w:hint="eastAsia" w:ascii="仿宋_GB2312" w:hAnsi="仿宋" w:cs="宋体"/>
          <w:color w:val="000000" w:themeColor="text1"/>
          <w:szCs w:val="28"/>
          <w14:textFill>
            <w14:solidFill>
              <w14:schemeClr w14:val="tx1"/>
            </w14:solidFill>
          </w14:textFill>
        </w:rPr>
        <w:t>.9供应商应自行承担其准备和参加报价活动发生的所有费用。不论结果如何，采购人及采购代理机构在任何情况下无义务也无责任承担这些费用。</w:t>
      </w:r>
    </w:p>
    <w:p w14:paraId="2C2A4739">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9.10采购人或采购代理机构均无义务向供应商解释其成交或未成交的原因，且无论供应商是否成交，供应商所递交的响应文件均不予退还，不提供副本拷贝。</w:t>
      </w:r>
    </w:p>
    <w:p w14:paraId="085265ED">
      <w:pPr>
        <w:snapToGrid w:val="0"/>
        <w:spacing w:line="560" w:lineRule="exact"/>
        <w:ind w:firstLine="565" w:firstLineChars="201"/>
        <w:rPr>
          <w:rFonts w:ascii="楷体_GB2312" w:hAnsi="宋体" w:eastAsia="楷体_GB2312"/>
          <w:b/>
          <w:color w:val="000000" w:themeColor="text1"/>
          <w:szCs w:val="28"/>
          <w14:textFill>
            <w14:solidFill>
              <w14:schemeClr w14:val="tx1"/>
            </w14:solidFill>
          </w14:textFill>
        </w:rPr>
      </w:pPr>
      <w:r>
        <w:rPr>
          <w:rFonts w:hint="eastAsia" w:ascii="楷体_GB2312" w:hAnsi="宋体" w:eastAsia="楷体_GB2312"/>
          <w:b/>
          <w:color w:val="000000" w:themeColor="text1"/>
          <w:szCs w:val="28"/>
          <w14:textFill>
            <w14:solidFill>
              <w14:schemeClr w14:val="tx1"/>
            </w14:solidFill>
          </w14:textFill>
        </w:rPr>
        <w:t>10.数据文件编制要求</w:t>
      </w:r>
    </w:p>
    <w:p w14:paraId="1A20D22E">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10.1供应商须从所报项目的竞争性磋商文件压缩包内对应包段目录下获取本文件（变更后的数据文件需要重新下载），必须在原文件上严格按照其中要求填写，其内部已约定好固定格式和相关内容，且带有特定的唯一性数字指纹，</w:t>
      </w:r>
      <w:r>
        <w:rPr>
          <w:rFonts w:ascii="仿宋_GB2312" w:hAnsi="仿宋" w:cs="宋体"/>
          <w:color w:val="000000" w:themeColor="text1"/>
          <w:szCs w:val="28"/>
          <w14:textFill>
            <w14:solidFill>
              <w14:schemeClr w14:val="tx1"/>
            </w14:solidFill>
          </w14:textFill>
        </w:rPr>
        <w:t>必须在原表上填写，</w:t>
      </w:r>
      <w:r>
        <w:rPr>
          <w:rFonts w:hint="eastAsia" w:ascii="仿宋_GB2312" w:hAnsi="仿宋" w:cs="宋体"/>
          <w:color w:val="000000" w:themeColor="text1"/>
          <w:szCs w:val="28"/>
          <w14:textFill>
            <w14:solidFill>
              <w14:schemeClr w14:val="tx1"/>
            </w14:solidFill>
          </w14:textFill>
        </w:rPr>
        <w:t>对采用非该文件基础上编制或对该文件进行任何工作表、表格行、表格列的增减</w:t>
      </w:r>
      <w:r>
        <w:rPr>
          <w:rFonts w:ascii="Calibri" w:hAnsi="Calibri" w:cs="宋体"/>
          <w:color w:val="000000" w:themeColor="text1"/>
          <w:szCs w:val="28"/>
          <w14:textFill>
            <w14:solidFill>
              <w14:schemeClr w14:val="tx1"/>
            </w14:solidFill>
          </w14:textFill>
        </w:rPr>
        <w:t>、对工作表先后顺序的变动，</w:t>
      </w:r>
      <w:r>
        <w:rPr>
          <w:rFonts w:hint="eastAsia" w:ascii="仿宋_GB2312" w:hAnsi="仿宋" w:cs="宋体"/>
          <w:color w:val="000000" w:themeColor="text1"/>
          <w:szCs w:val="28"/>
          <w14:textFill>
            <w14:solidFill>
              <w14:schemeClr w14:val="tx1"/>
            </w14:solidFill>
          </w14:textFill>
        </w:rPr>
        <w:t>以及对锁定区域内的数据进行更改、</w:t>
      </w:r>
      <w:r>
        <w:rPr>
          <w:rFonts w:hint="eastAsia" w:ascii="仿宋_GB2312" w:hAnsi="仿宋" w:cs="宋体"/>
          <w:b/>
          <w:color w:val="000000" w:themeColor="text1"/>
          <w:szCs w:val="28"/>
          <w14:textFill>
            <w14:solidFill>
              <w14:schemeClr w14:val="tx1"/>
            </w14:solidFill>
          </w14:textFill>
        </w:rPr>
        <w:t>文件另存到其他文件</w:t>
      </w:r>
      <w:r>
        <w:rPr>
          <w:rFonts w:hint="eastAsia" w:ascii="仿宋_GB2312" w:hAnsi="仿宋" w:cs="宋体"/>
          <w:color w:val="000000" w:themeColor="text1"/>
          <w:szCs w:val="28"/>
          <w14:textFill>
            <w14:solidFill>
              <w14:schemeClr w14:val="tx1"/>
            </w14:solidFill>
          </w14:textFill>
        </w:rPr>
        <w:t>等违规性操作</w:t>
      </w:r>
      <w:r>
        <w:rPr>
          <w:rFonts w:hint="eastAsia" w:ascii="仿宋_GB2312" w:hAnsi="宋体"/>
          <w:color w:val="000000" w:themeColor="text1"/>
          <w:szCs w:val="28"/>
          <w14:textFill>
            <w14:solidFill>
              <w14:schemeClr w14:val="tx1"/>
            </w14:solidFill>
          </w14:textFill>
        </w:rPr>
        <w:t>，都会破坏本文件中的数字指纹，导致系统无法接收该文件使其响应失败。</w:t>
      </w:r>
    </w:p>
    <w:p w14:paraId="5F0CEFDE">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10.2供应商应按数据文件中规定的要求，完整、准确地填写《封面》《投标报价表（含明细）》《需求响应表（如有）》《评审对照表》《评分对照表（如有）》，任何的漏表、漏项及信息不完整、填写数据不规范或不正确，都将导致电子交易平台无法接收该文件使其</w:t>
      </w:r>
      <w:r>
        <w:rPr>
          <w:rFonts w:hint="eastAsia" w:ascii="仿宋_GB2312" w:hAnsi="宋体"/>
          <w:b/>
          <w:color w:val="000000" w:themeColor="text1"/>
          <w:szCs w:val="28"/>
          <w14:textFill>
            <w14:solidFill>
              <w14:schemeClr w14:val="tx1"/>
            </w14:solidFill>
          </w14:textFill>
        </w:rPr>
        <w:t>响应失败</w:t>
      </w:r>
      <w:r>
        <w:rPr>
          <w:rFonts w:hint="eastAsia" w:ascii="仿宋_GB2312" w:hAnsi="宋体"/>
          <w:color w:val="000000" w:themeColor="text1"/>
          <w:szCs w:val="28"/>
          <w14:textFill>
            <w14:solidFill>
              <w14:schemeClr w14:val="tx1"/>
            </w14:solidFill>
          </w14:textFill>
        </w:rPr>
        <w:t>。</w:t>
      </w:r>
    </w:p>
    <w:p w14:paraId="665DF995">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10</w:t>
      </w:r>
      <w:r>
        <w:rPr>
          <w:rFonts w:hint="eastAsia" w:ascii="仿宋_GB2312" w:hAnsi="仿宋" w:cs="宋体"/>
          <w:color w:val="000000" w:themeColor="text1"/>
          <w:szCs w:val="28"/>
          <w14:textFill>
            <w14:solidFill>
              <w14:schemeClr w14:val="tx1"/>
            </w14:solidFill>
          </w14:textFill>
        </w:rPr>
        <w:t>.3供应商在对数据文件电子签章前，应按照上述2项的要求进行认真检查、确认。因供应商自身原因所导致其报价失败的，须自行承担相关责任。</w:t>
      </w:r>
    </w:p>
    <w:p w14:paraId="3754D40D">
      <w:pPr>
        <w:snapToGrid w:val="0"/>
        <w:spacing w:line="560" w:lineRule="exact"/>
        <w:ind w:firstLine="565" w:firstLineChars="201"/>
        <w:rPr>
          <w:rFonts w:ascii="楷体_GB2312" w:hAnsi="宋体" w:eastAsia="楷体_GB2312"/>
          <w:b/>
          <w:color w:val="000000" w:themeColor="text1"/>
          <w:szCs w:val="28"/>
          <w14:textFill>
            <w14:solidFill>
              <w14:schemeClr w14:val="tx1"/>
            </w14:solidFill>
          </w14:textFill>
        </w:rPr>
      </w:pPr>
      <w:r>
        <w:rPr>
          <w:rFonts w:hint="eastAsia" w:ascii="楷体_GB2312" w:hAnsi="宋体" w:eastAsia="楷体_GB2312"/>
          <w:b/>
          <w:color w:val="000000" w:themeColor="text1"/>
          <w:szCs w:val="28"/>
          <w14:textFill>
            <w14:solidFill>
              <w14:schemeClr w14:val="tx1"/>
            </w14:solidFill>
          </w14:textFill>
        </w:rPr>
        <w:t>11.文件构成</w:t>
      </w:r>
    </w:p>
    <w:p w14:paraId="52E808F3">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供应商应按不同包段分别编制响应文件，每个包段的响应文件必须包括：响应文件（pdf格式）（第一册）、数据文件（PDF格式）（第二册），以上内容缺一不可，否则为</w:t>
      </w:r>
      <w:r>
        <w:rPr>
          <w:rFonts w:hint="eastAsia" w:ascii="仿宋_GB2312" w:hAnsi="宋体"/>
          <w:b/>
          <w:color w:val="000000" w:themeColor="text1"/>
          <w:szCs w:val="28"/>
          <w14:textFill>
            <w14:solidFill>
              <w14:schemeClr w14:val="tx1"/>
            </w14:solidFill>
          </w14:textFill>
        </w:rPr>
        <w:t>无效响应</w:t>
      </w:r>
      <w:r>
        <w:rPr>
          <w:rFonts w:hint="eastAsia" w:ascii="仿宋_GB2312" w:hAnsi="宋体"/>
          <w:color w:val="000000" w:themeColor="text1"/>
          <w:szCs w:val="28"/>
          <w14:textFill>
            <w14:solidFill>
              <w14:schemeClr w14:val="tx1"/>
            </w14:solidFill>
          </w14:textFill>
        </w:rPr>
        <w:t>。</w:t>
      </w:r>
    </w:p>
    <w:p w14:paraId="72BE99F1">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11.1供应商编制的响应文件（pdf格式）（第一册）应包括但不少于下列内容：</w:t>
      </w:r>
    </w:p>
    <w:p w14:paraId="58FDD079">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（1）响应文件封面（格式见</w:t>
      </w:r>
      <w:r>
        <w:rPr>
          <w:rFonts w:hint="eastAsia" w:ascii="仿宋_GB2312" w:hAnsi="仿宋" w:cs="宋体"/>
          <w:color w:val="000000" w:themeColor="text1"/>
          <w:szCs w:val="28"/>
          <w14:textFill>
            <w14:solidFill>
              <w14:schemeClr w14:val="tx1"/>
            </w14:solidFill>
          </w14:textFill>
        </w:rPr>
        <w:t>本文件第五章</w:t>
      </w:r>
      <w:r>
        <w:rPr>
          <w:rFonts w:hint="eastAsia" w:ascii="仿宋_GB2312" w:hAnsi="宋体"/>
          <w:color w:val="000000" w:themeColor="text1"/>
          <w:szCs w:val="28"/>
          <w14:textFill>
            <w14:solidFill>
              <w14:schemeClr w14:val="tx1"/>
            </w14:solidFill>
          </w14:textFill>
        </w:rPr>
        <w:t>）</w:t>
      </w:r>
    </w:p>
    <w:p w14:paraId="646E4DFE">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（2）响应文件目录（格式见</w:t>
      </w:r>
      <w:r>
        <w:rPr>
          <w:rFonts w:hint="eastAsia" w:ascii="仿宋_GB2312" w:hAnsi="仿宋" w:cs="宋体"/>
          <w:color w:val="000000" w:themeColor="text1"/>
          <w:szCs w:val="28"/>
          <w14:textFill>
            <w14:solidFill>
              <w14:schemeClr w14:val="tx1"/>
            </w14:solidFill>
          </w14:textFill>
        </w:rPr>
        <w:t>本文件第五章</w:t>
      </w:r>
      <w:r>
        <w:rPr>
          <w:rFonts w:hint="eastAsia" w:ascii="仿宋_GB2312" w:hAnsi="宋体"/>
          <w:color w:val="000000" w:themeColor="text1"/>
          <w:szCs w:val="28"/>
          <w14:textFill>
            <w14:solidFill>
              <w14:schemeClr w14:val="tx1"/>
            </w14:solidFill>
          </w14:textFill>
        </w:rPr>
        <w:t>）</w:t>
      </w:r>
    </w:p>
    <w:p w14:paraId="51C79DB3">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（3）报价承诺函（格式见</w:t>
      </w:r>
      <w:r>
        <w:rPr>
          <w:rFonts w:hint="eastAsia" w:ascii="仿宋_GB2312" w:hAnsi="仿宋" w:cs="宋体"/>
          <w:color w:val="000000" w:themeColor="text1"/>
          <w:szCs w:val="28"/>
          <w14:textFill>
            <w14:solidFill>
              <w14:schemeClr w14:val="tx1"/>
            </w14:solidFill>
          </w14:textFill>
        </w:rPr>
        <w:t>本文件第五章</w:t>
      </w:r>
      <w:r>
        <w:rPr>
          <w:rFonts w:hint="eastAsia" w:ascii="仿宋_GB2312" w:hAnsi="宋体"/>
          <w:color w:val="000000" w:themeColor="text1"/>
          <w:szCs w:val="28"/>
          <w14:textFill>
            <w14:solidFill>
              <w14:schemeClr w14:val="tx1"/>
            </w14:solidFill>
          </w14:textFill>
        </w:rPr>
        <w:t>）</w:t>
      </w:r>
    </w:p>
    <w:p w14:paraId="433BEC95">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（4）供应商信用承诺书（格式见</w:t>
      </w:r>
      <w:r>
        <w:rPr>
          <w:rFonts w:hint="eastAsia" w:ascii="仿宋_GB2312" w:hAnsi="仿宋" w:cs="宋体"/>
          <w:color w:val="000000" w:themeColor="text1"/>
          <w:szCs w:val="28"/>
          <w14:textFill>
            <w14:solidFill>
              <w14:schemeClr w14:val="tx1"/>
            </w14:solidFill>
          </w14:textFill>
        </w:rPr>
        <w:t>本文件第五章</w:t>
      </w:r>
      <w:r>
        <w:rPr>
          <w:rFonts w:hint="eastAsia" w:ascii="仿宋_GB2312" w:hAnsi="宋体"/>
          <w:color w:val="000000" w:themeColor="text1"/>
          <w:szCs w:val="28"/>
          <w14:textFill>
            <w14:solidFill>
              <w14:schemeClr w14:val="tx1"/>
            </w14:solidFill>
          </w14:textFill>
        </w:rPr>
        <w:t>）</w:t>
      </w:r>
    </w:p>
    <w:p w14:paraId="09319249">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（5）供应商资格证明文件</w:t>
      </w:r>
    </w:p>
    <w:p w14:paraId="316E5B64">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①法人或其他组织的营业执照等证明文件扫描件；</w:t>
      </w:r>
    </w:p>
    <w:p w14:paraId="5ED18878">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②具有水利水电施工总承包三级及以上资质证书扫描件；具有行政主管部门颁发的安全生产许可证扫描件；</w:t>
      </w:r>
    </w:p>
    <w:p w14:paraId="5C050B68">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③项目负责人具有水利水电工程专业贰级及以上注册建造师执业资格</w:t>
      </w:r>
      <w:r>
        <w:rPr>
          <w:rFonts w:hint="eastAsia" w:ascii="仿宋_GB2312" w:hAnsi="宋体"/>
          <w:color w:val="000000" w:themeColor="text1"/>
          <w:szCs w:val="28"/>
          <w14:textFill>
            <w14:solidFill>
              <w14:schemeClr w14:val="tx1"/>
            </w14:solidFill>
          </w14:textFill>
        </w:rPr>
        <w:t>，</w:t>
      </w:r>
      <w:r>
        <w:rPr>
          <w:rFonts w:ascii="仿宋_GB2312" w:hAnsi="宋体"/>
          <w:color w:val="000000" w:themeColor="text1"/>
          <w:szCs w:val="28"/>
          <w14:textFill>
            <w14:solidFill>
              <w14:schemeClr w14:val="tx1"/>
            </w14:solidFill>
          </w14:textFill>
        </w:rPr>
        <w:t>同时应具有安全生产考核合格证（B证）证书扫描件。</w:t>
      </w:r>
    </w:p>
    <w:p w14:paraId="11729E70">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④法定代表人授权委托书；被授权人身份证扫描件；</w:t>
      </w:r>
    </w:p>
    <w:p w14:paraId="15912BBC">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若响应单位代表为企业法定代表人/单位负责人的，则只需提供企业法定代表人/单位负责人身份证扫描件；</w:t>
      </w:r>
    </w:p>
    <w:p w14:paraId="4DA8B37B">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⑤依法缴纳税收和社会保障资金的声明（格式自拟）；近期的完税凭证及交纳社保资金凭证的扫描件（依法免税或不需要缴纳社会保障资金的供应商，应提供相关证明材料）；</w:t>
      </w:r>
    </w:p>
    <w:p w14:paraId="37327CCE">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⑥参加本项目报价前三年内无重大违法记录声明（格式自定）；</w:t>
      </w:r>
    </w:p>
    <w:p w14:paraId="373CC498">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⑦由代理机构查询“信用中国”、报价供应商所在地省级信用官方网站(如:“信用山东)、“中国政府采购网”，对已列入失信被执行人、重大税收违法案件当事人名单、政府采购严重违法失信行为记录名单的供应商，将拒绝其继续参与政府采购活动；</w:t>
      </w:r>
    </w:p>
    <w:p w14:paraId="24E248F6">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⑧财务状况报告等相关材料</w:t>
      </w:r>
    </w:p>
    <w:p w14:paraId="580C09F8">
      <w:pPr>
        <w:snapToGrid w:val="0"/>
        <w:spacing w:line="560" w:lineRule="exact"/>
        <w:ind w:firstLine="562" w:firstLineChars="201"/>
        <w:rPr>
          <w:rFonts w:hint="eastAsia"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A.供应商自行编制的近一年度公司财务报表或由中介机构出具的近一年度财务审计报告书扫描件；</w:t>
      </w:r>
      <w:r>
        <w:rPr>
          <w:rFonts w:hint="eastAsia" w:ascii="仿宋_GB2312" w:hAnsi="宋体"/>
          <w:color w:val="000000" w:themeColor="text1"/>
          <w:szCs w:val="28"/>
          <w14:textFill>
            <w14:solidFill>
              <w14:schemeClr w14:val="tx1"/>
            </w14:solidFill>
          </w14:textFill>
        </w:rPr>
        <w:t>（2</w:t>
      </w:r>
      <w:r>
        <w:rPr>
          <w:rFonts w:ascii="仿宋_GB2312" w:hAnsi="宋体"/>
          <w:color w:val="000000" w:themeColor="text1"/>
          <w:szCs w:val="28"/>
          <w14:textFill>
            <w14:solidFill>
              <w14:schemeClr w14:val="tx1"/>
            </w14:solidFill>
          </w14:textFill>
        </w:rPr>
        <w:t>022</w:t>
      </w:r>
      <w:r>
        <w:rPr>
          <w:rFonts w:hint="eastAsia" w:ascii="仿宋_GB2312" w:hAnsi="宋体"/>
          <w:color w:val="000000" w:themeColor="text1"/>
          <w:szCs w:val="28"/>
          <w14:textFill>
            <w14:solidFill>
              <w14:schemeClr w14:val="tx1"/>
            </w14:solidFill>
          </w14:textFill>
        </w:rPr>
        <w:t>年度或2</w:t>
      </w:r>
      <w:r>
        <w:rPr>
          <w:rFonts w:ascii="仿宋_GB2312" w:hAnsi="宋体"/>
          <w:color w:val="000000" w:themeColor="text1"/>
          <w:szCs w:val="28"/>
          <w14:textFill>
            <w14:solidFill>
              <w14:schemeClr w14:val="tx1"/>
            </w14:solidFill>
          </w14:textFill>
        </w:rPr>
        <w:t>023</w:t>
      </w:r>
      <w:r>
        <w:rPr>
          <w:rFonts w:hint="eastAsia" w:ascii="仿宋_GB2312" w:hAnsi="宋体"/>
          <w:color w:val="000000" w:themeColor="text1"/>
          <w:szCs w:val="28"/>
          <w14:textFill>
            <w14:solidFill>
              <w14:schemeClr w14:val="tx1"/>
            </w14:solidFill>
          </w14:textFill>
        </w:rPr>
        <w:t>年度）</w:t>
      </w:r>
    </w:p>
    <w:p w14:paraId="5FA5EA37">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B.银行出具的有效期内的资信证明扫描件。</w:t>
      </w:r>
    </w:p>
    <w:p w14:paraId="6D3D5BB9">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注：A、B两项提供任意一项均可。</w:t>
      </w:r>
    </w:p>
    <w:p w14:paraId="2A261FA6">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⑨具有履行合同所必需的设备和专业技术能力承诺函（格式自拟）；</w:t>
      </w:r>
    </w:p>
    <w:p w14:paraId="327F46A5">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⑩中小企业声明函声明为中小企业；</w:t>
      </w:r>
    </w:p>
    <w:p w14:paraId="03D56831">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ascii="Cambria Math" w:hAnsi="Cambria Math" w:cs="Cambria Math"/>
          <w:color w:val="000000" w:themeColor="text1"/>
          <w:szCs w:val="28"/>
          <w14:textFill>
            <w14:solidFill>
              <w14:schemeClr w14:val="tx1"/>
            </w14:solidFill>
          </w14:textFill>
        </w:rPr>
        <w:t>⑪</w:t>
      </w:r>
      <w:r>
        <w:rPr>
          <w:rFonts w:hint="eastAsia" w:ascii="仿宋_GB2312" w:hAnsi="仿宋_GB2312" w:cs="仿宋_GB2312"/>
          <w:color w:val="000000" w:themeColor="text1"/>
          <w:szCs w:val="28"/>
          <w14:textFill>
            <w14:solidFill>
              <w14:schemeClr w14:val="tx1"/>
            </w14:solidFill>
          </w14:textFill>
        </w:rPr>
        <w:t>报价供应商认为需要提供的资质资格证明文件。</w:t>
      </w:r>
    </w:p>
    <w:p w14:paraId="56EC4006">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以上所有资质资格证明文件均需加盖供应商签章。</w:t>
      </w:r>
    </w:p>
    <w:p w14:paraId="3CA3E55A">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（6）商务文件</w:t>
      </w:r>
    </w:p>
    <w:p w14:paraId="087686DB">
      <w:pPr>
        <w:snapToGrid w:val="0"/>
        <w:spacing w:line="560" w:lineRule="exact"/>
        <w:ind w:firstLine="562" w:firstLineChars="201"/>
        <w:rPr>
          <w:rFonts w:hint="eastAsia"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①报价编制说明；</w:t>
      </w:r>
    </w:p>
    <w:p w14:paraId="46202912">
      <w:pPr>
        <w:snapToGrid w:val="0"/>
        <w:spacing w:line="560" w:lineRule="exact"/>
        <w:ind w:firstLine="562" w:firstLineChars="201"/>
        <w:rPr>
          <w:rFonts w:hint="eastAsia"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②工程量清单；</w:t>
      </w:r>
    </w:p>
    <w:p w14:paraId="5AD46324">
      <w:pPr>
        <w:snapToGrid w:val="0"/>
        <w:spacing w:line="560" w:lineRule="exact"/>
        <w:ind w:firstLine="562" w:firstLineChars="201"/>
        <w:rPr>
          <w:rFonts w:hint="eastAsia"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③供应商基本情况；</w:t>
      </w:r>
    </w:p>
    <w:p w14:paraId="20EC407C">
      <w:pPr>
        <w:snapToGrid w:val="0"/>
        <w:spacing w:line="560" w:lineRule="exact"/>
        <w:ind w:firstLine="562" w:firstLineChars="201"/>
        <w:rPr>
          <w:rFonts w:hint="eastAsia"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④项目经理及关键岗位人员配备情况；</w:t>
      </w:r>
    </w:p>
    <w:p w14:paraId="227297CF">
      <w:pPr>
        <w:snapToGrid w:val="0"/>
        <w:spacing w:line="560" w:lineRule="exact"/>
        <w:ind w:firstLine="562" w:firstLineChars="201"/>
        <w:rPr>
          <w:rFonts w:hint="eastAsia"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⑤同类项目业绩;</w:t>
      </w:r>
    </w:p>
    <w:p w14:paraId="00AF4D60">
      <w:pPr>
        <w:snapToGrid w:val="0"/>
        <w:spacing w:line="560" w:lineRule="exact"/>
        <w:ind w:firstLine="562" w:firstLineChars="201"/>
        <w:rPr>
          <w:rFonts w:ascii="宋体" w:hAnsi="宋体" w:cs="宋体"/>
          <w:color w:val="000000" w:themeColor="text1"/>
          <w:kern w:val="0"/>
          <w:sz w:val="24"/>
          <w14:textFill>
            <w14:solidFill>
              <w14:schemeClr w14:val="tx1"/>
            </w14:solidFill>
          </w14:textFill>
        </w:rPr>
      </w:pPr>
      <w:r>
        <w:rPr>
          <w:rFonts w:hint="eastAsia" w:ascii="仿宋_GB2312" w:hAnsi="宋体"/>
          <w:color w:val="000000" w:themeColor="text1"/>
          <w:szCs w:val="28"/>
          <w14:textFill>
            <w14:solidFill>
              <w14:schemeClr w14:val="tx1"/>
            </w14:solidFill>
          </w14:textFill>
        </w:rPr>
        <w:t>⑥</w:t>
      </w:r>
      <w:r>
        <w:rPr>
          <w:rFonts w:hint="eastAsia" w:ascii="仿宋_GB2312" w:hAnsi="宋体" w:cs="Times New Roman"/>
          <w:color w:val="000000" w:themeColor="text1"/>
          <w:szCs w:val="28"/>
          <w14:textFill>
            <w14:solidFill>
              <w14:schemeClr w14:val="tx1"/>
            </w14:solidFill>
          </w14:textFill>
        </w:rPr>
        <w:t>符合政府采购优惠政策的证明材料（申报格式见本文件第五章）：</w:t>
      </w:r>
    </w:p>
    <w:p w14:paraId="4654179E">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A所报产品属于政府采购节能、环保优先采购的产品,按照《关于调整优化节能产品、环境标志产品政府采购执行机制的通知》（财库〔2019〕9号）的规定执行：</w:t>
      </w:r>
    </w:p>
    <w:p w14:paraId="23A3255E">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a.《节能产品政府采购品目清单》</w:t>
      </w:r>
    </w:p>
    <w:p w14:paraId="124E8B21">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b.《环境标志产品政府采购品目清单》或者符合政府采购“优先采购”政策的其他证明文件</w:t>
      </w:r>
    </w:p>
    <w:p w14:paraId="2094FD90">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说明：（1）以上的货物需为本项目的采购标的；</w:t>
      </w:r>
    </w:p>
    <w:p w14:paraId="2EA5BE81">
      <w:pPr>
        <w:snapToGrid w:val="0"/>
        <w:spacing w:line="560" w:lineRule="exact"/>
        <w:ind w:firstLine="565" w:firstLineChars="201"/>
        <w:rPr>
          <w:rFonts w:ascii="仿宋_GB2312" w:hAnsi="宋体"/>
          <w:b/>
          <w:color w:val="000000" w:themeColor="text1"/>
          <w:szCs w:val="28"/>
          <w14:textFill>
            <w14:solidFill>
              <w14:schemeClr w14:val="tx1"/>
            </w14:solidFill>
          </w14:textFill>
        </w:rPr>
      </w:pPr>
      <w:r>
        <w:rPr>
          <w:rFonts w:hint="eastAsia" w:ascii="仿宋_GB2312" w:hAnsi="宋体"/>
          <w:b/>
          <w:color w:val="000000" w:themeColor="text1"/>
          <w:szCs w:val="28"/>
          <w14:textFill>
            <w14:solidFill>
              <w14:schemeClr w14:val="tx1"/>
            </w14:solidFill>
          </w14:textFill>
        </w:rPr>
        <w:t>（2）《节能产品政府采购品目清单》中标注★的台式计算机、便携式计算机、平板式微型计算机、激光打印机、针式打印机、液晶显示器、制冷压缩机、空调机组、专用制冷、空调设备、镇流器、空调机、电热水器、普通照明用双端荧光灯、电视设备、视频设备、便器、水嘴为政府强制采购节能品目。供应商所报产品为以上品目的,必须在供货时向采购人提供国家确定的认证机构出具的、处于有效期之内的节能产品认证证书。</w:t>
      </w:r>
    </w:p>
    <w:p w14:paraId="4C2163C1">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B货物制造商（工程、服务供应商）为中小企业的，须提供《中小企业声明函》。（格式见本文件第五章）</w:t>
      </w:r>
    </w:p>
    <w:p w14:paraId="64A596B5">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C供应商为监狱企业的，须提供省级以上监狱管理局、戒毒管理局（含新疆生产建设兵团）出具的属于监狱企业的证明文件。</w:t>
      </w:r>
    </w:p>
    <w:p w14:paraId="52B64E1E">
      <w:pPr>
        <w:snapToGrid w:val="0"/>
        <w:spacing w:line="560" w:lineRule="exact"/>
        <w:ind w:firstLine="562" w:firstLineChars="201"/>
        <w:rPr>
          <w:rFonts w:ascii="仿宋_GB2312" w:hAnsi="宋体"/>
          <w:b/>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D供应商为残疾人福利性单位的，须提供《残疾人福利性单位声明函》。（格式见</w:t>
      </w:r>
      <w:r>
        <w:rPr>
          <w:rFonts w:hint="eastAsia" w:ascii="仿宋_GB2312" w:hAnsi="仿宋" w:cs="宋体"/>
          <w:color w:val="000000" w:themeColor="text1"/>
          <w:szCs w:val="28"/>
          <w14:textFill>
            <w14:solidFill>
              <w14:schemeClr w14:val="tx1"/>
            </w14:solidFill>
          </w14:textFill>
        </w:rPr>
        <w:t>本文件第五章</w:t>
      </w:r>
      <w:r>
        <w:rPr>
          <w:rFonts w:hint="eastAsia" w:ascii="仿宋_GB2312" w:hAnsi="宋体"/>
          <w:color w:val="000000" w:themeColor="text1"/>
          <w:szCs w:val="28"/>
          <w14:textFill>
            <w14:solidFill>
              <w14:schemeClr w14:val="tx1"/>
            </w14:solidFill>
          </w14:textFill>
        </w:rPr>
        <w:t>）</w:t>
      </w:r>
    </w:p>
    <w:p w14:paraId="2D94AD5B">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⑨要求采购人提供的配合；</w:t>
      </w:r>
    </w:p>
    <w:p w14:paraId="2B5DEDC2">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⑩供应商认为需要提供的其他资料（如投标人在开标前48小时内登录山东省水利建设市场监管服务平台，打印本次投标信用档案等）。</w:t>
      </w:r>
    </w:p>
    <w:p w14:paraId="0EE91892">
      <w:pPr>
        <w:snapToGrid w:val="0"/>
        <w:spacing w:line="560" w:lineRule="exact"/>
        <w:ind w:firstLine="565" w:firstLineChars="202"/>
        <w:rPr>
          <w:rFonts w:hint="eastAsia"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w:t>
      </w:r>
      <w:r>
        <w:rPr>
          <w:rFonts w:hint="eastAsia" w:ascii="仿宋_GB2312" w:hAnsi="宋体"/>
          <w:color w:val="000000" w:themeColor="text1"/>
          <w:szCs w:val="28"/>
          <w:lang w:val="en-US" w:eastAsia="zh-CN"/>
          <w14:textFill>
            <w14:solidFill>
              <w14:schemeClr w14:val="tx1"/>
            </w14:solidFill>
          </w14:textFill>
        </w:rPr>
        <w:t>6</w:t>
      </w:r>
      <w:r>
        <w:rPr>
          <w:rFonts w:hint="eastAsia" w:ascii="仿宋_GB2312" w:hAnsi="宋体"/>
          <w:color w:val="000000" w:themeColor="text1"/>
          <w:szCs w:val="28"/>
          <w14:textFill>
            <w14:solidFill>
              <w14:schemeClr w14:val="tx1"/>
            </w14:solidFill>
          </w14:textFill>
        </w:rPr>
        <w:t>）技术文件，包括但不限于以下内容：</w:t>
      </w:r>
    </w:p>
    <w:p w14:paraId="031FA7F6">
      <w:pPr>
        <w:snapToGrid w:val="0"/>
        <w:spacing w:line="560" w:lineRule="exact"/>
        <w:ind w:firstLine="565" w:firstLineChars="202"/>
        <w:rPr>
          <w:rFonts w:hint="eastAsia"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①施工总平面图布置设计合理</w:t>
      </w:r>
    </w:p>
    <w:p w14:paraId="707B3C24">
      <w:pPr>
        <w:snapToGrid w:val="0"/>
        <w:spacing w:line="560" w:lineRule="exact"/>
        <w:ind w:firstLine="565" w:firstLineChars="202"/>
        <w:rPr>
          <w:rFonts w:hint="eastAsia"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②施工方案和技术措施合理，对关键工序有针对性等</w:t>
      </w:r>
    </w:p>
    <w:p w14:paraId="42BF1EA0">
      <w:pPr>
        <w:snapToGrid w:val="0"/>
        <w:spacing w:line="560" w:lineRule="exact"/>
        <w:ind w:firstLine="565" w:firstLineChars="202"/>
        <w:rPr>
          <w:rFonts w:hint="eastAsia"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③针对本工程的通病治理措施</w:t>
      </w:r>
    </w:p>
    <w:p w14:paraId="3906C01C">
      <w:pPr>
        <w:snapToGrid w:val="0"/>
        <w:spacing w:line="560" w:lineRule="exact"/>
        <w:ind w:firstLine="565" w:firstLineChars="202"/>
        <w:rPr>
          <w:rFonts w:hint="eastAsia"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④安全文明措施和应急救援预案</w:t>
      </w:r>
    </w:p>
    <w:p w14:paraId="5304BFCC">
      <w:pPr>
        <w:snapToGrid w:val="0"/>
        <w:spacing w:line="560" w:lineRule="exact"/>
        <w:ind w:firstLine="565" w:firstLineChars="202"/>
        <w:rPr>
          <w:rFonts w:hint="eastAsia"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⑤环境、地下管网、地上设施保护，冬季、雨季施工方案</w:t>
      </w:r>
    </w:p>
    <w:p w14:paraId="783ED5D7">
      <w:pPr>
        <w:snapToGrid w:val="0"/>
        <w:spacing w:line="560" w:lineRule="exact"/>
        <w:ind w:firstLine="565" w:firstLineChars="202"/>
        <w:rPr>
          <w:rFonts w:hint="eastAsia"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⑥绿色建筑、新技术、新产品、新工艺、新材料应用</w:t>
      </w:r>
    </w:p>
    <w:p w14:paraId="1D9E860E">
      <w:pPr>
        <w:snapToGrid w:val="0"/>
        <w:spacing w:line="560" w:lineRule="exact"/>
        <w:ind w:firstLine="565" w:firstLineChars="202"/>
        <w:rPr>
          <w:rFonts w:hint="eastAsia"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⑦施工进度计划和进度措施</w:t>
      </w:r>
    </w:p>
    <w:p w14:paraId="65897EC1">
      <w:pPr>
        <w:snapToGrid w:val="0"/>
        <w:spacing w:line="560" w:lineRule="exact"/>
        <w:ind w:firstLine="565" w:firstLineChars="202"/>
        <w:rPr>
          <w:rFonts w:hint="eastAsia"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⑧资源配备计划</w:t>
      </w:r>
    </w:p>
    <w:p w14:paraId="66D0B0BD">
      <w:pPr>
        <w:snapToGrid w:val="0"/>
        <w:spacing w:line="560" w:lineRule="exact"/>
        <w:ind w:firstLine="565" w:firstLineChars="202"/>
        <w:rPr>
          <w:rFonts w:hint="eastAsia"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⑨项目管理机构人员配备齐全合理</w:t>
      </w:r>
    </w:p>
    <w:p w14:paraId="6F1941D0">
      <w:pPr>
        <w:snapToGrid w:val="0"/>
        <w:spacing w:line="560" w:lineRule="exact"/>
        <w:ind w:firstLine="565" w:firstLineChars="202"/>
        <w:rPr>
          <w:rFonts w:hint="eastAsia"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⑩成品保护、工程保修制度</w:t>
      </w:r>
    </w:p>
    <w:p w14:paraId="05910B7B">
      <w:pPr>
        <w:snapToGrid w:val="0"/>
        <w:spacing w:line="560" w:lineRule="exact"/>
        <w:ind w:firstLine="565" w:firstLineChars="202"/>
        <w:rPr>
          <w:rFonts w:ascii="仿宋_GB2312" w:hAnsi="宋体"/>
          <w:color w:val="000000" w:themeColor="text1"/>
          <w:szCs w:val="28"/>
          <w:lang w:bidi="zh-CN"/>
          <w14:textFill>
            <w14:solidFill>
              <w14:schemeClr w14:val="tx1"/>
            </w14:solidFill>
          </w14:textFill>
        </w:rPr>
      </w:pPr>
      <w:r>
        <w:rPr>
          <w:rFonts w:hint="eastAsia" w:ascii="仿宋_GB2312" w:hAnsi="宋体"/>
          <w:color w:val="000000" w:themeColor="text1"/>
          <w:szCs w:val="28"/>
          <w14:textFill>
            <w14:solidFill>
              <w14:schemeClr w14:val="tx1"/>
            </w14:solidFill>
          </w14:textFill>
        </w:rPr>
        <w:t>（</w:t>
      </w:r>
      <w:r>
        <w:rPr>
          <w:rFonts w:hint="eastAsia" w:ascii="仿宋_GB2312" w:hAnsi="宋体"/>
          <w:color w:val="000000" w:themeColor="text1"/>
          <w:szCs w:val="28"/>
          <w:lang w:val="en-US" w:eastAsia="zh-CN"/>
          <w14:textFill>
            <w14:solidFill>
              <w14:schemeClr w14:val="tx1"/>
            </w14:solidFill>
          </w14:textFill>
        </w:rPr>
        <w:t>7</w:t>
      </w:r>
      <w:r>
        <w:rPr>
          <w:rFonts w:hint="eastAsia" w:ascii="仿宋_GB2312" w:hAnsi="宋体"/>
          <w:color w:val="000000" w:themeColor="text1"/>
          <w:szCs w:val="28"/>
          <w14:textFill>
            <w14:solidFill>
              <w14:schemeClr w14:val="tx1"/>
            </w14:solidFill>
          </w14:textFill>
        </w:rPr>
        <w:t>）</w:t>
      </w:r>
      <w:r>
        <w:rPr>
          <w:rFonts w:hint="eastAsia" w:ascii="仿宋_GB2312" w:hAnsi="仿宋"/>
          <w:color w:val="000000" w:themeColor="text1"/>
          <w:szCs w:val="28"/>
          <w14:textFill>
            <w14:solidFill>
              <w14:schemeClr w14:val="tx1"/>
            </w14:solidFill>
          </w14:textFill>
        </w:rPr>
        <w:t>供应商认为需要说明的及竞争性磋商文件要求的其他内容。</w:t>
      </w:r>
    </w:p>
    <w:p w14:paraId="15B75D0E">
      <w:pPr>
        <w:snapToGrid w:val="0"/>
        <w:spacing w:line="560" w:lineRule="exact"/>
        <w:ind w:firstLine="565" w:firstLineChars="201"/>
        <w:rPr>
          <w:rFonts w:ascii="仿宋_GB2312" w:hAnsi="宋体"/>
          <w:b/>
          <w:color w:val="000000" w:themeColor="text1"/>
          <w:szCs w:val="28"/>
          <w14:textFill>
            <w14:solidFill>
              <w14:schemeClr w14:val="tx1"/>
            </w14:solidFill>
          </w14:textFill>
        </w:rPr>
      </w:pPr>
      <w:r>
        <w:rPr>
          <w:rFonts w:hint="eastAsia" w:ascii="仿宋_GB2312" w:hAnsi="宋体"/>
          <w:b/>
          <w:color w:val="000000" w:themeColor="text1"/>
          <w:szCs w:val="28"/>
          <w14:textFill>
            <w14:solidFill>
              <w14:schemeClr w14:val="tx1"/>
            </w14:solidFill>
          </w14:textFill>
        </w:rPr>
        <w:t>供应商提交的政府采购优惠政策的证明材料、工程量清单、业绩表材料在成交公告一并予以公示。</w:t>
      </w:r>
    </w:p>
    <w:p w14:paraId="55FE6AAD">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11.2</w:t>
      </w:r>
      <w:r>
        <w:rPr>
          <w:rFonts w:hint="eastAsia" w:ascii="仿宋_GB2312" w:hAnsi="仿宋" w:cs="宋体"/>
          <w:color w:val="000000" w:themeColor="text1"/>
          <w:szCs w:val="28"/>
          <w14:textFill>
            <w14:solidFill>
              <w14:schemeClr w14:val="tx1"/>
            </w14:solidFill>
          </w14:textFill>
        </w:rPr>
        <w:t>数据文件（PDF格式）（第二册）</w:t>
      </w:r>
    </w:p>
    <w:p w14:paraId="6494CF9D">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供应商须从本项目采购文件压缩包内获取对应包段的数据文件（EXCEL格式），并严格按照要求填写。填写完成后在威海市政府采购电子交易系统中上传该数据文件（EXCEL格式），系统将自动转换为PDF格式，再加盖供应商电子印章，未按要求填写或盖章为</w:t>
      </w:r>
      <w:r>
        <w:rPr>
          <w:rFonts w:hint="eastAsia" w:ascii="仿宋_GB2312" w:hAnsi="仿宋" w:cs="宋体"/>
          <w:b/>
          <w:color w:val="000000" w:themeColor="text1"/>
          <w:szCs w:val="28"/>
          <w14:textFill>
            <w14:solidFill>
              <w14:schemeClr w14:val="tx1"/>
            </w14:solidFill>
          </w14:textFill>
        </w:rPr>
        <w:t>无效投标（响应）</w:t>
      </w:r>
      <w:r>
        <w:rPr>
          <w:rFonts w:hint="eastAsia" w:ascii="仿宋_GB2312" w:hAnsi="仿宋" w:cs="宋体"/>
          <w:color w:val="000000" w:themeColor="text1"/>
          <w:szCs w:val="28"/>
          <w14:textFill>
            <w14:solidFill>
              <w14:schemeClr w14:val="tx1"/>
            </w14:solidFill>
          </w14:textFill>
        </w:rPr>
        <w:t>。</w:t>
      </w:r>
      <w:r>
        <w:rPr>
          <w:rFonts w:hint="eastAsia" w:ascii="仿宋_GB2312" w:hAnsi="宋体"/>
          <w:color w:val="000000" w:themeColor="text1"/>
          <w:szCs w:val="28"/>
          <w14:textFill>
            <w14:solidFill>
              <w14:schemeClr w14:val="tx1"/>
            </w14:solidFill>
          </w14:textFill>
        </w:rPr>
        <w:t>数据文件（PDF格式）包含下列内容：</w:t>
      </w:r>
    </w:p>
    <w:p w14:paraId="5FEC7DA0">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（1）封面</w:t>
      </w:r>
    </w:p>
    <w:p w14:paraId="465BDF88">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（2）投标报价表（含明细）</w:t>
      </w:r>
    </w:p>
    <w:p w14:paraId="397F9AF9">
      <w:pPr>
        <w:snapToGrid w:val="0"/>
        <w:spacing w:line="560" w:lineRule="exact"/>
        <w:ind w:firstLine="562" w:firstLineChars="201"/>
        <w:rPr>
          <w:rFonts w:ascii="仿宋_GB2312"/>
          <w:color w:val="000000" w:themeColor="text1"/>
          <w:szCs w:val="28"/>
          <w14:textFill>
            <w14:solidFill>
              <w14:schemeClr w14:val="tx1"/>
            </w14:solidFill>
          </w14:textFill>
        </w:rPr>
      </w:pPr>
      <w:r>
        <w:rPr>
          <w:rFonts w:hint="eastAsia" w:ascii="仿宋_GB2312"/>
          <w:color w:val="000000" w:themeColor="text1"/>
          <w:szCs w:val="28"/>
          <w14:textFill>
            <w14:solidFill>
              <w14:schemeClr w14:val="tx1"/>
            </w14:solidFill>
          </w14:textFill>
        </w:rPr>
        <w:t>注：中标（成交）公告将对中标人（供应商）提交的数据文件中的报价明细表（有二次报价的项目须公示中标人（供应商）按照最终报价重新制作的报价明细表，分项报价项目须与投标（响应）文件保持一致，但分项报价价格应逐项重新调整或整体等比例下调）、需求响应表一并予以公示。</w:t>
      </w:r>
    </w:p>
    <w:p w14:paraId="163893AC">
      <w:pPr>
        <w:snapToGrid w:val="0"/>
        <w:spacing w:line="560" w:lineRule="exact"/>
        <w:ind w:firstLine="565" w:firstLineChars="201"/>
        <w:rPr>
          <w:rFonts w:ascii="楷体_GB2312" w:hAnsi="宋体" w:eastAsia="楷体_GB2312"/>
          <w:b/>
          <w:color w:val="000000" w:themeColor="text1"/>
          <w:szCs w:val="28"/>
          <w14:textFill>
            <w14:solidFill>
              <w14:schemeClr w14:val="tx1"/>
            </w14:solidFill>
          </w14:textFill>
        </w:rPr>
      </w:pPr>
      <w:r>
        <w:rPr>
          <w:rFonts w:hint="eastAsia" w:ascii="楷体_GB2312" w:hAnsi="宋体" w:eastAsia="楷体_GB2312"/>
          <w:b/>
          <w:color w:val="000000" w:themeColor="text1"/>
          <w:szCs w:val="28"/>
          <w14:textFill>
            <w14:solidFill>
              <w14:schemeClr w14:val="tx1"/>
            </w14:solidFill>
          </w14:textFill>
        </w:rPr>
        <w:t>12.报价</w:t>
      </w:r>
    </w:p>
    <w:p w14:paraId="76EEC061">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12.1供应商均以人民币报价，精确到小数点后两位。</w:t>
      </w:r>
    </w:p>
    <w:p w14:paraId="543C6ED0">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12.2供应商应按照“第三章 采购内容与要求”或磋商小组最终确定的内容、责任范围以及合同条款进行报价。并按数据文件中“投标报价表（含明细）”规定的格式报出分项价格和总价。总价中不得包含竞争性磋商文件要求以外的内容，否则，在评审时不予核减。</w:t>
      </w:r>
    </w:p>
    <w:p w14:paraId="1354A345">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12.3供应商应按数据文件中“投标报价表”要求的统一格式填写，并加盖电子公章。</w:t>
      </w:r>
    </w:p>
    <w:p w14:paraId="388DF0EC">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12.4《投标报价表（含明细）》填写时应响应下列要求：</w:t>
      </w:r>
    </w:p>
    <w:p w14:paraId="37E45999">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（1）供应商须严格按照投标报价表（含明细）说明进行填写，报价明细表投标报价表（含明细）中“*”是必填项，任何必填项为空时都可能导致本次投标无效。</w:t>
      </w:r>
    </w:p>
    <w:p w14:paraId="33BB6A5E">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（2）供应商应对本次磋商的全部内容进行报价，缺项报价响应无效。如因供应商自身的原因报价失误而造成的损失，由供应商自行承担。</w:t>
      </w:r>
    </w:p>
    <w:p w14:paraId="2A455594">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w:t>
      </w:r>
      <w:r>
        <w:rPr>
          <w:rFonts w:hint="eastAsia" w:ascii="仿宋_GB2312" w:hAnsi="仿宋" w:cs="宋体"/>
          <w:color w:val="000000" w:themeColor="text1"/>
          <w:szCs w:val="28"/>
          <w14:textFill>
            <w14:solidFill>
              <w14:schemeClr w14:val="tx1"/>
            </w14:solidFill>
          </w14:textFill>
        </w:rPr>
        <w:t>《投标报价表</w:t>
      </w:r>
      <w:r>
        <w:rPr>
          <w:rFonts w:hint="eastAsia" w:ascii="仿宋_GB2312" w:hAnsi="宋体"/>
          <w:color w:val="000000" w:themeColor="text1"/>
          <w:szCs w:val="28"/>
          <w14:textFill>
            <w14:solidFill>
              <w14:schemeClr w14:val="tx1"/>
            </w14:solidFill>
          </w14:textFill>
        </w:rPr>
        <w:t>（含明细）</w:t>
      </w:r>
      <w:r>
        <w:rPr>
          <w:rFonts w:hint="eastAsia" w:ascii="仿宋_GB2312" w:hAnsi="仿宋" w:cs="宋体"/>
          <w:color w:val="000000" w:themeColor="text1"/>
          <w:szCs w:val="28"/>
          <w14:textFill>
            <w14:solidFill>
              <w14:schemeClr w14:val="tx1"/>
            </w14:solidFill>
          </w14:textFill>
        </w:rPr>
        <w:t>》</w:t>
      </w:r>
      <w:r>
        <w:rPr>
          <w:rFonts w:hint="eastAsia" w:ascii="仿宋_GB2312" w:hAnsi="宋体"/>
          <w:color w:val="000000" w:themeColor="text1"/>
          <w:szCs w:val="28"/>
          <w14:textFill>
            <w14:solidFill>
              <w14:schemeClr w14:val="tx1"/>
            </w14:solidFill>
          </w14:textFill>
        </w:rPr>
        <w:t>中合价将由单价*数量自动计算，无需手工录入。</w:t>
      </w:r>
    </w:p>
    <w:p w14:paraId="710FF986">
      <w:pPr>
        <w:spacing w:line="560" w:lineRule="exact"/>
        <w:ind w:firstLine="565"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b/>
          <w:color w:val="000000" w:themeColor="text1"/>
          <w:szCs w:val="28"/>
          <w14:textFill>
            <w14:solidFill>
              <w14:schemeClr w14:val="tx1"/>
            </w14:solidFill>
          </w14:textFill>
        </w:rPr>
        <w:t>（4）本次采购项目质保期见</w:t>
      </w:r>
      <w:r>
        <w:rPr>
          <w:rFonts w:hint="eastAsia" w:ascii="仿宋_GB2312" w:hAnsi="仿宋" w:cs="宋体"/>
          <w:b/>
          <w:color w:val="000000" w:themeColor="text1"/>
          <w:szCs w:val="28"/>
          <w:u w:val="single"/>
          <w14:textFill>
            <w14:solidFill>
              <w14:schemeClr w14:val="tx1"/>
            </w14:solidFill>
          </w14:textFill>
        </w:rPr>
        <w:t>响应须知前附表</w:t>
      </w:r>
      <w:r>
        <w:rPr>
          <w:rFonts w:hint="eastAsia" w:ascii="仿宋_GB2312" w:hAnsi="仿宋" w:cs="宋体"/>
          <w:b/>
          <w:color w:val="000000" w:themeColor="text1"/>
          <w:szCs w:val="28"/>
          <w14:textFill>
            <w14:solidFill>
              <w14:schemeClr w14:val="tx1"/>
            </w14:solidFill>
          </w14:textFill>
        </w:rPr>
        <w:t>或第3章。</w:t>
      </w:r>
    </w:p>
    <w:p w14:paraId="191E8866">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（5）</w:t>
      </w:r>
      <w:r>
        <w:rPr>
          <w:rFonts w:ascii="仿宋_GB2312" w:hAnsi="宋体"/>
          <w:color w:val="000000" w:themeColor="text1"/>
          <w:szCs w:val="28"/>
          <w14:textFill>
            <w14:solidFill>
              <w14:schemeClr w14:val="tx1"/>
            </w14:solidFill>
          </w14:textFill>
        </w:rPr>
        <w:t>供应商参照竞争性磋商文件，结合企业自身情况和市场价格进行报价。</w:t>
      </w:r>
      <w:r>
        <w:rPr>
          <w:rFonts w:ascii="仿宋_GB2312" w:hAnsi="宋体"/>
          <w:b/>
          <w:color w:val="000000" w:themeColor="text1"/>
          <w:szCs w:val="28"/>
          <w14:textFill>
            <w14:solidFill>
              <w14:schemeClr w14:val="tx1"/>
            </w14:solidFill>
          </w14:textFill>
        </w:rPr>
        <w:t>本项目采用固定</w:t>
      </w:r>
      <w:r>
        <w:rPr>
          <w:rFonts w:hint="eastAsia" w:ascii="仿宋_GB2312" w:hAnsi="宋体"/>
          <w:b/>
          <w:color w:val="000000" w:themeColor="text1"/>
          <w:szCs w:val="28"/>
          <w14:textFill>
            <w14:solidFill>
              <w14:schemeClr w14:val="tx1"/>
            </w14:solidFill>
          </w14:textFill>
        </w:rPr>
        <w:t>单</w:t>
      </w:r>
      <w:r>
        <w:rPr>
          <w:rFonts w:ascii="仿宋_GB2312" w:hAnsi="宋体"/>
          <w:b/>
          <w:color w:val="000000" w:themeColor="text1"/>
          <w:szCs w:val="28"/>
          <w14:textFill>
            <w14:solidFill>
              <w14:schemeClr w14:val="tx1"/>
            </w14:solidFill>
          </w14:textFill>
        </w:rPr>
        <w:t>价合同。包括设备设施费、安装调试费、人工费、材料费、机械费、管理费、临时设施、施工现场安全文明措施费用、利润、</w:t>
      </w:r>
      <w:r>
        <w:rPr>
          <w:rFonts w:ascii="仿宋_GB2312" w:hAnsi="宋体"/>
          <w:color w:val="000000" w:themeColor="text1"/>
          <w:szCs w:val="28"/>
          <w14:textFill>
            <w14:solidFill>
              <w14:schemeClr w14:val="tx1"/>
            </w14:solidFill>
          </w14:textFill>
        </w:rPr>
        <w:t>规费、税金、各种措施费、建筑垃圾清运费、所有各项试验检测费（包括但不限于消防、环保、质量与安全等要求工程项目应有的费用）、需与相关单位配合发生的水电费、垂直运输费、二次搬运、竣工清理等各种费用、办理各种必要手续的费用、政策性文件规定及合同包含的所有风险、责任、咨询费、税费等完成本项目的所有费用。</w:t>
      </w:r>
      <w:r>
        <w:rPr>
          <w:rFonts w:hint="eastAsia" w:ascii="仿宋_GB2312" w:hAnsi="宋体"/>
          <w:color w:val="000000" w:themeColor="text1"/>
          <w:szCs w:val="28"/>
          <w14:textFill>
            <w14:solidFill>
              <w14:schemeClr w14:val="tx1"/>
            </w14:solidFill>
          </w14:textFill>
        </w:rPr>
        <w:t>所有根据合同或其它原因应由供应商支付的税款和其它应交纳的费用都要包括在供应商提交的报价中；</w:t>
      </w:r>
    </w:p>
    <w:p w14:paraId="770D99C0">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w:t>
      </w:r>
      <w:r>
        <w:rPr>
          <w:rFonts w:hint="eastAsia" w:ascii="仿宋_GB2312" w:hAnsi="宋体"/>
          <w:color w:val="000000" w:themeColor="text1"/>
          <w:szCs w:val="28"/>
          <w14:textFill>
            <w14:solidFill>
              <w14:schemeClr w14:val="tx1"/>
            </w14:solidFill>
          </w14:textFill>
        </w:rPr>
        <w:t>6</w:t>
      </w:r>
      <w:r>
        <w:rPr>
          <w:rFonts w:ascii="仿宋_GB2312" w:hAnsi="宋体"/>
          <w:color w:val="000000" w:themeColor="text1"/>
          <w:szCs w:val="28"/>
          <w14:textFill>
            <w14:solidFill>
              <w14:schemeClr w14:val="tx1"/>
            </w14:solidFill>
          </w14:textFill>
        </w:rPr>
        <w:t>）主要材料价格的合理性对形成准确报价至关重要，供应商必须在充分市场调研的基础上，确定合理的材料价格，否则，影响成交；成交后，如因采购人要求须更换的材料设备，采购人不予调整价差。</w:t>
      </w:r>
    </w:p>
    <w:p w14:paraId="42E3BFF5">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w:t>
      </w:r>
      <w:r>
        <w:rPr>
          <w:rFonts w:hint="eastAsia" w:ascii="仿宋_GB2312" w:hAnsi="宋体"/>
          <w:color w:val="000000" w:themeColor="text1"/>
          <w:szCs w:val="28"/>
          <w14:textFill>
            <w14:solidFill>
              <w14:schemeClr w14:val="tx1"/>
            </w14:solidFill>
          </w14:textFill>
        </w:rPr>
        <w:t>7</w:t>
      </w:r>
      <w:r>
        <w:rPr>
          <w:rFonts w:ascii="仿宋_GB2312" w:hAnsi="宋体"/>
          <w:color w:val="000000" w:themeColor="text1"/>
          <w:szCs w:val="28"/>
          <w14:textFill>
            <w14:solidFill>
              <w14:schemeClr w14:val="tx1"/>
            </w14:solidFill>
          </w14:textFill>
        </w:rPr>
        <w:t>）供应商应充分考虑项目特点及前期项目情况、认真理解采购需求，结合本企业自身优势，为项目的顺利实施提供相应设施保障，最终的交付内容必须满足采购人使用要求，并作出最大承诺。报价时应充分考虑竞争性磋商文件、合同中所明示或暗示的一切费用与价格，最终报价为供应商的响应文件中提出的各项支付金额的总和。</w:t>
      </w:r>
    </w:p>
    <w:p w14:paraId="466AD2F7">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w:t>
      </w:r>
      <w:r>
        <w:rPr>
          <w:rFonts w:hint="eastAsia" w:ascii="仿宋_GB2312" w:hAnsi="宋体"/>
          <w:color w:val="000000" w:themeColor="text1"/>
          <w:szCs w:val="28"/>
          <w14:textFill>
            <w14:solidFill>
              <w14:schemeClr w14:val="tx1"/>
            </w14:solidFill>
          </w14:textFill>
        </w:rPr>
        <w:t>8</w:t>
      </w:r>
      <w:r>
        <w:rPr>
          <w:rFonts w:ascii="仿宋_GB2312" w:hAnsi="宋体"/>
          <w:color w:val="000000" w:themeColor="text1"/>
          <w:szCs w:val="28"/>
          <w14:textFill>
            <w14:solidFill>
              <w14:schemeClr w14:val="tx1"/>
            </w14:solidFill>
          </w14:textFill>
        </w:rPr>
        <w:t>）供应商所报价格在合同实施期间不因市场变化因素而变动，工程延期，致使服务期延长，本竞争性磋商范围内的费用不再调整。供应商应在响应文件中列明各项费用的支出，未列出的视为对采购人的优惠，供应商不得因此而要求采购人增加其他费用。</w:t>
      </w:r>
    </w:p>
    <w:p w14:paraId="352839EA">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w:t>
      </w:r>
      <w:r>
        <w:rPr>
          <w:rFonts w:hint="eastAsia" w:ascii="仿宋_GB2312" w:hAnsi="宋体"/>
          <w:color w:val="000000" w:themeColor="text1"/>
          <w:szCs w:val="28"/>
          <w14:textFill>
            <w14:solidFill>
              <w14:schemeClr w14:val="tx1"/>
            </w14:solidFill>
          </w14:textFill>
        </w:rPr>
        <w:t>9</w:t>
      </w:r>
      <w:r>
        <w:rPr>
          <w:rFonts w:ascii="仿宋_GB2312" w:hAnsi="宋体"/>
          <w:color w:val="000000" w:themeColor="text1"/>
          <w:szCs w:val="28"/>
          <w14:textFill>
            <w14:solidFill>
              <w14:schemeClr w14:val="tx1"/>
            </w14:solidFill>
          </w14:textFill>
        </w:rPr>
        <w:t>）供应商应先充分了解项目情况及任何其它足以影响报价的情况，任何因忽视或误解现场情况而导致的索赔或工期延长申请将不获批准。</w:t>
      </w:r>
    </w:p>
    <w:p w14:paraId="7F27850C">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w:t>
      </w:r>
      <w:r>
        <w:rPr>
          <w:rFonts w:hint="eastAsia" w:ascii="仿宋_GB2312" w:hAnsi="宋体"/>
          <w:color w:val="000000" w:themeColor="text1"/>
          <w:szCs w:val="28"/>
          <w14:textFill>
            <w14:solidFill>
              <w14:schemeClr w14:val="tx1"/>
            </w14:solidFill>
          </w14:textFill>
        </w:rPr>
        <w:t>10</w:t>
      </w:r>
      <w:r>
        <w:rPr>
          <w:rFonts w:ascii="仿宋_GB2312" w:hAnsi="宋体"/>
          <w:color w:val="000000" w:themeColor="text1"/>
          <w:szCs w:val="28"/>
          <w14:textFill>
            <w14:solidFill>
              <w14:schemeClr w14:val="tx1"/>
            </w14:solidFill>
          </w14:textFill>
        </w:rPr>
        <w:t>）享受政府采购优惠政策的，须对每个产品申报，申报小微企业、残疾人企业、监狱企业优惠政策的项目（只享受一种），需按采购文件要求在响应文件中申报并提交证明文件（格式见附件）。</w:t>
      </w:r>
    </w:p>
    <w:p w14:paraId="2C68D9C7">
      <w:pPr>
        <w:spacing w:line="560" w:lineRule="exact"/>
        <w:ind w:firstLine="565" w:firstLineChars="201"/>
        <w:rPr>
          <w:rFonts w:ascii="仿宋_GB2312" w:hAnsi="仿宋" w:cs="宋体"/>
          <w:b/>
          <w:color w:val="000000" w:themeColor="text1"/>
          <w:szCs w:val="28"/>
          <w14:textFill>
            <w14:solidFill>
              <w14:schemeClr w14:val="tx1"/>
            </w14:solidFill>
          </w14:textFill>
        </w:rPr>
      </w:pPr>
      <w:r>
        <w:rPr>
          <w:rFonts w:hint="eastAsia" w:ascii="仿宋_GB2312" w:hAnsi="仿宋" w:cs="宋体"/>
          <w:b/>
          <w:color w:val="000000" w:themeColor="text1"/>
          <w:szCs w:val="28"/>
          <w14:textFill>
            <w14:solidFill>
              <w14:schemeClr w14:val="tx1"/>
            </w14:solidFill>
          </w14:textFill>
        </w:rPr>
        <w:t>（11）未经检验的新产品、试制品不能参加本次报价。</w:t>
      </w:r>
    </w:p>
    <w:p w14:paraId="214A42B4">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（12）</w:t>
      </w:r>
      <w:r>
        <w:rPr>
          <w:rFonts w:hint="eastAsia" w:ascii="仿宋_GB2312" w:hAnsi="宋体"/>
          <w:color w:val="000000" w:themeColor="text1"/>
          <w:szCs w:val="28"/>
          <w14:textFill>
            <w14:solidFill>
              <w14:schemeClr w14:val="tx1"/>
            </w14:solidFill>
          </w14:textFill>
        </w:rPr>
        <w:t>供应商的报价在合同执行过程中是固定不变的，不得以任何理由改变。所有价格折扣、优惠条件必须在报价明细表中注明，否则评审时不予认可。</w:t>
      </w:r>
    </w:p>
    <w:p w14:paraId="52DE5E36">
      <w:pPr>
        <w:snapToGrid w:val="0"/>
        <w:spacing w:line="560" w:lineRule="exact"/>
        <w:ind w:firstLine="565" w:firstLineChars="201"/>
        <w:rPr>
          <w:rFonts w:ascii="楷体_GB2312" w:hAnsi="宋体" w:eastAsia="楷体_GB2312"/>
          <w:b/>
          <w:color w:val="000000" w:themeColor="text1"/>
          <w:szCs w:val="28"/>
          <w14:textFill>
            <w14:solidFill>
              <w14:schemeClr w14:val="tx1"/>
            </w14:solidFill>
          </w14:textFill>
        </w:rPr>
      </w:pPr>
      <w:r>
        <w:rPr>
          <w:rFonts w:hint="eastAsia" w:ascii="楷体_GB2312" w:hAnsi="宋体" w:eastAsia="楷体_GB2312"/>
          <w:b/>
          <w:color w:val="000000" w:themeColor="text1"/>
          <w:szCs w:val="28"/>
          <w14:textFill>
            <w14:solidFill>
              <w14:schemeClr w14:val="tx1"/>
            </w14:solidFill>
          </w14:textFill>
        </w:rPr>
        <w:t>13.备选方案</w:t>
      </w:r>
    </w:p>
    <w:p w14:paraId="2BDB5EB5">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本采购项目不允许供应商有备选磋商方案。</w:t>
      </w:r>
    </w:p>
    <w:p w14:paraId="65E91F5C">
      <w:pPr>
        <w:snapToGrid w:val="0"/>
        <w:spacing w:line="560" w:lineRule="exact"/>
        <w:ind w:firstLine="565" w:firstLineChars="201"/>
        <w:rPr>
          <w:rFonts w:ascii="楷体_GB2312" w:hAnsi="宋体" w:eastAsia="楷体_GB2312"/>
          <w:b/>
          <w:color w:val="000000" w:themeColor="text1"/>
          <w:szCs w:val="28"/>
          <w14:textFill>
            <w14:solidFill>
              <w14:schemeClr w14:val="tx1"/>
            </w14:solidFill>
          </w14:textFill>
        </w:rPr>
      </w:pPr>
      <w:r>
        <w:rPr>
          <w:rFonts w:hint="eastAsia" w:ascii="楷体_GB2312" w:hAnsi="宋体" w:eastAsia="楷体_GB2312"/>
          <w:b/>
          <w:color w:val="000000" w:themeColor="text1"/>
          <w:szCs w:val="28"/>
          <w14:textFill>
            <w14:solidFill>
              <w14:schemeClr w14:val="tx1"/>
            </w14:solidFill>
          </w14:textFill>
        </w:rPr>
        <w:t>14.联合体报价</w:t>
      </w:r>
    </w:p>
    <w:p w14:paraId="5C85749F">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两个以上的自然人、法人或者其他组织可以组成一个联合体，以一个供应商的身份共同参加政府采购。</w:t>
      </w:r>
    </w:p>
    <w:p w14:paraId="43FB7F05">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14.1以联合体形式进行政府采购的，参加联合体的供应商均应当具备政府采购法第二十二条规定的条件，并应当向采购人提交联合协议，载明联合体各方承担的工作和义务。联合体各方应当共同与采购人签订采购合同，就采购合同约定的事项对采购人承担连带责任。</w:t>
      </w:r>
    </w:p>
    <w:p w14:paraId="4E92AAE8">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14.2联合体中有同类资质的供应商按照联合体分工承担相同工作的，应当按照资质等级较低的</w:t>
      </w:r>
      <w:r>
        <w:rPr>
          <w:rFonts w:hint="eastAsia" w:ascii="仿宋_GB2312" w:hAnsi="宋体"/>
          <w:color w:val="000000" w:themeColor="text1"/>
          <w:szCs w:val="28"/>
          <w14:textFill>
            <w14:solidFill>
              <w14:schemeClr w14:val="tx1"/>
            </w14:solidFill>
          </w14:textFill>
        </w:rPr>
        <w:t>供应商</w:t>
      </w:r>
      <w:r>
        <w:rPr>
          <w:rFonts w:hint="eastAsia" w:ascii="仿宋_GB2312" w:hAnsi="仿宋" w:cs="宋体"/>
          <w:color w:val="000000" w:themeColor="text1"/>
          <w:szCs w:val="28"/>
          <w14:textFill>
            <w14:solidFill>
              <w14:schemeClr w14:val="tx1"/>
            </w14:solidFill>
          </w14:textFill>
        </w:rPr>
        <w:t>确定资质等级。</w:t>
      </w:r>
    </w:p>
    <w:p w14:paraId="7A01F11C">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14.3联合体的各方应当共同推荐一名联合体报价授权代表方，由联合体各方提交一份授权书，证明其有资格代表联合体各方签署响应文件，该授权书作为响应文件的组成部分一并提交给</w:t>
      </w:r>
      <w:r>
        <w:rPr>
          <w:rFonts w:hint="eastAsia" w:ascii="仿宋_GB2312" w:hAnsi="宋体"/>
          <w:color w:val="000000" w:themeColor="text1"/>
          <w:szCs w:val="28"/>
          <w14:textFill>
            <w14:solidFill>
              <w14:schemeClr w14:val="tx1"/>
            </w14:solidFill>
          </w14:textFill>
        </w:rPr>
        <w:t>采购代理机构</w:t>
      </w:r>
      <w:r>
        <w:rPr>
          <w:rFonts w:hint="eastAsia" w:ascii="仿宋_GB2312" w:hAnsi="仿宋" w:cs="宋体"/>
          <w:color w:val="000000" w:themeColor="text1"/>
          <w:szCs w:val="28"/>
          <w14:textFill>
            <w14:solidFill>
              <w14:schemeClr w14:val="tx1"/>
            </w14:solidFill>
          </w14:textFill>
        </w:rPr>
        <w:t>。</w:t>
      </w:r>
    </w:p>
    <w:p w14:paraId="1D7ADD32">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14.4以联合体形式参加政府采购活动的，联合体各方不得再单独参加或者与其他</w:t>
      </w:r>
      <w:r>
        <w:rPr>
          <w:rFonts w:hint="eastAsia" w:ascii="仿宋_GB2312" w:hAnsi="宋体"/>
          <w:color w:val="000000" w:themeColor="text1"/>
          <w:szCs w:val="28"/>
          <w14:textFill>
            <w14:solidFill>
              <w14:schemeClr w14:val="tx1"/>
            </w14:solidFill>
          </w14:textFill>
        </w:rPr>
        <w:t>供应商</w:t>
      </w:r>
      <w:r>
        <w:rPr>
          <w:rFonts w:hint="eastAsia" w:ascii="仿宋_GB2312" w:hAnsi="仿宋" w:cs="宋体"/>
          <w:color w:val="000000" w:themeColor="text1"/>
          <w:szCs w:val="28"/>
          <w14:textFill>
            <w14:solidFill>
              <w14:schemeClr w14:val="tx1"/>
            </w14:solidFill>
          </w14:textFill>
        </w:rPr>
        <w:t>另外组成联合体参加同一合同项下的政府采购活动。</w:t>
      </w:r>
    </w:p>
    <w:p w14:paraId="5391024C">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14.5采购人根据采购项目对供应商的特殊要求，联合体中至少应当有一方符合相关规定。</w:t>
      </w:r>
    </w:p>
    <w:p w14:paraId="1FF6861F">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14.6联合体各方应签订共同报价协议，明确约定联合体各方承担的工作和相应的责任，并将共同报价协议连同作为响应文件的内容提交，否则报价将被认定为</w:t>
      </w:r>
      <w:r>
        <w:rPr>
          <w:rFonts w:hint="eastAsia" w:ascii="仿宋_GB2312" w:hAnsi="仿宋" w:cs="宋体"/>
          <w:b/>
          <w:bCs/>
          <w:color w:val="000000" w:themeColor="text1"/>
          <w:szCs w:val="28"/>
          <w14:textFill>
            <w14:solidFill>
              <w14:schemeClr w14:val="tx1"/>
            </w14:solidFill>
          </w14:textFill>
        </w:rPr>
        <w:t>无效</w:t>
      </w:r>
      <w:r>
        <w:rPr>
          <w:rFonts w:hint="eastAsia" w:ascii="仿宋_GB2312" w:hAnsi="仿宋" w:cs="宋体"/>
          <w:color w:val="000000" w:themeColor="text1"/>
          <w:szCs w:val="28"/>
          <w14:textFill>
            <w14:solidFill>
              <w14:schemeClr w14:val="tx1"/>
            </w14:solidFill>
          </w14:textFill>
        </w:rPr>
        <w:t>。</w:t>
      </w:r>
    </w:p>
    <w:p w14:paraId="2F32634A">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14.7</w:t>
      </w:r>
      <w:r>
        <w:rPr>
          <w:rFonts w:ascii="仿宋_GB2312" w:hAnsi="仿宋" w:cs="宋体"/>
          <w:color w:val="000000" w:themeColor="text1"/>
          <w:szCs w:val="28"/>
          <w14:textFill>
            <w14:solidFill>
              <w14:schemeClr w14:val="tx1"/>
            </w14:solidFill>
          </w14:textFill>
        </w:rPr>
        <w:t>大中型企业</w:t>
      </w:r>
      <w:r>
        <w:rPr>
          <w:rFonts w:hint="eastAsia" w:ascii="仿宋_GB2312" w:hAnsi="仿宋" w:cs="宋体"/>
          <w:color w:val="000000" w:themeColor="text1"/>
          <w:szCs w:val="28"/>
          <w14:textFill>
            <w14:solidFill>
              <w14:schemeClr w14:val="tx1"/>
            </w14:solidFill>
          </w14:textFill>
        </w:rPr>
        <w:t>、</w:t>
      </w:r>
      <w:r>
        <w:rPr>
          <w:rFonts w:ascii="仿宋_GB2312" w:hAnsi="仿宋" w:cs="宋体"/>
          <w:color w:val="000000" w:themeColor="text1"/>
          <w:szCs w:val="28"/>
          <w14:textFill>
            <w14:solidFill>
              <w14:schemeClr w14:val="tx1"/>
            </w14:solidFill>
          </w14:textFill>
        </w:rPr>
        <w:t>其他自然人、法人或者</w:t>
      </w:r>
      <w:r>
        <w:rPr>
          <w:rFonts w:hint="eastAsia" w:ascii="仿宋_GB2312" w:hAnsi="仿宋" w:cs="宋体"/>
          <w:color w:val="000000" w:themeColor="text1"/>
          <w:szCs w:val="28"/>
          <w14:textFill>
            <w14:solidFill>
              <w14:schemeClr w14:val="tx1"/>
            </w14:solidFill>
          </w14:textFill>
        </w:rPr>
        <w:t>其他组织</w:t>
      </w:r>
      <w:r>
        <w:rPr>
          <w:rFonts w:ascii="仿宋_GB2312" w:hAnsi="仿宋" w:cs="宋体"/>
          <w:color w:val="000000" w:themeColor="text1"/>
          <w:szCs w:val="28"/>
          <w14:textFill>
            <w14:solidFill>
              <w14:schemeClr w14:val="tx1"/>
            </w14:solidFill>
          </w14:textFill>
        </w:rPr>
        <w:t>与小型、微型企业组成联合体共同参加</w:t>
      </w:r>
      <w:r>
        <w:rPr>
          <w:rFonts w:hint="eastAsia" w:ascii="仿宋_GB2312" w:hAnsi="仿宋" w:cs="宋体"/>
          <w:color w:val="000000" w:themeColor="text1"/>
          <w:szCs w:val="28"/>
          <w14:textFill>
            <w14:solidFill>
              <w14:schemeClr w14:val="tx1"/>
            </w14:solidFill>
          </w14:textFill>
        </w:rPr>
        <w:t>报价，共同报价</w:t>
      </w:r>
      <w:r>
        <w:rPr>
          <w:rFonts w:ascii="仿宋_GB2312" w:hAnsi="仿宋" w:cs="宋体"/>
          <w:color w:val="000000" w:themeColor="text1"/>
          <w:szCs w:val="28"/>
          <w14:textFill>
            <w14:solidFill>
              <w14:schemeClr w14:val="tx1"/>
            </w14:solidFill>
          </w14:textFill>
        </w:rPr>
        <w:t>协议中</w:t>
      </w:r>
      <w:r>
        <w:rPr>
          <w:rFonts w:hint="eastAsia" w:ascii="仿宋_GB2312" w:hAnsi="仿宋" w:cs="宋体"/>
          <w:color w:val="000000" w:themeColor="text1"/>
          <w:szCs w:val="28"/>
          <w14:textFill>
            <w14:solidFill>
              <w14:schemeClr w14:val="tx1"/>
            </w14:solidFill>
          </w14:textFill>
        </w:rPr>
        <w:t>应写明</w:t>
      </w:r>
      <w:r>
        <w:rPr>
          <w:rFonts w:ascii="仿宋_GB2312" w:hAnsi="仿宋" w:cs="宋体"/>
          <w:color w:val="000000" w:themeColor="text1"/>
          <w:szCs w:val="28"/>
          <w14:textFill>
            <w14:solidFill>
              <w14:schemeClr w14:val="tx1"/>
            </w14:solidFill>
          </w14:textFill>
        </w:rPr>
        <w:t>小型、微型企业的协议合同金额占到</w:t>
      </w:r>
      <w:r>
        <w:rPr>
          <w:rFonts w:hint="eastAsia" w:ascii="仿宋_GB2312" w:hAnsi="仿宋" w:cs="宋体"/>
          <w:color w:val="000000" w:themeColor="text1"/>
          <w:szCs w:val="28"/>
          <w14:textFill>
            <w14:solidFill>
              <w14:schemeClr w14:val="tx1"/>
            </w14:solidFill>
          </w14:textFill>
        </w:rPr>
        <w:t>共同</w:t>
      </w:r>
      <w:r>
        <w:rPr>
          <w:rFonts w:ascii="仿宋_GB2312" w:hAnsi="仿宋" w:cs="宋体"/>
          <w:color w:val="000000" w:themeColor="text1"/>
          <w:szCs w:val="28"/>
          <w14:textFill>
            <w14:solidFill>
              <w14:schemeClr w14:val="tx1"/>
            </w14:solidFill>
          </w14:textFill>
        </w:rPr>
        <w:t>协议</w:t>
      </w:r>
      <w:r>
        <w:rPr>
          <w:rFonts w:hint="eastAsia" w:ascii="仿宋_GB2312" w:hAnsi="仿宋" w:cs="宋体"/>
          <w:color w:val="000000" w:themeColor="text1"/>
          <w:szCs w:val="28"/>
          <w14:textFill>
            <w14:solidFill>
              <w14:schemeClr w14:val="tx1"/>
            </w14:solidFill>
          </w14:textFill>
        </w:rPr>
        <w:t>报价</w:t>
      </w:r>
      <w:r>
        <w:rPr>
          <w:rFonts w:ascii="仿宋_GB2312" w:hAnsi="仿宋" w:cs="宋体"/>
          <w:color w:val="000000" w:themeColor="text1"/>
          <w:szCs w:val="28"/>
          <w14:textFill>
            <w14:solidFill>
              <w14:schemeClr w14:val="tx1"/>
            </w14:solidFill>
          </w14:textFill>
        </w:rPr>
        <w:t>总金额</w:t>
      </w:r>
      <w:r>
        <w:rPr>
          <w:rFonts w:hint="eastAsia" w:ascii="仿宋_GB2312" w:hAnsi="仿宋" w:cs="宋体"/>
          <w:color w:val="000000" w:themeColor="text1"/>
          <w:szCs w:val="28"/>
          <w14:textFill>
            <w14:solidFill>
              <w14:schemeClr w14:val="tx1"/>
            </w14:solidFill>
          </w14:textFill>
        </w:rPr>
        <w:t>的比例。</w:t>
      </w:r>
    </w:p>
    <w:p w14:paraId="650CC901">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14.8以联合体形式参加政府采购活动，联合体各方均为中小企业的，联合体视同中小企业。联合体各方均为小微企业的，联合体视同小微企业。</w:t>
      </w:r>
    </w:p>
    <w:p w14:paraId="30840C07">
      <w:pPr>
        <w:snapToGrid w:val="0"/>
        <w:spacing w:line="560" w:lineRule="exact"/>
        <w:ind w:firstLine="565" w:firstLineChars="201"/>
        <w:rPr>
          <w:rFonts w:ascii="仿宋_GB2312" w:hAnsi="宋体"/>
          <w:b/>
          <w:color w:val="000000" w:themeColor="text1"/>
          <w:szCs w:val="28"/>
          <w14:textFill>
            <w14:solidFill>
              <w14:schemeClr w14:val="tx1"/>
            </w14:solidFill>
          </w14:textFill>
        </w:rPr>
      </w:pPr>
      <w:r>
        <w:rPr>
          <w:rFonts w:hint="eastAsia" w:ascii="仿宋_GB2312" w:hAnsi="仿宋" w:cs="宋体"/>
          <w:b/>
          <w:color w:val="000000" w:themeColor="text1"/>
          <w:szCs w:val="28"/>
          <w14:textFill>
            <w14:solidFill>
              <w14:schemeClr w14:val="tx1"/>
            </w14:solidFill>
          </w14:textFill>
        </w:rPr>
        <w:t>本项目是否接受联合体响应详见</w:t>
      </w:r>
      <w:r>
        <w:rPr>
          <w:rFonts w:hint="eastAsia" w:ascii="仿宋_GB2312" w:hAnsi="仿宋" w:cs="宋体"/>
          <w:b/>
          <w:color w:val="000000" w:themeColor="text1"/>
          <w:szCs w:val="28"/>
          <w:u w:val="single"/>
          <w14:textFill>
            <w14:solidFill>
              <w14:schemeClr w14:val="tx1"/>
            </w14:solidFill>
          </w14:textFill>
        </w:rPr>
        <w:t>响应须知前附表</w:t>
      </w:r>
      <w:r>
        <w:rPr>
          <w:rFonts w:hint="eastAsia" w:ascii="仿宋_GB2312" w:hAnsi="仿宋" w:cs="宋体"/>
          <w:b/>
          <w:color w:val="000000" w:themeColor="text1"/>
          <w:szCs w:val="28"/>
          <w14:textFill>
            <w14:solidFill>
              <w14:schemeClr w14:val="tx1"/>
            </w14:solidFill>
          </w14:textFill>
        </w:rPr>
        <w:t>。</w:t>
      </w:r>
    </w:p>
    <w:p w14:paraId="7A231680">
      <w:pPr>
        <w:snapToGrid w:val="0"/>
        <w:spacing w:line="560" w:lineRule="exact"/>
        <w:ind w:firstLine="565" w:firstLineChars="201"/>
        <w:rPr>
          <w:rFonts w:ascii="楷体_GB2312" w:hAnsi="宋体" w:eastAsia="楷体_GB2312"/>
          <w:b/>
          <w:color w:val="000000" w:themeColor="text1"/>
          <w:szCs w:val="28"/>
          <w14:textFill>
            <w14:solidFill>
              <w14:schemeClr w14:val="tx1"/>
            </w14:solidFill>
          </w14:textFill>
        </w:rPr>
      </w:pPr>
      <w:r>
        <w:rPr>
          <w:rFonts w:hint="eastAsia" w:ascii="楷体_GB2312" w:hAnsi="宋体" w:eastAsia="楷体_GB2312"/>
          <w:b/>
          <w:color w:val="000000" w:themeColor="text1"/>
          <w:szCs w:val="28"/>
          <w14:textFill>
            <w14:solidFill>
              <w14:schemeClr w14:val="tx1"/>
            </w14:solidFill>
          </w14:textFill>
        </w:rPr>
        <w:t>15.现场踏勘</w:t>
      </w:r>
    </w:p>
    <w:p w14:paraId="41166A53">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15.1</w:t>
      </w:r>
      <w:r>
        <w:rPr>
          <w:rFonts w:hint="eastAsia" w:ascii="仿宋_GB2312" w:hAnsi="仿宋" w:cs="宋体"/>
          <w:color w:val="000000" w:themeColor="text1"/>
          <w:szCs w:val="28"/>
          <w:u w:val="single"/>
          <w14:textFill>
            <w14:solidFill>
              <w14:schemeClr w14:val="tx1"/>
            </w14:solidFill>
          </w14:textFill>
        </w:rPr>
        <w:t>响应须知前附表中</w:t>
      </w:r>
      <w:r>
        <w:rPr>
          <w:rFonts w:hint="eastAsia" w:ascii="仿宋_GB2312" w:hAnsi="仿宋" w:cs="宋体"/>
          <w:color w:val="000000" w:themeColor="text1"/>
          <w:szCs w:val="28"/>
          <w14:textFill>
            <w14:solidFill>
              <w14:schemeClr w14:val="tx1"/>
            </w14:solidFill>
          </w14:textFill>
        </w:rPr>
        <w:t>规定组织踏勘现场的，采购人按规定的时间、地点组织供应商踏勘项目现场，踏勘现场所发生的费用由供应商承担。</w:t>
      </w:r>
    </w:p>
    <w:p w14:paraId="7B66FE86">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15.2采购人向供应商提供的有关现场的资料和数据，是采购人现有的能使供应商利用的资料，采购人对供应商由此而做出的推论、理解和结论概不负责。</w:t>
      </w:r>
    </w:p>
    <w:p w14:paraId="560AD6C9">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15.3供应商及其人员经过采购人的允许，可以踏勘目的进入采购单位的项目现场，对供货（或施工）现场及其范围环境进行考察，以获取有关编制响应文件和签署实施合同所需的各项资料，若本项目采购文件要求供应商于统一时间地点踏勘现场的，供应商应当按时前往。</w:t>
      </w:r>
    </w:p>
    <w:p w14:paraId="4E83F6F0">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15.4除采购人的原因外，供应商及其人员不得因此使采购人及其人员承担有关的责任和蒙受损失。供应商应自行负责由此次踏勘现场而造成的死亡、人身伤害、财产损失、损害以及任何其它损失、损害和引起的费用和开支承担责任。</w:t>
      </w:r>
    </w:p>
    <w:p w14:paraId="1818A341">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15.5未参与现场踏勘不作为否定供应商资格的理由。</w:t>
      </w:r>
    </w:p>
    <w:p w14:paraId="4B50DA44">
      <w:pPr>
        <w:snapToGrid w:val="0"/>
        <w:spacing w:line="560" w:lineRule="exact"/>
        <w:ind w:firstLine="565" w:firstLineChars="201"/>
        <w:rPr>
          <w:rFonts w:ascii="仿宋_GB2312" w:hAnsi="宋体"/>
          <w:b/>
          <w:color w:val="000000" w:themeColor="text1"/>
          <w:szCs w:val="28"/>
          <w14:textFill>
            <w14:solidFill>
              <w14:schemeClr w14:val="tx1"/>
            </w14:solidFill>
          </w14:textFill>
        </w:rPr>
      </w:pPr>
      <w:r>
        <w:rPr>
          <w:rFonts w:hint="eastAsia" w:ascii="仿宋_GB2312" w:hAnsi="宋体"/>
          <w:b/>
          <w:color w:val="000000" w:themeColor="text1"/>
          <w:szCs w:val="28"/>
          <w14:textFill>
            <w14:solidFill>
              <w14:schemeClr w14:val="tx1"/>
            </w14:solidFill>
          </w14:textFill>
        </w:rPr>
        <w:t>本项目是否组织现场踏勘详见</w:t>
      </w:r>
      <w:r>
        <w:rPr>
          <w:rFonts w:hint="eastAsia" w:ascii="仿宋_GB2312" w:hAnsi="宋体"/>
          <w:b/>
          <w:color w:val="000000" w:themeColor="text1"/>
          <w:szCs w:val="28"/>
          <w:u w:val="single"/>
          <w14:textFill>
            <w14:solidFill>
              <w14:schemeClr w14:val="tx1"/>
            </w14:solidFill>
          </w14:textFill>
        </w:rPr>
        <w:t>响应须知前附表</w:t>
      </w:r>
      <w:r>
        <w:rPr>
          <w:rFonts w:hint="eastAsia" w:ascii="仿宋_GB2312" w:hAnsi="宋体"/>
          <w:b/>
          <w:color w:val="000000" w:themeColor="text1"/>
          <w:szCs w:val="28"/>
          <w14:textFill>
            <w14:solidFill>
              <w14:schemeClr w14:val="tx1"/>
            </w14:solidFill>
          </w14:textFill>
        </w:rPr>
        <w:t>。</w:t>
      </w:r>
    </w:p>
    <w:p w14:paraId="42409A61">
      <w:pPr>
        <w:snapToGrid w:val="0"/>
        <w:spacing w:line="560" w:lineRule="exact"/>
        <w:ind w:firstLine="565" w:firstLineChars="201"/>
        <w:rPr>
          <w:rFonts w:ascii="楷体_GB2312" w:hAnsi="宋体" w:eastAsia="楷体_GB2312"/>
          <w:b/>
          <w:color w:val="000000" w:themeColor="text1"/>
          <w:szCs w:val="28"/>
          <w14:textFill>
            <w14:solidFill>
              <w14:schemeClr w14:val="tx1"/>
            </w14:solidFill>
          </w14:textFill>
        </w:rPr>
      </w:pPr>
      <w:r>
        <w:rPr>
          <w:rFonts w:hint="eastAsia" w:ascii="楷体_GB2312" w:hAnsi="宋体" w:eastAsia="楷体_GB2312"/>
          <w:b/>
          <w:color w:val="000000" w:themeColor="text1"/>
          <w:szCs w:val="28"/>
          <w14:textFill>
            <w14:solidFill>
              <w14:schemeClr w14:val="tx1"/>
            </w14:solidFill>
          </w14:textFill>
        </w:rPr>
        <w:t>16.关于分包</w:t>
      </w:r>
    </w:p>
    <w:p w14:paraId="216719E4">
      <w:pPr>
        <w:snapToGrid w:val="0"/>
        <w:spacing w:line="560" w:lineRule="exact"/>
        <w:ind w:firstLine="56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供应商拟将成交项目的非主体、非关键性工作分包的，应当在响应文件中载明分包承担主体，分包承担主体应当具备相应资质条件且不得再次分包。</w:t>
      </w:r>
    </w:p>
    <w:p w14:paraId="7A0D2939">
      <w:pPr>
        <w:snapToGrid w:val="0"/>
        <w:spacing w:line="560" w:lineRule="exact"/>
        <w:ind w:firstLine="56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供应商应当就分包项目向采购人负责，分包承担主体就分包项目承担责任。</w:t>
      </w:r>
    </w:p>
    <w:p w14:paraId="5F2A1818">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依据财政部、工信部等部委发布的《关于印发&lt;政府采购促进中小企业发展管理办法&gt;的通知》（财库〔2020〕46号）规定享受扶持政策获得政府采购合同的，小微企业不得将合同分包给大中型企业，中型企业不得将合同分包给大型企业。</w:t>
      </w:r>
    </w:p>
    <w:p w14:paraId="22A797C2">
      <w:pPr>
        <w:snapToGrid w:val="0"/>
        <w:spacing w:line="560" w:lineRule="exact"/>
        <w:ind w:firstLine="565" w:firstLineChars="201"/>
        <w:rPr>
          <w:rFonts w:ascii="楷体_GB2312" w:hAnsi="宋体" w:eastAsia="楷体_GB2312"/>
          <w:b/>
          <w:color w:val="000000" w:themeColor="text1"/>
          <w:szCs w:val="28"/>
          <w14:textFill>
            <w14:solidFill>
              <w14:schemeClr w14:val="tx1"/>
            </w14:solidFill>
          </w14:textFill>
        </w:rPr>
      </w:pPr>
      <w:r>
        <w:rPr>
          <w:rFonts w:hint="eastAsia" w:ascii="楷体_GB2312" w:hAnsi="宋体" w:eastAsia="楷体_GB2312"/>
          <w:b/>
          <w:color w:val="000000" w:themeColor="text1"/>
          <w:szCs w:val="28"/>
          <w14:textFill>
            <w14:solidFill>
              <w14:schemeClr w14:val="tx1"/>
            </w14:solidFill>
          </w14:textFill>
        </w:rPr>
        <w:t>17.报价的有效期</w:t>
      </w:r>
    </w:p>
    <w:p w14:paraId="5871E581">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17.1报价应在</w:t>
      </w:r>
      <w:r>
        <w:rPr>
          <w:rFonts w:hint="eastAsia" w:ascii="仿宋_GB2312" w:hAnsi="宋体"/>
          <w:color w:val="000000" w:themeColor="text1"/>
          <w:szCs w:val="28"/>
          <w:u w:val="single"/>
          <w14:textFill>
            <w14:solidFill>
              <w14:schemeClr w14:val="tx1"/>
            </w14:solidFill>
          </w14:textFill>
        </w:rPr>
        <w:t>响应须知前附表</w:t>
      </w:r>
      <w:r>
        <w:rPr>
          <w:rFonts w:hint="eastAsia" w:ascii="仿宋_GB2312" w:hAnsi="宋体"/>
          <w:color w:val="000000" w:themeColor="text1"/>
          <w:szCs w:val="28"/>
          <w14:textFill>
            <w14:solidFill>
              <w14:schemeClr w14:val="tx1"/>
            </w14:solidFill>
          </w14:textFill>
        </w:rPr>
        <w:t>中规定时间内保持有效。报价有效期不满足要求的报价，其报价将被认定为</w:t>
      </w:r>
      <w:r>
        <w:rPr>
          <w:rFonts w:hint="eastAsia" w:ascii="仿宋_GB2312" w:hAnsi="宋体"/>
          <w:b/>
          <w:bCs/>
          <w:color w:val="000000" w:themeColor="text1"/>
          <w:szCs w:val="28"/>
          <w14:textFill>
            <w14:solidFill>
              <w14:schemeClr w14:val="tx1"/>
            </w14:solidFill>
          </w14:textFill>
        </w:rPr>
        <w:t>无效</w:t>
      </w:r>
      <w:r>
        <w:rPr>
          <w:rFonts w:hint="eastAsia" w:ascii="仿宋_GB2312" w:hAnsi="宋体"/>
          <w:color w:val="000000" w:themeColor="text1"/>
          <w:szCs w:val="28"/>
          <w14:textFill>
            <w14:solidFill>
              <w14:schemeClr w14:val="tx1"/>
            </w14:solidFill>
          </w14:textFill>
        </w:rPr>
        <w:t>。</w:t>
      </w:r>
    </w:p>
    <w:p w14:paraId="5341B6B0">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17.2特殊情况下，在报价有效期满之前，采购代理机构可以要求供应商延长报价有效期，供应商可以书面形式拒绝或接受上述要求。同意延长报价有效期的供应商不得修改响应文件的实质性内容。</w:t>
      </w:r>
    </w:p>
    <w:p w14:paraId="310430B7">
      <w:pPr>
        <w:spacing w:line="560" w:lineRule="exact"/>
        <w:ind w:firstLine="565" w:firstLineChars="201"/>
        <w:rPr>
          <w:rFonts w:ascii="楷体_GB2312" w:hAnsi="仿宋" w:eastAsia="楷体_GB2312" w:cs="宋体"/>
          <w:b/>
          <w:color w:val="000000" w:themeColor="text1"/>
          <w:szCs w:val="28"/>
          <w14:textFill>
            <w14:solidFill>
              <w14:schemeClr w14:val="tx1"/>
            </w14:solidFill>
          </w14:textFill>
        </w:rPr>
      </w:pPr>
      <w:r>
        <w:rPr>
          <w:rFonts w:ascii="楷体_GB2312" w:hAnsi="仿宋" w:eastAsia="楷体_GB2312" w:cs="宋体"/>
          <w:b/>
          <w:color w:val="000000" w:themeColor="text1"/>
          <w:szCs w:val="28"/>
          <w14:textFill>
            <w14:solidFill>
              <w14:schemeClr w14:val="tx1"/>
            </w14:solidFill>
          </w14:textFill>
        </w:rPr>
        <w:t>1</w:t>
      </w:r>
      <w:r>
        <w:rPr>
          <w:rFonts w:hint="eastAsia" w:ascii="楷体_GB2312" w:hAnsi="仿宋" w:eastAsia="楷体_GB2312" w:cs="宋体"/>
          <w:b/>
          <w:color w:val="000000" w:themeColor="text1"/>
          <w:szCs w:val="28"/>
          <w14:textFill>
            <w14:solidFill>
              <w14:schemeClr w14:val="tx1"/>
            </w14:solidFill>
          </w14:textFill>
        </w:rPr>
        <w:t>8.磋商保证金</w:t>
      </w:r>
    </w:p>
    <w:p w14:paraId="4FCB356D">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本项目不收取磋商保证金</w:t>
      </w:r>
      <w:r>
        <w:rPr>
          <w:rFonts w:ascii="仿宋_GB2312" w:hAnsi="仿宋" w:cs="宋体"/>
          <w:color w:val="000000" w:themeColor="text1"/>
          <w:szCs w:val="28"/>
          <w14:textFill>
            <w14:solidFill>
              <w14:schemeClr w14:val="tx1"/>
            </w14:solidFill>
          </w14:textFill>
        </w:rPr>
        <w:t>。</w:t>
      </w:r>
    </w:p>
    <w:p w14:paraId="08F03CB2">
      <w:pPr>
        <w:snapToGrid w:val="0"/>
        <w:spacing w:line="560" w:lineRule="exact"/>
        <w:ind w:firstLine="565" w:firstLineChars="201"/>
        <w:rPr>
          <w:rFonts w:ascii="楷体_GB2312" w:hAnsi="宋体" w:eastAsia="楷体_GB2312"/>
          <w:b/>
          <w:color w:val="000000" w:themeColor="text1"/>
          <w:szCs w:val="28"/>
          <w14:textFill>
            <w14:solidFill>
              <w14:schemeClr w14:val="tx1"/>
            </w14:solidFill>
          </w14:textFill>
        </w:rPr>
      </w:pPr>
      <w:r>
        <w:rPr>
          <w:rFonts w:hint="eastAsia" w:ascii="楷体_GB2312" w:hAnsi="宋体" w:eastAsia="楷体_GB2312"/>
          <w:b/>
          <w:color w:val="000000" w:themeColor="text1"/>
          <w:szCs w:val="28"/>
          <w14:textFill>
            <w14:solidFill>
              <w14:schemeClr w14:val="tx1"/>
            </w14:solidFill>
          </w14:textFill>
        </w:rPr>
        <w:t>19.响应文件的数量和签署</w:t>
      </w:r>
    </w:p>
    <w:p w14:paraId="6EDB257E">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19.1响应文件（pdf格式）1份（第一册）：</w:t>
      </w:r>
    </w:p>
    <w:p w14:paraId="379A540C">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19.1.1供应商应使用带电子签章功能的CA锁对响应文件须盖章或签名的部位加盖电子印章（单位电子公章、法定代表人电子人名章），电子印章与实物印章具有同等法律效力。</w:t>
      </w:r>
    </w:p>
    <w:p w14:paraId="465CF95D">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19.1.2 供应商应首先编制word格式响应文件，最后通过威海市政府采购电子交易系统的文件签章菜单的响应文件签章功能转换为pdf格式（或者其他pdf转换工具），之后通过签章功能在pdf文件上逐页加盖电子印章并保存到本地计算机，加盖了电子印章的pdf文件即为最终的响应文件。</w:t>
      </w:r>
    </w:p>
    <w:p w14:paraId="328EF63E">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19.1.3文件中要求法定代表人签字或签章的须加盖法定代表人电子人名章。</w:t>
      </w:r>
    </w:p>
    <w:p w14:paraId="3DB1CD18">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19.1.4须被授权人签字的，被授权人又无电子章的，在word编制时可将被授权人手写签字扫描后的图片粘贴到响应文件中对应位置，并加盖单位电子公章。</w:t>
      </w:r>
    </w:p>
    <w:p w14:paraId="284A0E74">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19.1.5可使用平台的批量盖章功能快速签章。但须逐页浏览检查并注意印章重叠及完整性。</w:t>
      </w:r>
    </w:p>
    <w:p w14:paraId="0F96EAB6">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19.1.6 采用扫描粘贴供应商公章或扫描法定代表人电子章而不加盖单位电子公章的为</w:t>
      </w:r>
      <w:r>
        <w:rPr>
          <w:rFonts w:hint="eastAsia" w:ascii="仿宋_GB2312" w:hAnsi="宋体"/>
          <w:b/>
          <w:color w:val="000000" w:themeColor="text1"/>
          <w:szCs w:val="28"/>
          <w14:textFill>
            <w14:solidFill>
              <w14:schemeClr w14:val="tx1"/>
            </w14:solidFill>
          </w14:textFill>
        </w:rPr>
        <w:t>无效投标（响应）</w:t>
      </w:r>
      <w:r>
        <w:rPr>
          <w:rFonts w:hint="eastAsia" w:ascii="仿宋_GB2312" w:hAnsi="宋体"/>
          <w:color w:val="000000" w:themeColor="text1"/>
          <w:szCs w:val="28"/>
          <w14:textFill>
            <w14:solidFill>
              <w14:schemeClr w14:val="tx1"/>
            </w14:solidFill>
          </w14:textFill>
        </w:rPr>
        <w:t>。</w:t>
      </w:r>
    </w:p>
    <w:p w14:paraId="49843594">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19.2数据文件（PDF格式）（第二册）1份：</w:t>
      </w:r>
    </w:p>
    <w:p w14:paraId="4A89CC05">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19.2.1供应商将填写完毕的数据文件（EXCEL格式），通过威海市政府采购电子交易系统中“文件签章”菜单的“数据签章”功能上传数据文件（EXCEL格式），系统自动转换为PDF格式，加盖电子印章后保存到本地计算机。加盖了电子印章的文件即为最终的数据文件（PDF格式）用于报价。</w:t>
      </w:r>
    </w:p>
    <w:p w14:paraId="7AD47C6F">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19.2.2文件中要求法定代表人签字或签章的须加盖法定代表人电子人名章。</w:t>
      </w:r>
    </w:p>
    <w:p w14:paraId="0A65CE66">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19.2.3采用扫描粘贴供应商公章或法定代表人人名章的为</w:t>
      </w:r>
      <w:r>
        <w:rPr>
          <w:rFonts w:hint="eastAsia" w:ascii="仿宋_GB2312" w:hAnsi="宋体"/>
          <w:b/>
          <w:color w:val="000000" w:themeColor="text1"/>
          <w:szCs w:val="28"/>
          <w14:textFill>
            <w14:solidFill>
              <w14:schemeClr w14:val="tx1"/>
            </w14:solidFill>
          </w14:textFill>
        </w:rPr>
        <w:t>无效投标（响应）</w:t>
      </w:r>
      <w:r>
        <w:rPr>
          <w:rFonts w:hint="eastAsia" w:ascii="仿宋_GB2312" w:hAnsi="宋体"/>
          <w:color w:val="000000" w:themeColor="text1"/>
          <w:szCs w:val="28"/>
          <w14:textFill>
            <w14:solidFill>
              <w14:schemeClr w14:val="tx1"/>
            </w14:solidFill>
          </w14:textFill>
        </w:rPr>
        <w:t>。</w:t>
      </w:r>
    </w:p>
    <w:p w14:paraId="54D87404">
      <w:pPr>
        <w:pStyle w:val="4"/>
        <w:ind w:firstLine="562"/>
        <w:rPr>
          <w:color w:val="000000" w:themeColor="text1"/>
          <w14:textFill>
            <w14:solidFill>
              <w14:schemeClr w14:val="tx1"/>
            </w14:solidFill>
          </w14:textFill>
        </w:rPr>
      </w:pPr>
      <w:r>
        <w:rPr>
          <w:rFonts w:hint="eastAsia"/>
          <w:color w:val="000000" w:themeColor="text1"/>
          <w14:textFill>
            <w14:solidFill>
              <w14:schemeClr w14:val="tx1"/>
            </w14:solidFill>
          </w14:textFill>
        </w:rPr>
        <w:t>四、响应文件的递交</w:t>
      </w:r>
    </w:p>
    <w:p w14:paraId="57EA8B0A">
      <w:pPr>
        <w:snapToGrid w:val="0"/>
        <w:spacing w:line="560" w:lineRule="exact"/>
        <w:ind w:firstLine="565" w:firstLineChars="201"/>
        <w:rPr>
          <w:rFonts w:ascii="楷体_GB2312" w:hAnsi="宋体" w:eastAsia="楷体_GB2312"/>
          <w:b/>
          <w:color w:val="000000" w:themeColor="text1"/>
          <w:szCs w:val="28"/>
          <w14:textFill>
            <w14:solidFill>
              <w14:schemeClr w14:val="tx1"/>
            </w14:solidFill>
          </w14:textFill>
        </w:rPr>
      </w:pPr>
      <w:r>
        <w:rPr>
          <w:rFonts w:hint="eastAsia" w:ascii="楷体_GB2312" w:hAnsi="宋体" w:eastAsia="楷体_GB2312"/>
          <w:b/>
          <w:color w:val="000000" w:themeColor="text1"/>
          <w:szCs w:val="28"/>
          <w14:textFill>
            <w14:solidFill>
              <w14:schemeClr w14:val="tx1"/>
            </w14:solidFill>
          </w14:textFill>
        </w:rPr>
        <w:t>20.响应文件的密封和标记</w:t>
      </w:r>
    </w:p>
    <w:p w14:paraId="27B0385C">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20.1第一阶段电子响应文件的密封和标记</w:t>
      </w:r>
    </w:p>
    <w:p w14:paraId="7EBE948E">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20.1.1加盖了电子印章的</w:t>
      </w:r>
      <w:r>
        <w:rPr>
          <w:rFonts w:hint="eastAsia" w:ascii="仿宋_GB2312" w:hAnsi="仿宋" w:cs="宋体"/>
          <w:color w:val="000000" w:themeColor="text1"/>
          <w:szCs w:val="28"/>
          <w14:textFill>
            <w14:solidFill>
              <w14:schemeClr w14:val="tx1"/>
            </w14:solidFill>
          </w14:textFill>
        </w:rPr>
        <w:t>电子响应文件（PDF格式）和数据文件（PDF格式）</w:t>
      </w:r>
      <w:r>
        <w:rPr>
          <w:rFonts w:hint="eastAsia" w:ascii="仿宋_GB2312" w:hAnsi="宋体"/>
          <w:color w:val="000000" w:themeColor="text1"/>
          <w:szCs w:val="28"/>
          <w14:textFill>
            <w14:solidFill>
              <w14:schemeClr w14:val="tx1"/>
            </w14:solidFill>
          </w14:textFill>
        </w:rPr>
        <w:t>须在</w:t>
      </w:r>
      <w:r>
        <w:rPr>
          <w:rFonts w:hint="eastAsia" w:ascii="仿宋_GB2312" w:hAnsi="仿宋" w:cs="宋体"/>
          <w:color w:val="000000" w:themeColor="text1"/>
          <w:szCs w:val="28"/>
          <w14:textFill>
            <w14:solidFill>
              <w14:schemeClr w14:val="tx1"/>
            </w14:solidFill>
          </w14:textFill>
        </w:rPr>
        <w:t>威海市政府采购电子交易系统</w:t>
      </w:r>
      <w:r>
        <w:rPr>
          <w:rFonts w:hint="eastAsia" w:ascii="仿宋_GB2312" w:hAnsi="宋体"/>
          <w:color w:val="000000" w:themeColor="text1"/>
          <w:szCs w:val="28"/>
          <w14:textFill>
            <w14:solidFill>
              <w14:schemeClr w14:val="tx1"/>
            </w14:solidFill>
          </w14:textFill>
        </w:rPr>
        <w:t>的“我的投标”界面进行提交，提交前系统会自动在本地进行加密和电子签章，加密和数字签名后的文件除了会上传到系统中之外还会同步保存到本地计算机。</w:t>
      </w:r>
    </w:p>
    <w:p w14:paraId="4F2F4E7A">
      <w:pPr>
        <w:snapToGrid w:val="0"/>
        <w:spacing w:line="560" w:lineRule="exact"/>
        <w:ind w:firstLine="565" w:firstLineChars="201"/>
        <w:rPr>
          <w:rFonts w:ascii="楷体_GB2312" w:hAnsi="宋体" w:eastAsia="楷体_GB2312"/>
          <w:b/>
          <w:color w:val="000000" w:themeColor="text1"/>
          <w:szCs w:val="28"/>
          <w14:textFill>
            <w14:solidFill>
              <w14:schemeClr w14:val="tx1"/>
            </w14:solidFill>
          </w14:textFill>
        </w:rPr>
      </w:pPr>
      <w:r>
        <w:rPr>
          <w:rFonts w:hint="eastAsia" w:ascii="楷体_GB2312" w:hAnsi="宋体" w:eastAsia="楷体_GB2312"/>
          <w:b/>
          <w:color w:val="000000" w:themeColor="text1"/>
          <w:szCs w:val="28"/>
          <w14:textFill>
            <w14:solidFill>
              <w14:schemeClr w14:val="tx1"/>
            </w14:solidFill>
          </w14:textFill>
        </w:rPr>
        <w:t>21.磋商截止期</w:t>
      </w:r>
    </w:p>
    <w:p w14:paraId="11415620">
      <w:pPr>
        <w:snapToGrid w:val="0"/>
        <w:spacing w:line="560" w:lineRule="exact"/>
        <w:ind w:firstLine="565" w:firstLineChars="201"/>
        <w:rPr>
          <w:rFonts w:ascii="仿宋_GB2312" w:hAnsi="宋体"/>
          <w:b/>
          <w:color w:val="000000" w:themeColor="text1"/>
          <w:szCs w:val="28"/>
          <w14:textFill>
            <w14:solidFill>
              <w14:schemeClr w14:val="tx1"/>
            </w14:solidFill>
          </w14:textFill>
        </w:rPr>
      </w:pPr>
      <w:r>
        <w:rPr>
          <w:rFonts w:hint="eastAsia" w:ascii="仿宋_GB2312" w:hAnsi="宋体"/>
          <w:b/>
          <w:color w:val="000000" w:themeColor="text1"/>
          <w:szCs w:val="28"/>
          <w14:textFill>
            <w14:solidFill>
              <w14:schemeClr w14:val="tx1"/>
            </w14:solidFill>
          </w14:textFill>
        </w:rPr>
        <w:t>本次磋商第一阶段响应文件的递交截止期见</w:t>
      </w:r>
      <w:r>
        <w:rPr>
          <w:rFonts w:hint="eastAsia" w:ascii="仿宋_GB2312" w:hAnsi="宋体"/>
          <w:b/>
          <w:color w:val="000000" w:themeColor="text1"/>
          <w:szCs w:val="28"/>
          <w:u w:val="single"/>
          <w14:textFill>
            <w14:solidFill>
              <w14:schemeClr w14:val="tx1"/>
            </w14:solidFill>
          </w14:textFill>
        </w:rPr>
        <w:t>响应须知前附表</w:t>
      </w:r>
      <w:r>
        <w:rPr>
          <w:rFonts w:hint="eastAsia" w:ascii="仿宋_GB2312" w:hAnsi="宋体"/>
          <w:b/>
          <w:color w:val="000000" w:themeColor="text1"/>
          <w:szCs w:val="28"/>
          <w14:textFill>
            <w14:solidFill>
              <w14:schemeClr w14:val="tx1"/>
            </w14:solidFill>
          </w14:textFill>
        </w:rPr>
        <w:t>。</w:t>
      </w:r>
    </w:p>
    <w:p w14:paraId="4544DD56">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lang w:val="en-GB"/>
          <w14:textFill>
            <w14:solidFill>
              <w14:schemeClr w14:val="tx1"/>
            </w14:solidFill>
          </w14:textFill>
        </w:rPr>
        <w:t>采购人和</w:t>
      </w:r>
      <w:r>
        <w:rPr>
          <w:rFonts w:ascii="仿宋_GB2312" w:hAnsi="仿宋" w:cs="宋体"/>
          <w:color w:val="000000" w:themeColor="text1"/>
          <w:szCs w:val="28"/>
          <w:lang w:val="en-GB"/>
          <w14:textFill>
            <w14:solidFill>
              <w14:schemeClr w14:val="tx1"/>
            </w14:solidFill>
          </w14:textFill>
        </w:rPr>
        <w:t>采购代理机构</w:t>
      </w:r>
      <w:r>
        <w:rPr>
          <w:rFonts w:hint="eastAsia" w:ascii="仿宋_GB2312" w:hAnsi="仿宋" w:cs="宋体"/>
          <w:color w:val="000000" w:themeColor="text1"/>
          <w:szCs w:val="28"/>
          <w:lang w:val="en-GB"/>
          <w14:textFill>
            <w14:solidFill>
              <w14:schemeClr w14:val="tx1"/>
            </w14:solidFill>
          </w14:textFill>
        </w:rPr>
        <w:t>有权按本须知的规定，延迟报价截止时间。在此情况下，采购人、</w:t>
      </w:r>
      <w:r>
        <w:rPr>
          <w:rFonts w:ascii="仿宋_GB2312" w:hAnsi="仿宋" w:cs="宋体"/>
          <w:color w:val="000000" w:themeColor="text1"/>
          <w:szCs w:val="28"/>
          <w:lang w:val="en-GB"/>
          <w14:textFill>
            <w14:solidFill>
              <w14:schemeClr w14:val="tx1"/>
            </w14:solidFill>
          </w14:textFill>
        </w:rPr>
        <w:t>采购代理机构</w:t>
      </w:r>
      <w:r>
        <w:rPr>
          <w:rFonts w:hint="eastAsia" w:ascii="仿宋_GB2312" w:hAnsi="仿宋" w:cs="宋体"/>
          <w:color w:val="000000" w:themeColor="text1"/>
          <w:szCs w:val="28"/>
          <w:lang w:val="en-GB"/>
          <w14:textFill>
            <w14:solidFill>
              <w14:schemeClr w14:val="tx1"/>
            </w14:solidFill>
          </w14:textFill>
        </w:rPr>
        <w:t>和供应商受报价截止时间制约的所有权利和义务均应延长至新的截止时间。</w:t>
      </w:r>
    </w:p>
    <w:p w14:paraId="5721F668">
      <w:pPr>
        <w:snapToGrid w:val="0"/>
        <w:spacing w:line="560" w:lineRule="exact"/>
        <w:ind w:firstLine="565" w:firstLineChars="201"/>
        <w:rPr>
          <w:rFonts w:ascii="楷体_GB2312" w:hAnsi="宋体" w:eastAsia="楷体_GB2312"/>
          <w:b/>
          <w:color w:val="000000" w:themeColor="text1"/>
          <w:szCs w:val="28"/>
          <w14:textFill>
            <w14:solidFill>
              <w14:schemeClr w14:val="tx1"/>
            </w14:solidFill>
          </w14:textFill>
        </w:rPr>
      </w:pPr>
      <w:r>
        <w:rPr>
          <w:rFonts w:hint="eastAsia" w:ascii="楷体_GB2312" w:hAnsi="宋体" w:eastAsia="楷体_GB2312"/>
          <w:b/>
          <w:color w:val="000000" w:themeColor="text1"/>
          <w:szCs w:val="28"/>
          <w14:textFill>
            <w14:solidFill>
              <w14:schemeClr w14:val="tx1"/>
            </w14:solidFill>
          </w14:textFill>
        </w:rPr>
        <w:t>22.迟交的响应文件</w:t>
      </w:r>
    </w:p>
    <w:p w14:paraId="6719EA71">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威海市政府采购电子交易系统无法接收响应截止期后递交的响应文件。</w:t>
      </w:r>
    </w:p>
    <w:p w14:paraId="168B5B22">
      <w:pPr>
        <w:snapToGrid w:val="0"/>
        <w:spacing w:line="560" w:lineRule="exact"/>
        <w:ind w:firstLine="565" w:firstLineChars="201"/>
        <w:rPr>
          <w:rFonts w:ascii="楷体_GB2312" w:hAnsi="宋体" w:eastAsia="楷体_GB2312"/>
          <w:b/>
          <w:color w:val="000000" w:themeColor="text1"/>
          <w:szCs w:val="28"/>
          <w14:textFill>
            <w14:solidFill>
              <w14:schemeClr w14:val="tx1"/>
            </w14:solidFill>
          </w14:textFill>
        </w:rPr>
      </w:pPr>
      <w:r>
        <w:rPr>
          <w:rFonts w:hint="eastAsia" w:ascii="楷体_GB2312" w:hAnsi="宋体" w:eastAsia="楷体_GB2312"/>
          <w:b/>
          <w:color w:val="000000" w:themeColor="text1"/>
          <w:szCs w:val="28"/>
          <w14:textFill>
            <w14:solidFill>
              <w14:schemeClr w14:val="tx1"/>
            </w14:solidFill>
          </w14:textFill>
        </w:rPr>
        <w:t>23.样品递交</w:t>
      </w:r>
      <w:r>
        <w:rPr>
          <w:rFonts w:ascii="楷体_GB2312" w:hAnsi="宋体" w:eastAsia="楷体_GB2312"/>
          <w:b/>
          <w:color w:val="000000" w:themeColor="text1"/>
          <w:szCs w:val="28"/>
          <w14:textFill>
            <w14:solidFill>
              <w14:schemeClr w14:val="tx1"/>
            </w14:solidFill>
          </w14:textFill>
        </w:rPr>
        <w:t>/</w:t>
      </w:r>
      <w:r>
        <w:rPr>
          <w:rFonts w:hint="eastAsia" w:ascii="楷体_GB2312" w:hAnsi="宋体" w:eastAsia="楷体_GB2312"/>
          <w:b/>
          <w:color w:val="000000" w:themeColor="text1"/>
          <w:szCs w:val="28"/>
          <w14:textFill>
            <w14:solidFill>
              <w14:schemeClr w14:val="tx1"/>
            </w14:solidFill>
          </w14:textFill>
        </w:rPr>
        <w:t>演示</w:t>
      </w:r>
    </w:p>
    <w:p w14:paraId="472F1AEB">
      <w:pPr>
        <w:snapToGrid w:val="0"/>
        <w:spacing w:line="560" w:lineRule="exact"/>
        <w:ind w:firstLine="565" w:firstLineChars="201"/>
        <w:rPr>
          <w:rFonts w:ascii="仿宋_GB2312" w:hAnsi="宋体"/>
          <w:b/>
          <w:color w:val="000000" w:themeColor="text1"/>
          <w:szCs w:val="28"/>
          <w14:textFill>
            <w14:solidFill>
              <w14:schemeClr w14:val="tx1"/>
            </w14:solidFill>
          </w14:textFill>
        </w:rPr>
      </w:pPr>
      <w:r>
        <w:rPr>
          <w:rFonts w:hint="eastAsia" w:ascii="仿宋_GB2312" w:hAnsi="宋体"/>
          <w:b/>
          <w:color w:val="000000" w:themeColor="text1"/>
          <w:szCs w:val="28"/>
          <w14:textFill>
            <w14:solidFill>
              <w14:schemeClr w14:val="tx1"/>
            </w14:solidFill>
          </w14:textFill>
        </w:rPr>
        <w:t>是否要求供应商提供演示/提交样品，详见磋商文件</w:t>
      </w:r>
      <w:r>
        <w:rPr>
          <w:rFonts w:hint="eastAsia" w:ascii="仿宋_GB2312" w:hAnsi="宋体"/>
          <w:b/>
          <w:color w:val="000000" w:themeColor="text1"/>
          <w:szCs w:val="28"/>
          <w:u w:val="single"/>
          <w14:textFill>
            <w14:solidFill>
              <w14:schemeClr w14:val="tx1"/>
            </w14:solidFill>
          </w14:textFill>
        </w:rPr>
        <w:t>响应须知前附表</w:t>
      </w:r>
      <w:r>
        <w:rPr>
          <w:rFonts w:hint="eastAsia" w:ascii="仿宋_GB2312" w:hAnsi="宋体"/>
          <w:b/>
          <w:color w:val="000000" w:themeColor="text1"/>
          <w:szCs w:val="28"/>
          <w14:textFill>
            <w14:solidFill>
              <w14:schemeClr w14:val="tx1"/>
            </w14:solidFill>
          </w14:textFill>
        </w:rPr>
        <w:t>规定。</w:t>
      </w:r>
    </w:p>
    <w:p w14:paraId="35C1B60C">
      <w:pPr>
        <w:snapToGrid w:val="0"/>
        <w:spacing w:line="560" w:lineRule="exact"/>
        <w:ind w:firstLine="565" w:firstLineChars="201"/>
        <w:rPr>
          <w:rFonts w:ascii="楷体_GB2312" w:hAnsi="宋体" w:eastAsia="楷体_GB2312"/>
          <w:b/>
          <w:color w:val="000000" w:themeColor="text1"/>
          <w:szCs w:val="28"/>
          <w14:textFill>
            <w14:solidFill>
              <w14:schemeClr w14:val="tx1"/>
            </w14:solidFill>
          </w14:textFill>
        </w:rPr>
      </w:pPr>
      <w:r>
        <w:rPr>
          <w:rFonts w:hint="eastAsia" w:ascii="楷体_GB2312" w:hAnsi="宋体" w:eastAsia="楷体_GB2312"/>
          <w:b/>
          <w:color w:val="000000" w:themeColor="text1"/>
          <w:szCs w:val="28"/>
          <w14:textFill>
            <w14:solidFill>
              <w14:schemeClr w14:val="tx1"/>
            </w14:solidFill>
          </w14:textFill>
        </w:rPr>
        <w:t>24.响应文件的修改和撤回</w:t>
      </w:r>
    </w:p>
    <w:p w14:paraId="03CBAC49">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24.1供应商必须在规定的磋商截止期之前将修改的响应文件上传到威海市政府采购电子交易系统,在磋商截止期之后，供应商不得对其响应文件做任何修改。</w:t>
      </w:r>
    </w:p>
    <w:p w14:paraId="32B2E7FD">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24.2供应商在递交响应文件后，可以在磋商截止期之前撤回其响应。</w:t>
      </w:r>
    </w:p>
    <w:p w14:paraId="699C5167">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24.3从磋商截止期至磋商有效期这段时间内，供应商不得撤回其响应文件。</w:t>
      </w:r>
    </w:p>
    <w:p w14:paraId="158869D6">
      <w:pPr>
        <w:pStyle w:val="4"/>
        <w:ind w:firstLine="562"/>
        <w:rPr>
          <w:color w:val="000000" w:themeColor="text1"/>
          <w14:textFill>
            <w14:solidFill>
              <w14:schemeClr w14:val="tx1"/>
            </w14:solidFill>
          </w14:textFill>
        </w:rPr>
      </w:pPr>
      <w:r>
        <w:rPr>
          <w:rFonts w:hint="eastAsia"/>
          <w:color w:val="000000" w:themeColor="text1"/>
          <w14:textFill>
            <w14:solidFill>
              <w14:schemeClr w14:val="tx1"/>
            </w14:solidFill>
          </w14:textFill>
        </w:rPr>
        <w:t>五、响应文件解密与磋商</w:t>
      </w:r>
    </w:p>
    <w:p w14:paraId="0352BF26">
      <w:pPr>
        <w:snapToGrid w:val="0"/>
        <w:spacing w:line="560" w:lineRule="exact"/>
        <w:ind w:firstLine="565" w:firstLineChars="201"/>
        <w:rPr>
          <w:rFonts w:ascii="楷体_GB2312" w:hAnsi="宋体" w:eastAsia="楷体_GB2312"/>
          <w:b/>
          <w:color w:val="000000" w:themeColor="text1"/>
          <w:szCs w:val="28"/>
          <w14:textFill>
            <w14:solidFill>
              <w14:schemeClr w14:val="tx1"/>
            </w14:solidFill>
          </w14:textFill>
        </w:rPr>
      </w:pPr>
      <w:r>
        <w:rPr>
          <w:rFonts w:hint="eastAsia" w:ascii="楷体_GB2312" w:hAnsi="宋体" w:eastAsia="楷体_GB2312"/>
          <w:b/>
          <w:color w:val="000000" w:themeColor="text1"/>
          <w:szCs w:val="28"/>
          <w14:textFill>
            <w14:solidFill>
              <w14:schemeClr w14:val="tx1"/>
            </w14:solidFill>
          </w14:textFill>
        </w:rPr>
        <w:t>25.响应文件解密</w:t>
      </w:r>
    </w:p>
    <w:p w14:paraId="0C483EF5">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25.1响应文件递交截止时间后，提交响应文件的供应商不足3家的不得解密。</w:t>
      </w:r>
    </w:p>
    <w:p w14:paraId="559EBEE9">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25.2</w:t>
      </w:r>
      <w:r>
        <w:rPr>
          <w:rFonts w:hint="eastAsia" w:ascii="仿宋_GB2312" w:hAnsi="宋体"/>
          <w:color w:val="000000" w:themeColor="text1"/>
          <w:szCs w:val="28"/>
          <w14:textFill>
            <w14:solidFill>
              <w14:schemeClr w14:val="tx1"/>
            </w14:solidFill>
          </w14:textFill>
        </w:rPr>
        <w:t>采购代理机构</w:t>
      </w:r>
      <w:r>
        <w:rPr>
          <w:rFonts w:hint="eastAsia" w:ascii="仿宋_GB2312" w:hAnsi="仿宋" w:cs="宋体"/>
          <w:color w:val="000000" w:themeColor="text1"/>
          <w:szCs w:val="28"/>
          <w14:textFill>
            <w14:solidFill>
              <w14:schemeClr w14:val="tx1"/>
            </w14:solidFill>
          </w14:textFill>
        </w:rPr>
        <w:t>在响应须知前附表规定的时间和地点组织解密。拟到现场参与解密、磋商等环节的供应商须携带CA锁和笔记本电脑，以便进行解密、磋商等操作。拟不到现场参与解密、磋商等环节的供应商需提前准备已配置好环境的电脑,在规定的时间进行远程解密、磋商等各项操作。</w:t>
      </w:r>
    </w:p>
    <w:p w14:paraId="093176C2">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25.3供应商代表应于响应文件递交截止时间前，完成签到以证明其出席，除因应急情况外，未在采购文件规定的解密时间内解密的视为放弃响应。</w:t>
      </w:r>
    </w:p>
    <w:p w14:paraId="2CFF817F">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25.4</w:t>
      </w:r>
      <w:r>
        <w:rPr>
          <w:rFonts w:hint="eastAsia" w:ascii="仿宋_GB2312" w:hAnsi="宋体"/>
          <w:color w:val="000000" w:themeColor="text1"/>
          <w:szCs w:val="28"/>
          <w:u w:val="single"/>
          <w14:textFill>
            <w14:solidFill>
              <w14:schemeClr w14:val="tx1"/>
            </w14:solidFill>
          </w14:textFill>
        </w:rPr>
        <w:t>响应须知前附表</w:t>
      </w:r>
      <w:r>
        <w:rPr>
          <w:rFonts w:hint="eastAsia" w:ascii="仿宋_GB2312" w:hAnsi="宋体"/>
          <w:color w:val="000000" w:themeColor="text1"/>
          <w:szCs w:val="28"/>
          <w14:textFill>
            <w14:solidFill>
              <w14:schemeClr w14:val="tx1"/>
            </w14:solidFill>
          </w14:textFill>
        </w:rPr>
        <w:t>规定了文件解密时间，供应商输入密码错误（5次输入机会）、未能按时完成解密、其《数据文件》填写、盖章不规范等导致系统无法解析的，将会被视为</w:t>
      </w:r>
      <w:r>
        <w:rPr>
          <w:rFonts w:hint="eastAsia" w:ascii="仿宋_GB2312" w:hAnsi="宋体"/>
          <w:b/>
          <w:color w:val="000000" w:themeColor="text1"/>
          <w:szCs w:val="28"/>
          <w14:textFill>
            <w14:solidFill>
              <w14:schemeClr w14:val="tx1"/>
            </w14:solidFill>
          </w14:textFill>
        </w:rPr>
        <w:t>无效投标（响应）</w:t>
      </w:r>
      <w:r>
        <w:rPr>
          <w:rFonts w:hint="eastAsia" w:ascii="仿宋_GB2312" w:hAnsi="宋体"/>
          <w:color w:val="000000" w:themeColor="text1"/>
          <w:szCs w:val="28"/>
          <w14:textFill>
            <w14:solidFill>
              <w14:schemeClr w14:val="tx1"/>
            </w14:solidFill>
          </w14:textFill>
        </w:rPr>
        <w:t>。</w:t>
      </w:r>
    </w:p>
    <w:p w14:paraId="5530838B">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25.5供应商代表认为采购人、采购代理机构相关工作人员有需要回避的情形的，应当场提出询问或者回避申请。采购人、采购代理机构对供应商代表提出的询问或者回避申请应当及时处理。</w:t>
      </w:r>
    </w:p>
    <w:p w14:paraId="2A881B7E">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25.6录音、录像：威海市公共资源交易中心乳山分中心负责从递交响应文件开始到确定成交结果全过程的录音、录像工作，确保声音清楚、图像清晰、内容无遗漏。</w:t>
      </w:r>
    </w:p>
    <w:p w14:paraId="33BF2D51">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25.7报价过程中，如遇特殊情况，服从威海市公共资源交易中心场地调配，并遵守相关规章制度。</w:t>
      </w:r>
    </w:p>
    <w:p w14:paraId="5C2F7024">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25.8对响应文件报价出现前后不一致的，按以下规定修正：</w:t>
      </w:r>
    </w:p>
    <w:p w14:paraId="55E86A16">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（1）“投标（报价）一览表”的报价与“报价明细表”的报价不一致的，以“投标（报价）一览表”的报价为准；</w:t>
      </w:r>
    </w:p>
    <w:p w14:paraId="4CC9B7AC">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（2）大写金额和小写金额不一致的，以大写金额为准；</w:t>
      </w:r>
    </w:p>
    <w:p w14:paraId="7659F88D">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（3）单价金额小数点或者百分比有明显错位的，以投标（报价）一览表的总价为准，并修改单价。</w:t>
      </w:r>
    </w:p>
    <w:p w14:paraId="6AED726D">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（4）总价金额与按单价汇总金额不一致的，以单价金额计算结果为准。</w:t>
      </w:r>
    </w:p>
    <w:p w14:paraId="493B45FD">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（5）同时出现两种以上不一致的，按照前款规定的顺序修正。修正后的报价经供应商确认后产生约束力，供应商不确认的，其响应无效。</w:t>
      </w:r>
    </w:p>
    <w:p w14:paraId="2E22FDAD">
      <w:pPr>
        <w:snapToGrid w:val="0"/>
        <w:spacing w:line="560" w:lineRule="exact"/>
        <w:ind w:firstLine="565" w:firstLineChars="201"/>
        <w:rPr>
          <w:rFonts w:ascii="仿宋_GB2312" w:hAnsi="宋体"/>
          <w:color w:val="000000" w:themeColor="text1"/>
          <w:szCs w:val="28"/>
          <w14:textFill>
            <w14:solidFill>
              <w14:schemeClr w14:val="tx1"/>
            </w14:solidFill>
          </w14:textFill>
        </w:rPr>
      </w:pPr>
      <w:r>
        <w:rPr>
          <w:rFonts w:hint="eastAsia" w:ascii="仿宋_GB2312" w:hAnsi="仿宋" w:cs="宋体"/>
          <w:b/>
          <w:color w:val="000000" w:themeColor="text1"/>
          <w:szCs w:val="28"/>
          <w14:textFill>
            <w14:solidFill>
              <w14:schemeClr w14:val="tx1"/>
            </w14:solidFill>
          </w14:textFill>
        </w:rPr>
        <w:t>若供应商实名认证证书即将到期或已过期，请确保在公开报价时实名认证证书在有效期内，供应商实名认证证书在续期后务必在公开报价前重新制作和上传电子投标（响应）文件，否则将造成电子投标（响应）文件无法进行解密。</w:t>
      </w:r>
    </w:p>
    <w:p w14:paraId="685B9B5D">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25.9应急报价程序</w:t>
      </w:r>
    </w:p>
    <w:p w14:paraId="48A84189">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电子报价过程中如出现下列情况，导致系统无法正常运行，或者无法保证报价过程的公平、公正和信息安全时，经与行政监督部门沟通后可启动应急报价程序。</w:t>
      </w:r>
    </w:p>
    <w:p w14:paraId="60D0A6CE">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（1）系统服务器发生故障，无法访问或无法使用系统；</w:t>
      </w:r>
    </w:p>
    <w:p w14:paraId="3DAABE34">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（2）系统的软件或数据库出现错误，不能进行正常操作；</w:t>
      </w:r>
    </w:p>
    <w:p w14:paraId="6B9502E3">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（3）系统发现有安全漏洞，有潜在的泄密危险；</w:t>
      </w:r>
    </w:p>
    <w:p w14:paraId="2943B4D2">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（4）病毒发作或受到外来病毒的攻击；</w:t>
      </w:r>
    </w:p>
    <w:p w14:paraId="67764F6C">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（5）其他无法保证报价过程公平、公正和信息安全的情形。</w:t>
      </w:r>
    </w:p>
    <w:p w14:paraId="3D8054EF">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应急报价程序包括：</w:t>
      </w:r>
    </w:p>
    <w:p w14:paraId="6A875596">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（1）对</w:t>
      </w:r>
      <w:r>
        <w:rPr>
          <w:rFonts w:ascii="仿宋_GB2312" w:hAnsi="宋体"/>
          <w:color w:val="000000" w:themeColor="text1"/>
          <w:szCs w:val="28"/>
          <w14:textFill>
            <w14:solidFill>
              <w14:schemeClr w14:val="tx1"/>
            </w14:solidFill>
          </w14:textFill>
        </w:rPr>
        <w:t>未在系统中</w:t>
      </w:r>
      <w:r>
        <w:rPr>
          <w:rFonts w:hint="eastAsia" w:ascii="仿宋_GB2312" w:hAnsi="宋体"/>
          <w:color w:val="000000" w:themeColor="text1"/>
          <w:szCs w:val="28"/>
          <w14:textFill>
            <w14:solidFill>
              <w14:schemeClr w14:val="tx1"/>
            </w14:solidFill>
          </w14:textFill>
        </w:rPr>
        <w:t>报价</w:t>
      </w:r>
      <w:r>
        <w:rPr>
          <w:rFonts w:ascii="仿宋_GB2312" w:hAnsi="宋体"/>
          <w:color w:val="000000" w:themeColor="text1"/>
          <w:szCs w:val="28"/>
          <w14:textFill>
            <w14:solidFill>
              <w14:schemeClr w14:val="tx1"/>
            </w14:solidFill>
          </w14:textFill>
        </w:rPr>
        <w:t>的可暂停</w:t>
      </w:r>
      <w:r>
        <w:rPr>
          <w:rFonts w:hint="eastAsia" w:ascii="仿宋_GB2312" w:hAnsi="宋体"/>
          <w:color w:val="000000" w:themeColor="text1"/>
          <w:szCs w:val="28"/>
          <w14:textFill>
            <w14:solidFill>
              <w14:schemeClr w14:val="tx1"/>
            </w14:solidFill>
          </w14:textFill>
        </w:rPr>
        <w:t>报价；</w:t>
      </w:r>
    </w:p>
    <w:p w14:paraId="49F19870">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（2）对已在系统中报价的应停止，等待系统恢复正常后再组织进行报价。</w:t>
      </w:r>
    </w:p>
    <w:p w14:paraId="37C6CCAB">
      <w:pPr>
        <w:snapToGrid w:val="0"/>
        <w:spacing w:line="560" w:lineRule="exact"/>
        <w:ind w:firstLine="562" w:firstLineChars="201"/>
        <w:rPr>
          <w:rFonts w:ascii="仿宋_GB2312" w:hAnsi="宋体"/>
          <w:b/>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对解密环节出错（因系统故障原因导致）的供应商，通过系统的备案功能进行文件上传备案，对备案文件与网上递交的文件不一致（系统通过数字签名进行验证）或备案文件未按照本文件的要求进行编制、签署导致系统无法备案的供应商作</w:t>
      </w:r>
      <w:r>
        <w:rPr>
          <w:rFonts w:hint="eastAsia" w:ascii="仿宋_GB2312" w:hAnsi="宋体"/>
          <w:b/>
          <w:color w:val="000000" w:themeColor="text1"/>
          <w:szCs w:val="28"/>
          <w14:textFill>
            <w14:solidFill>
              <w14:schemeClr w14:val="tx1"/>
            </w14:solidFill>
          </w14:textFill>
        </w:rPr>
        <w:t>无效投标（响应）处理。</w:t>
      </w:r>
    </w:p>
    <w:p w14:paraId="0C6093CC">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4）备案功能故障且系统长时间无法恢复正常的，在采购人或代理机构的监督下可针对所有在平台中已报价的供应商，启用其电子邮件递交的响应文件进行报价，同时报价由线上转为线下，开标、评审均以电子邮件递交的响应文件为准，供应商必须在获取采购文件时留有本单位详细的邮箱和电话，否则由此产生的不利后果由供应商自行承担。对未按规定递交或递交的文件未按要求进行编制、签署的供应商作无效投标（响应）处理。</w:t>
      </w:r>
    </w:p>
    <w:p w14:paraId="590A7E41">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25.10应急报价电子邮件递交规定</w:t>
      </w:r>
    </w:p>
    <w:p w14:paraId="3F71B1FF">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接收电子邮箱：</w:t>
      </w:r>
      <w:r>
        <w:rPr>
          <w:rFonts w:ascii="仿宋_GB2312" w:hAnsi="宋体"/>
          <w:color w:val="000000" w:themeColor="text1"/>
          <w:szCs w:val="28"/>
          <w14:textFill>
            <w14:solidFill>
              <w14:schemeClr w14:val="tx1"/>
            </w14:solidFill>
          </w14:textFill>
        </w:rPr>
        <w:t>rstprea@163.com</w:t>
      </w:r>
    </w:p>
    <w:p w14:paraId="164ACF2F">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递交时间：以电子邮件或电话通知的时间为准；</w:t>
      </w:r>
    </w:p>
    <w:p w14:paraId="13347EA1">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邮件数量：一封；</w:t>
      </w:r>
    </w:p>
    <w:p w14:paraId="532CC457">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邮件主题：项目编号、供应商名称；</w:t>
      </w:r>
    </w:p>
    <w:p w14:paraId="2799861E">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邮件内容：附件含项目所有的已投包段，每个包段含已盖章且未加密的数据文件、响应文件各一份。数据文件、响应文件与网上最终递交的必须为同一文件（可将所投包段的所有文件打包压缩），如果不一致，系统后台会判定为无效投标（响应）文件，导致报价无效。</w:t>
      </w:r>
    </w:p>
    <w:p w14:paraId="31EEF028">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25.11启动电子邮件报价流程</w:t>
      </w:r>
    </w:p>
    <w:p w14:paraId="41B5E50F">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工作人员电话通知所有供应商启动应急报价程序；</w:t>
      </w:r>
    </w:p>
    <w:p w14:paraId="34B105E4">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供应商收到通知后在规定时间内通过电子邮件递交响应文件（在非应急报价期间采购代理机构不接受、不处理任何通过电子邮件提交的响应文件）；</w:t>
      </w:r>
    </w:p>
    <w:p w14:paraId="2BD50A73">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递交截止时间到，工作人员开始下载响应文件，并邮件回复各供应商。</w:t>
      </w:r>
    </w:p>
    <w:p w14:paraId="5C3EB3F3">
      <w:pPr>
        <w:snapToGrid w:val="0"/>
        <w:spacing w:line="560" w:lineRule="exact"/>
        <w:ind w:firstLine="565" w:firstLineChars="201"/>
        <w:rPr>
          <w:rFonts w:ascii="楷体_GB2312" w:hAnsi="宋体" w:eastAsia="楷体_GB2312"/>
          <w:b/>
          <w:color w:val="000000" w:themeColor="text1"/>
          <w:szCs w:val="28"/>
          <w14:textFill>
            <w14:solidFill>
              <w14:schemeClr w14:val="tx1"/>
            </w14:solidFill>
          </w14:textFill>
        </w:rPr>
      </w:pPr>
      <w:r>
        <w:rPr>
          <w:rFonts w:hint="eastAsia" w:ascii="楷体_GB2312" w:hAnsi="宋体" w:eastAsia="楷体_GB2312"/>
          <w:b/>
          <w:color w:val="000000" w:themeColor="text1"/>
          <w:szCs w:val="28"/>
          <w14:textFill>
            <w14:solidFill>
              <w14:schemeClr w14:val="tx1"/>
            </w14:solidFill>
          </w14:textFill>
        </w:rPr>
        <w:t>26.磋商小组的组成和评审方法</w:t>
      </w:r>
    </w:p>
    <w:p w14:paraId="3F2F6068">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26.1磋商工作由采购代理机构组织，具体评审事务由依法组建的磋商小组负责。磋商小组成员由采购人代表和评审专家（技术、法律等方面）3人以上单人组成，其中磋商小组的专家人数不得少于磋商小组成员总数的2/3。磋商小组的专家应当依法从山东省政府采购专家库中随机抽取产生。抽取的专家数量无法满足评审要求的，经同级人民政府财政部门核准可以采取选择性确定方式补足。情况特殊，通过随机方式难以确定合适的评审专家的项目，经财政部门同意，可以自行选定评审专家。</w:t>
      </w:r>
    </w:p>
    <w:p w14:paraId="4CE7F3A9">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26.2按照《政府采购法实施条例》第9条之规定，采购人员及相关人员与供应商有利害关系的应当回避。曾参与竞争性磋商项目征询意见或论证的专家，不得再作为评审专家参加评审。采购人不得以专家身份参与本项目的评审。采购人和采购代理机构工作人员离职或退休不满三年的，不能作为专家参加评审工作。</w:t>
      </w:r>
    </w:p>
    <w:p w14:paraId="1FF16257">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26.3磋商小组成员职责：</w:t>
      </w:r>
    </w:p>
    <w:p w14:paraId="07CC7B3F">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（1）评审前，磋商小组成员应当主动确认与供应商及其供应商是否有利害关系。如有利害关系应当主动回避，如无利害关系，应当在含有相关内容的《无利害关系声明》上签字；</w:t>
      </w:r>
    </w:p>
    <w:p w14:paraId="4C8AE120">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（2）按照竞争性磋商文件中的评审办法，对响应文件进行评审，并对评审结果承担责任；</w:t>
      </w:r>
    </w:p>
    <w:p w14:paraId="4B4D4746">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（3）对评审过程和结果，以及供应商的商业秘密进行保密；</w:t>
      </w:r>
    </w:p>
    <w:p w14:paraId="64DB57DB">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（4）在磋商小组集体起草的评审报告上签字；</w:t>
      </w:r>
    </w:p>
    <w:p w14:paraId="2747E2BF">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（5）配合采购代理机构答复供应商质疑；</w:t>
      </w:r>
    </w:p>
    <w:p w14:paraId="052B769D">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（6）配合财政部门处理供应商投诉；</w:t>
      </w:r>
    </w:p>
    <w:p w14:paraId="0744CF98">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（7）向财政部门反映评审工作中的问题，提出意见和建议。</w:t>
      </w:r>
    </w:p>
    <w:p w14:paraId="284864E4">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26.4磋商小组集体职责：</w:t>
      </w:r>
    </w:p>
    <w:p w14:paraId="7F7B4E45">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按照各成员评审意见推荐成交候选人，起草评审报告。对评审结论持有异议的磋商小组成员可以书面方式阐述其不同意见和理由。磋商小组成员拒绝在评审报告上签字且不陈述其不同意见和理由的，视为同意评审结论。磋商小组应当对此做出书面说明并记录在案；</w:t>
      </w:r>
    </w:p>
    <w:p w14:paraId="5F13123D">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（2）配合采购人和采购代理机构答复供应商的质疑；</w:t>
      </w:r>
    </w:p>
    <w:p w14:paraId="3B31958F">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（3）配合财政部门做好投诉处理工作；</w:t>
      </w:r>
    </w:p>
    <w:p w14:paraId="0983187E">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（4）必要时，向供应商解释评审结果；</w:t>
      </w:r>
    </w:p>
    <w:p w14:paraId="28584FD0">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（5）向财政部门或者有关部门报告非法干预评审工作的行为。</w:t>
      </w:r>
    </w:p>
    <w:p w14:paraId="44EA7B33">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26.5采购代理机构或采购人的职责：</w:t>
      </w:r>
    </w:p>
    <w:p w14:paraId="53F803E1">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（1）核对磋商小组专家身份和采购人代表授权函，对磋商小组专家在政府采购活动中的职责履行情况予以记录，并及时将有关违法违规行为向财政部门报告；</w:t>
      </w:r>
    </w:p>
    <w:p w14:paraId="7B3D44A2">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（2）宣布评审纪律；</w:t>
      </w:r>
    </w:p>
    <w:p w14:paraId="2DC8B360">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（3）公布供应商名单，告知磋商小组专家应当回避的情形；</w:t>
      </w:r>
    </w:p>
    <w:p w14:paraId="4F975BF2">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（4）在评审期间采取必要的通讯管理措施，保证评审活动不受外界干扰；</w:t>
      </w:r>
    </w:p>
    <w:p w14:paraId="75D34DEE">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（5）根据磋商小组的要求介绍政府采购相关政策法规、磋商文件；</w:t>
      </w:r>
    </w:p>
    <w:p w14:paraId="20DBE093">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（6）维护评审秩序，监督磋商小组依照磋商文件规定的磋商程序、方法和标准进行独立评审，及时制止和纠正采购人代表、评审专家的倾向性言论或者违法违规行为；</w:t>
      </w:r>
    </w:p>
    <w:p w14:paraId="76309CCF">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（7）核对评审结果，有财政部令第87号第六十四条规定的，要求磋商小组复核或者书面说明理由，磋商小组拒绝的，应予记录并向财政部门报告；</w:t>
      </w:r>
    </w:p>
    <w:p w14:paraId="5EF552ED">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（8）评审工作完成后，按照规定向评审专家支付劳务报酬和异地评审差旅费，不得向评审专家以外的其他人员支付评审劳务报酬；</w:t>
      </w:r>
    </w:p>
    <w:p w14:paraId="04150A60">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（9）处理与评审有关的其他事项。</w:t>
      </w:r>
    </w:p>
    <w:p w14:paraId="25AF51ED">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采购人可以在评审前说明项目背景和采购需求，说明内容不得含有歧视性、倾向性意见，不得超出磋商文件所述范围。说明应当提交书面材料，并随采购文件一并存档。</w:t>
      </w:r>
    </w:p>
    <w:p w14:paraId="286A8792">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26.6磋商小组采用集中办公、封闭方式进行评审。磋商前，采购代理机构工作人员向磋商小组成员宣布评审纪律和工作规则。磋商小组成员签署《无利害关系声明表》，并遵照执行。</w:t>
      </w:r>
    </w:p>
    <w:p w14:paraId="594DBED0">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26.7磋商小组成员对与自己有利害关系的评审项目应当主动提出回避。</w:t>
      </w:r>
    </w:p>
    <w:p w14:paraId="02F8A985">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26.8磋商小组将按照竞争性磋商文件确定的评审方法进行评审。磋商小组对响应文件的评审内容分为资格性审查、符合性审查、商务评议、技术评议和价格评议。</w:t>
      </w:r>
    </w:p>
    <w:p w14:paraId="6F0FA3E7">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26.9磋商小组独立履行下列职责：</w:t>
      </w:r>
    </w:p>
    <w:p w14:paraId="4F803619">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（1）审查、评价响应文件是否符合磋商文件的商务、技术等实质性要求；</w:t>
      </w:r>
    </w:p>
    <w:p w14:paraId="32B6429A">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（2）要求供应商对响应文件有关事项做出澄清或者说明；</w:t>
      </w:r>
    </w:p>
    <w:p w14:paraId="0288605D">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（3）对响应文件进行比较和评价；</w:t>
      </w:r>
    </w:p>
    <w:p w14:paraId="5679F55D">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（4）确定成交候选人名单，以及根据采购人委托直接确定成交供应商；</w:t>
      </w:r>
    </w:p>
    <w:p w14:paraId="22FAACA8">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（5）向采购人、采购代理机构或者有关部门报告评审中发现的违法行为。</w:t>
      </w:r>
    </w:p>
    <w:p w14:paraId="7E562203">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26.10评审中因磋商小组成员缺席、回避或者健康等特殊原因导致磋商小组组成不符合本办法规定的，采购代理机构应当依法补足后继续评审。被更换的磋商小组成员所做出的评审意见无效。</w:t>
      </w:r>
    </w:p>
    <w:p w14:paraId="381301A0">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无法及时补足磋商小组成员的，采购代理机构应当停止评审活动，封存所有响应文件和报价、评审资料，依法重新组建磋商小组进行评审。原磋商小组做出的评审意见无效。</w:t>
      </w:r>
    </w:p>
    <w:p w14:paraId="44678481">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采购代理机构应当将变更、重新组建磋商小组的情况予以记录，并随采购文件一并存档。</w:t>
      </w:r>
    </w:p>
    <w:p w14:paraId="57165BEC">
      <w:pPr>
        <w:snapToGrid w:val="0"/>
        <w:spacing w:line="560" w:lineRule="exact"/>
        <w:ind w:firstLine="565" w:firstLineChars="201"/>
        <w:rPr>
          <w:rFonts w:ascii="楷体_GB2312" w:hAnsi="宋体" w:eastAsia="楷体_GB2312"/>
          <w:b/>
          <w:color w:val="000000" w:themeColor="text1"/>
          <w:szCs w:val="28"/>
          <w14:textFill>
            <w14:solidFill>
              <w14:schemeClr w14:val="tx1"/>
            </w14:solidFill>
          </w14:textFill>
        </w:rPr>
      </w:pPr>
      <w:r>
        <w:rPr>
          <w:rFonts w:hint="eastAsia" w:ascii="楷体_GB2312" w:hAnsi="宋体" w:eastAsia="楷体_GB2312"/>
          <w:b/>
          <w:color w:val="000000" w:themeColor="text1"/>
          <w:szCs w:val="28"/>
          <w14:textFill>
            <w14:solidFill>
              <w14:schemeClr w14:val="tx1"/>
            </w14:solidFill>
          </w14:textFill>
        </w:rPr>
        <w:t>27.磋商步骤</w:t>
      </w:r>
    </w:p>
    <w:p w14:paraId="4DE8DE9A">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27.1</w:t>
      </w:r>
      <w:r>
        <w:rPr>
          <w:rFonts w:hint="eastAsia" w:ascii="仿宋_GB2312" w:hAnsi="仿宋" w:cs="宋体"/>
          <w:color w:val="000000" w:themeColor="text1"/>
          <w:szCs w:val="28"/>
          <w14:textFill>
            <w14:solidFill>
              <w14:schemeClr w14:val="tx1"/>
            </w14:solidFill>
          </w14:textFill>
        </w:rPr>
        <w:t>资格性审查。</w:t>
      </w:r>
      <w:r>
        <w:rPr>
          <w:rFonts w:hint="eastAsia" w:ascii="仿宋_GB2312" w:hAnsi="宋体"/>
          <w:color w:val="000000" w:themeColor="text1"/>
          <w:szCs w:val="28"/>
          <w14:textFill>
            <w14:solidFill>
              <w14:schemeClr w14:val="tx1"/>
            </w14:solidFill>
          </w14:textFill>
        </w:rPr>
        <w:t>依据竞争性磋商文件规定在采购项目报价结束后, 磋商小组应当依照有关法律和磋商文件的规定对供应商的资格性审查，</w:t>
      </w:r>
      <w:r>
        <w:rPr>
          <w:rFonts w:hint="eastAsia" w:ascii="仿宋_GB2312" w:hAnsi="仿宋" w:cs="宋体"/>
          <w:b/>
          <w:color w:val="000000" w:themeColor="text1"/>
          <w:szCs w:val="28"/>
          <w14:textFill>
            <w14:solidFill>
              <w14:schemeClr w14:val="tx1"/>
            </w14:solidFill>
          </w14:textFill>
        </w:rPr>
        <w:t>具体内容详见《响应须知》-《实质性条款一览表》中资格性审查条件</w:t>
      </w:r>
      <w:r>
        <w:rPr>
          <w:rFonts w:hint="eastAsia" w:ascii="仿宋_GB2312" w:hAnsi="宋体"/>
          <w:color w:val="000000" w:themeColor="text1"/>
          <w:szCs w:val="28"/>
          <w14:textFill>
            <w14:solidFill>
              <w14:schemeClr w14:val="tx1"/>
            </w14:solidFill>
          </w14:textFill>
        </w:rPr>
        <w:t>。合格供应商不足3家的，不得评审。在资格性检查时,如有下列情况之一的，经磋商小组认定，视为非实质性响应，为</w:t>
      </w:r>
      <w:r>
        <w:rPr>
          <w:rFonts w:hint="eastAsia" w:ascii="仿宋_GB2312" w:hAnsi="宋体"/>
          <w:b/>
          <w:color w:val="000000" w:themeColor="text1"/>
          <w:szCs w:val="28"/>
          <w14:textFill>
            <w14:solidFill>
              <w14:schemeClr w14:val="tx1"/>
            </w14:solidFill>
          </w14:textFill>
        </w:rPr>
        <w:t>无效投标（响应）</w:t>
      </w:r>
      <w:r>
        <w:rPr>
          <w:rFonts w:hint="eastAsia" w:ascii="仿宋_GB2312" w:hAnsi="宋体"/>
          <w:color w:val="000000" w:themeColor="text1"/>
          <w:szCs w:val="28"/>
          <w14:textFill>
            <w14:solidFill>
              <w14:schemeClr w14:val="tx1"/>
            </w14:solidFill>
          </w14:textFill>
        </w:rPr>
        <w:t>：</w:t>
      </w:r>
    </w:p>
    <w:p w14:paraId="7815BC7B">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1.单位负责人为同一人或者存在直接控股、管理关系的不同供应商的；</w:t>
      </w:r>
    </w:p>
    <w:p w14:paraId="5775E09D">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2.为采购项目提供整体设计、规范编制或者项目管理、监理、检测等服务的；</w:t>
      </w:r>
    </w:p>
    <w:p w14:paraId="5B72535E">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3.供应商和响应货物资格证明文件不满足磋商文件要求和过期失效的。</w:t>
      </w:r>
    </w:p>
    <w:p w14:paraId="56270B82">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27.1.1按照《关于做好政府采购信用信息查询使用及登记工作的通知》（鲁财采[2016]34号）的要求，采购人（采购代理机构）在报价当日查询“信用中国”网站（www.creditchina.gov.cn）、中国政府采购网（www.ccgp.gov.cn）、“信用山东”网站（</w:t>
      </w:r>
      <w:r>
        <w:rPr>
          <w:rFonts w:ascii="仿宋_GB2312" w:hAnsi="仿宋" w:cs="宋体"/>
          <w:color w:val="000000" w:themeColor="text1"/>
          <w:szCs w:val="28"/>
          <w14:textFill>
            <w14:solidFill>
              <w14:schemeClr w14:val="tx1"/>
            </w14:solidFill>
          </w14:textFill>
        </w:rPr>
        <w:t>credit.shandong.gov.cn</w:t>
      </w:r>
      <w:r>
        <w:rPr>
          <w:rFonts w:hint="eastAsia" w:ascii="仿宋_GB2312" w:hAnsi="仿宋" w:cs="宋体"/>
          <w:color w:val="000000" w:themeColor="text1"/>
          <w:szCs w:val="28"/>
          <w14:textFill>
            <w14:solidFill>
              <w14:schemeClr w14:val="tx1"/>
            </w14:solidFill>
          </w14:textFill>
        </w:rPr>
        <w:t>）中的登记信息，对查询结果中涉及已列入失信被执行人、重大税收违法案件当事人名单、政府采购严重违法失信行为记录名单及其他不符合《中华人民共和国政府采购法》第二十二条规定条件的供应商，将拒绝其继续参与政府采购活动。以联合体形式参加报价的，联合体任何成员存在以上不良信用记录的，联合体响应将被认定为响应无效。</w:t>
      </w:r>
    </w:p>
    <w:p w14:paraId="13B51E98">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27.1.2采购人或采购代理机构将信用记录查询情况签字并存档备查。供应商信用记录情况以采购人或采购代理机构查询结果为准。供应商自行提供的与网站信息不一致的其他证明材料亦不作为资格审查的依据。</w:t>
      </w:r>
    </w:p>
    <w:p w14:paraId="2BB4811B">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27.1.3在本磋商文件规定的查询时间之后，网站信息发生的任何变更均不再作为评审依据。</w:t>
      </w:r>
    </w:p>
    <w:p w14:paraId="19C74158">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27.2符合性审查。依据竞争性磋商文件规定，从响应文件的有效性、完整性和对竞争性磋商文件的响应程度进行符合性审查，以确定是否对竞争性磋商文件的实质性要求做出响应。磋商小组决定其响应性只根据响应文件本身的内容，而不依据外部的证据。在符合性检查时,如有不满足</w:t>
      </w:r>
      <w:r>
        <w:rPr>
          <w:rFonts w:hint="eastAsia" w:ascii="仿宋_GB2312" w:hAnsi="宋体"/>
          <w:b/>
          <w:color w:val="000000" w:themeColor="text1"/>
          <w:szCs w:val="28"/>
          <w14:textFill>
            <w14:solidFill>
              <w14:schemeClr w14:val="tx1"/>
            </w14:solidFill>
          </w14:textFill>
        </w:rPr>
        <w:t>《响应须知》-《实质性条款一览表》中符合性审查条件</w:t>
      </w:r>
      <w:r>
        <w:rPr>
          <w:rFonts w:hint="eastAsia" w:ascii="仿宋_GB2312" w:hAnsi="宋体"/>
          <w:color w:val="000000" w:themeColor="text1"/>
          <w:szCs w:val="28"/>
          <w14:textFill>
            <w14:solidFill>
              <w14:schemeClr w14:val="tx1"/>
            </w14:solidFill>
          </w14:textFill>
        </w:rPr>
        <w:t>情况之一的，经磋商小组认定，视为非实质性响应，为</w:t>
      </w:r>
      <w:r>
        <w:rPr>
          <w:rFonts w:hint="eastAsia" w:ascii="仿宋_GB2312" w:hAnsi="宋体"/>
          <w:b/>
          <w:color w:val="000000" w:themeColor="text1"/>
          <w:szCs w:val="28"/>
          <w14:textFill>
            <w14:solidFill>
              <w14:schemeClr w14:val="tx1"/>
            </w14:solidFill>
          </w14:textFill>
        </w:rPr>
        <w:t>无效投标（响应）</w:t>
      </w:r>
      <w:r>
        <w:rPr>
          <w:rFonts w:hint="eastAsia" w:ascii="仿宋_GB2312" w:hAnsi="宋体"/>
          <w:color w:val="000000" w:themeColor="text1"/>
          <w:szCs w:val="28"/>
          <w14:textFill>
            <w14:solidFill>
              <w14:schemeClr w14:val="tx1"/>
            </w14:solidFill>
          </w14:textFill>
        </w:rPr>
        <w:t>。</w:t>
      </w:r>
    </w:p>
    <w:p w14:paraId="21D366E7">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27.3磋商小组所有成员集中与单一供应商分别进行磋商。不到现场的</w:t>
      </w:r>
      <w:r>
        <w:rPr>
          <w:rFonts w:hint="eastAsia" w:ascii="仿宋_GB2312" w:hAnsi="仿宋" w:cs="宋体"/>
          <w:color w:val="000000" w:themeColor="text1"/>
          <w:szCs w:val="28"/>
          <w14:textFill>
            <w14:solidFill>
              <w14:schemeClr w14:val="tx1"/>
            </w14:solidFill>
          </w14:textFill>
        </w:rPr>
        <w:t>供应商可以使用系统“网上评标”中的“谈判”功能与评审专家进行远程谈判。</w:t>
      </w:r>
      <w:r>
        <w:rPr>
          <w:rFonts w:hint="eastAsia" w:ascii="仿宋_GB2312" w:hAnsi="宋体"/>
          <w:color w:val="000000" w:themeColor="text1"/>
          <w:szCs w:val="28"/>
          <w14:textFill>
            <w14:solidFill>
              <w14:schemeClr w14:val="tx1"/>
            </w14:solidFill>
          </w14:textFill>
        </w:rPr>
        <w:t>在磋商过程中，磋商小组可以根据响应文件和响应情况实质性变动采购需求中的技术、服务要求以及合同草案条款，但不得变动响应文件中的其他内容。实质性变动的内容，须经采购人代表确认。</w:t>
      </w:r>
    </w:p>
    <w:p w14:paraId="4C43A7A2">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对响应文件做出的实质性变动是响应文件的有效组成部分，磋商小组应当及时以书面形式同时通知所有参加磋商的供应商。</w:t>
      </w:r>
    </w:p>
    <w:p w14:paraId="08427620">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供应商应当按照响应文件的变动情况和磋商小组的要求重新提交响应文件，并由其法定代表人或其被授权人签字或者加盖公章。由被授权人签字的，应当附法定代表人授权书。供应商为自然人的，应当由本人签字并附身份证明。</w:t>
      </w:r>
    </w:p>
    <w:p w14:paraId="0E7D80E1">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ascii="仿宋_GB2312" w:hAnsi="宋体"/>
          <w:color w:val="000000" w:themeColor="text1"/>
          <w:szCs w:val="28"/>
          <w14:textFill>
            <w14:solidFill>
              <w14:schemeClr w14:val="tx1"/>
            </w14:solidFill>
          </w14:textFill>
        </w:rPr>
        <w:t>经磋商小组集体审核通过，未实质性响应磋商文件的响应文件按无效投标（响应）处理，磋商小组应当告知提交响应文件的供应商，说明其不符合要求的原因，由其法定代表人或授权代表签字确认，供应商代表拒不签字的，并不影响磋商小组所做出的结论。</w:t>
      </w:r>
    </w:p>
    <w:p w14:paraId="7B736AF6">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27.4经磋商小组经确定最终采购需求和实质性响应的供应商后，磋商小组应当要求所有实质性响应的供应商在规定时间内提交最后报价，由磋商小组采用综合评分法对提交最后报价的所有供应商的进行综合评分。</w:t>
      </w:r>
    </w:p>
    <w:p w14:paraId="02FEB0C1">
      <w:pPr>
        <w:snapToGrid w:val="0"/>
        <w:spacing w:line="560" w:lineRule="exact"/>
        <w:ind w:firstLine="565" w:firstLineChars="201"/>
        <w:rPr>
          <w:rFonts w:ascii="楷体_GB2312" w:hAnsi="宋体" w:eastAsia="楷体_GB2312"/>
          <w:b/>
          <w:color w:val="000000" w:themeColor="text1"/>
          <w:szCs w:val="28"/>
          <w14:textFill>
            <w14:solidFill>
              <w14:schemeClr w14:val="tx1"/>
            </w14:solidFill>
          </w14:textFill>
        </w:rPr>
      </w:pPr>
      <w:r>
        <w:rPr>
          <w:rFonts w:hint="eastAsia" w:ascii="楷体_GB2312" w:hAnsi="宋体" w:eastAsia="楷体_GB2312"/>
          <w:b/>
          <w:color w:val="000000" w:themeColor="text1"/>
          <w:szCs w:val="28"/>
          <w14:textFill>
            <w14:solidFill>
              <w14:schemeClr w14:val="tx1"/>
            </w14:solidFill>
          </w14:textFill>
        </w:rPr>
        <w:t>28.响应文件的澄清</w:t>
      </w:r>
    </w:p>
    <w:p w14:paraId="26F4A4BF">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28.1磋商小组有权向供应商询标，对于响应文件中含义不明确、同类问题表述不一致或者有明显文字和计算错误的内容，磋商小组应当以书面形式要求供应商做出必要的澄清、说明或者补正。请供应商澄清其响应内容，供应商法定代表人或其授权人必须接受磋商小组的询标，未在磋商小组规定的时间内，对重大关键问题进行答疑和澄清的供应商，经磋商小组确认可视为供应商放弃响应。</w:t>
      </w:r>
    </w:p>
    <w:p w14:paraId="078BF17C">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28.2供应商的澄清、说明或者补正应当采用书面形式，由法定代表人或其被授权人签字或者加盖公章，或者由法定代表人或其授权的代表签字。供应商为自然人的，应当由本人签字并附身份证明。供应商的澄清、说明或者更正不得超出响应文件的范围或者改变对响应文件的实质性内容。此书面文件是响应文件的组成部分。</w:t>
      </w:r>
    </w:p>
    <w:p w14:paraId="2FD631BF">
      <w:pPr>
        <w:snapToGrid w:val="0"/>
        <w:spacing w:line="560" w:lineRule="exact"/>
        <w:ind w:firstLine="565" w:firstLineChars="201"/>
        <w:rPr>
          <w:rFonts w:ascii="楷体_GB2312" w:hAnsi="宋体" w:eastAsia="楷体_GB2312"/>
          <w:b/>
          <w:color w:val="000000" w:themeColor="text1"/>
          <w:szCs w:val="28"/>
          <w14:textFill>
            <w14:solidFill>
              <w14:schemeClr w14:val="tx1"/>
            </w14:solidFill>
          </w14:textFill>
        </w:rPr>
      </w:pPr>
      <w:r>
        <w:rPr>
          <w:rFonts w:hint="eastAsia" w:ascii="楷体_GB2312" w:hAnsi="宋体" w:eastAsia="楷体_GB2312"/>
          <w:b/>
          <w:color w:val="000000" w:themeColor="text1"/>
          <w:szCs w:val="28"/>
          <w14:textFill>
            <w14:solidFill>
              <w14:schemeClr w14:val="tx1"/>
            </w14:solidFill>
          </w14:textFill>
        </w:rPr>
        <w:t>29.响应文件的评价</w:t>
      </w:r>
    </w:p>
    <w:p w14:paraId="65F371F2">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29.1评审采用百分制。磋商小组各成员分别独立对实质上响应响应文件的供应商进行逐项评价打分，对磋商小组各成员每一因素的打分汇总后的得分为供应商的得分。</w:t>
      </w:r>
    </w:p>
    <w:p w14:paraId="4F9019BA">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29.2响应文件内容违反国家有关强制性规定的，磋商小组应当停止评审并向采购人或者采购代理机构说明情况。</w:t>
      </w:r>
    </w:p>
    <w:p w14:paraId="3420DDF4">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29.3根据《中华人民共和国政府采购法实施条例》和《关于进一步规范政府采购评审工作有关问题的通知》（财库〔2012〕69号）的规定，磋商小组成员要依法独立评审，并对评审意见承担个人责任。磋商小组成员对需要共同认定的事项存在争议的，按照少数服从多数的原则做出结论。持不同意见的磋商小组成员应当在评审报告上签署不同意见并说明理由，否则视为同意。</w:t>
      </w:r>
    </w:p>
    <w:p w14:paraId="3679FA40">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29.4磋商小组对确定为实质上响应磋商文件的响应文件进行政策功能评价，如涉及以下内容，具体标准为：</w:t>
      </w:r>
    </w:p>
    <w:p w14:paraId="5D861A85">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①所报产品属于《关于调整优化节能产品、环境标志产品政府采购执行机制的通知》（财库〔2019〕9号）规定的政府优先采购范围的，投标（响应）文件中需提供国家确定的认证机构出具的、处于有效期之内的节能产品、环境标志产品认证证书扫描件。采用综合评分法的项目在打分时由评委根据各供应商所报节能、环保产品的报价在其总报价中所占的比重，分别给予报价和技术部分总分值×（节能、环保产品报价/总报价）×5％的加分。所报产品属于《节能产品政府采购品目清单》中规定的政府强制采购节能品目的，不给予优惠政策的加分/价格扣除。</w:t>
      </w:r>
    </w:p>
    <w:p w14:paraId="6AA4C43E">
      <w:pPr>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②</w:t>
      </w:r>
      <w:r>
        <w:rPr>
          <w:rFonts w:ascii="仿宋_GB2312" w:hAnsi="宋体"/>
          <w:color w:val="000000" w:themeColor="text1"/>
          <w:szCs w:val="28"/>
          <w14:textFill>
            <w14:solidFill>
              <w14:schemeClr w14:val="tx1"/>
            </w14:solidFill>
          </w14:textFill>
        </w:rPr>
        <w:t>本项目为专门面向中小企业采购项目，供应商提供的货物、工程或服务需满足财政部、工信部等部委发布的《关于印发&lt;政府采购促进中小企业发展管理办法&gt;的通知》（财库〔2020〕46号）中关于中小企业的规定。</w:t>
      </w:r>
    </w:p>
    <w:p w14:paraId="03A76029">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③</w:t>
      </w:r>
      <w:r>
        <w:rPr>
          <w:rFonts w:ascii="仿宋_GB2312" w:hAnsi="宋体"/>
          <w:color w:val="000000" w:themeColor="text1"/>
          <w:szCs w:val="28"/>
          <w14:textFill>
            <w14:solidFill>
              <w14:schemeClr w14:val="tx1"/>
            </w14:solidFill>
          </w14:textFill>
        </w:rPr>
        <w:t>若投标人为监狱企业，根据财政部、司法部发布的《关于政府采购支持监狱企业发展有关问题的通知》（财库〔2014〕68号）的规定，在政府采购活动中，视同小型、微型企业。投标时须提供省级以上监狱管理局、戒毒管理局（含新疆生产建设兵团）出具的属于监狱企业的证明文件，否则不享受相关政策。</w:t>
      </w:r>
    </w:p>
    <w:p w14:paraId="142EE91B">
      <w:pPr>
        <w:snapToGrid w:val="0"/>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④</w:t>
      </w:r>
      <w:r>
        <w:rPr>
          <w:rFonts w:ascii="仿宋_GB2312" w:hAnsi="仿宋" w:cs="宋体"/>
          <w:color w:val="000000" w:themeColor="text1"/>
          <w:szCs w:val="28"/>
          <w14:textFill>
            <w14:solidFill>
              <w14:schemeClr w14:val="tx1"/>
            </w14:solidFill>
          </w14:textFill>
        </w:rPr>
        <w:t>若投标人为残疾人福利性单位，在政府采购活动中，视同小型、微型企业，投标时残疾人福利性单位需符合《财政部民政部中国残疾人联合会关于促进残疾人就业政府采购政策的通知》（财库〔2017〕141号）规定的条件，并提供《残疾人福利性单位声明函》，否则不享受相关政策。</w:t>
      </w:r>
    </w:p>
    <w:p w14:paraId="3F4BD3AA">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29.5供应商有下列情形之一的，视为供应商串通响应，其</w:t>
      </w:r>
      <w:r>
        <w:rPr>
          <w:rFonts w:hint="eastAsia" w:ascii="仿宋_GB2312" w:hAnsi="宋体"/>
          <w:b/>
          <w:color w:val="000000" w:themeColor="text1"/>
          <w:szCs w:val="28"/>
          <w14:textFill>
            <w14:solidFill>
              <w14:schemeClr w14:val="tx1"/>
            </w14:solidFill>
          </w14:textFill>
        </w:rPr>
        <w:t>响应无效</w:t>
      </w:r>
      <w:r>
        <w:rPr>
          <w:rFonts w:hint="eastAsia" w:ascii="仿宋_GB2312" w:hAnsi="宋体"/>
          <w:color w:val="000000" w:themeColor="text1"/>
          <w:szCs w:val="28"/>
          <w14:textFill>
            <w14:solidFill>
              <w14:schemeClr w14:val="tx1"/>
            </w14:solidFill>
          </w14:textFill>
        </w:rPr>
        <w:t>：</w:t>
      </w:r>
    </w:p>
    <w:p w14:paraId="28073868">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（1）不同供应商的响应文件由同一单位或者个人编制；</w:t>
      </w:r>
    </w:p>
    <w:p w14:paraId="3306C0B3">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（2）不同供应商委托同一单位或者个人办理响应事宜；</w:t>
      </w:r>
    </w:p>
    <w:p w14:paraId="3C3E6935">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（3）不同供应商的响应文件载明的项目管理成员或者联系人员为同一人；</w:t>
      </w:r>
    </w:p>
    <w:p w14:paraId="2E95A874">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（4）不同供应商的响应文件异常一致或者响应报价呈规律性差异；</w:t>
      </w:r>
    </w:p>
    <w:p w14:paraId="7DD94755">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（5）不同供应商的响应文件相互混装；</w:t>
      </w:r>
    </w:p>
    <w:p w14:paraId="1CA76FA3">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（6）不同供应商的磋商保证金从同一单位或者个人的账户转出。</w:t>
      </w:r>
    </w:p>
    <w:p w14:paraId="34B4DC5E">
      <w:pPr>
        <w:snapToGrid w:val="0"/>
        <w:spacing w:line="560" w:lineRule="exact"/>
        <w:ind w:firstLine="565" w:firstLineChars="201"/>
        <w:rPr>
          <w:rFonts w:ascii="楷体_GB2312" w:hAnsi="宋体" w:eastAsia="楷体_GB2312"/>
          <w:b/>
          <w:color w:val="000000" w:themeColor="text1"/>
          <w:szCs w:val="28"/>
          <w14:textFill>
            <w14:solidFill>
              <w14:schemeClr w14:val="tx1"/>
            </w14:solidFill>
          </w14:textFill>
        </w:rPr>
      </w:pPr>
      <w:r>
        <w:rPr>
          <w:rFonts w:hint="eastAsia" w:ascii="楷体_GB2312" w:hAnsi="宋体" w:eastAsia="楷体_GB2312"/>
          <w:b/>
          <w:color w:val="000000" w:themeColor="text1"/>
          <w:szCs w:val="28"/>
          <w14:textFill>
            <w14:solidFill>
              <w14:schemeClr w14:val="tx1"/>
            </w14:solidFill>
          </w14:textFill>
        </w:rPr>
        <w:t>30.废标条款</w:t>
      </w:r>
    </w:p>
    <w:p w14:paraId="13FF11E9">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在竞争性磋商采购中，出现下列情形之一的，应予废标：</w:t>
      </w:r>
    </w:p>
    <w:p w14:paraId="71CA09B5">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（1）因情况变化，不再适合竞争性磋商采购方式适用情形的；</w:t>
      </w:r>
    </w:p>
    <w:p w14:paraId="4F06C4DC">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（2）出现影响采购公正的违法、违规行为的；</w:t>
      </w:r>
    </w:p>
    <w:p w14:paraId="1B2AAA70">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（3）除《政府采购竞争性磋商采购方式管理暂行办法》第二十一条第三款规定的情形外，在采购过程中符合要求的供应商不足3家的。</w:t>
      </w:r>
    </w:p>
    <w:p w14:paraId="5EC80F36">
      <w:pPr>
        <w:spacing w:line="560" w:lineRule="exact"/>
        <w:ind w:firstLine="565" w:firstLineChars="201"/>
        <w:rPr>
          <w:rFonts w:ascii="楷体_GB2312" w:hAnsi="仿宋" w:eastAsia="楷体_GB2312" w:cs="宋体"/>
          <w:b/>
          <w:color w:val="000000" w:themeColor="text1"/>
          <w:szCs w:val="28"/>
          <w14:textFill>
            <w14:solidFill>
              <w14:schemeClr w14:val="tx1"/>
            </w14:solidFill>
          </w14:textFill>
        </w:rPr>
      </w:pPr>
      <w:r>
        <w:rPr>
          <w:rFonts w:hint="eastAsia" w:ascii="楷体_GB2312" w:hAnsi="仿宋" w:eastAsia="楷体_GB2312" w:cs="宋体"/>
          <w:b/>
          <w:color w:val="000000" w:themeColor="text1"/>
          <w:szCs w:val="28"/>
          <w14:textFill>
            <w14:solidFill>
              <w14:schemeClr w14:val="tx1"/>
            </w14:solidFill>
          </w14:textFill>
        </w:rPr>
        <w:t>31.保密要求</w:t>
      </w:r>
    </w:p>
    <w:p w14:paraId="2BE63E31">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评审将在严格保密的情况下进行。有关人员</w:t>
      </w:r>
      <w:r>
        <w:rPr>
          <w:rFonts w:ascii="仿宋_GB2312" w:hAnsi="仿宋" w:cs="宋体"/>
          <w:color w:val="000000" w:themeColor="text1"/>
          <w:szCs w:val="28"/>
          <w14:textFill>
            <w14:solidFill>
              <w14:schemeClr w14:val="tx1"/>
            </w14:solidFill>
          </w14:textFill>
        </w:rPr>
        <w:t>应当</w:t>
      </w:r>
      <w:r>
        <w:rPr>
          <w:rFonts w:hint="eastAsia" w:ascii="仿宋_GB2312" w:hAnsi="仿宋" w:cs="宋体"/>
          <w:color w:val="000000" w:themeColor="text1"/>
          <w:szCs w:val="28"/>
          <w14:textFill>
            <w14:solidFill>
              <w14:schemeClr w14:val="tx1"/>
            </w14:solidFill>
          </w14:textFill>
        </w:rPr>
        <w:t>遵</w:t>
      </w:r>
      <w:r>
        <w:rPr>
          <w:rFonts w:ascii="仿宋_GB2312" w:hAnsi="仿宋" w:cs="宋体"/>
          <w:color w:val="000000" w:themeColor="text1"/>
          <w:szCs w:val="28"/>
          <w14:textFill>
            <w14:solidFill>
              <w14:schemeClr w14:val="tx1"/>
            </w14:solidFill>
          </w14:textFill>
        </w:rPr>
        <w:t>守评审工作纪律，</w:t>
      </w:r>
      <w:r>
        <w:rPr>
          <w:rFonts w:hint="eastAsia" w:ascii="仿宋_GB2312" w:hAnsi="仿宋" w:cs="宋体"/>
          <w:b/>
          <w:bCs/>
          <w:color w:val="000000" w:themeColor="text1"/>
          <w:szCs w:val="28"/>
          <w14:textFill>
            <w14:solidFill>
              <w14:schemeClr w14:val="tx1"/>
            </w14:solidFill>
          </w14:textFill>
        </w:rPr>
        <w:t>不得记录、复制或者带走任何评审资料</w:t>
      </w:r>
      <w:r>
        <w:rPr>
          <w:rFonts w:hint="eastAsia" w:ascii="仿宋_GB2312" w:hAnsi="仿宋" w:cs="宋体"/>
          <w:color w:val="000000" w:themeColor="text1"/>
          <w:szCs w:val="28"/>
          <w14:textFill>
            <w14:solidFill>
              <w14:schemeClr w14:val="tx1"/>
            </w14:solidFill>
          </w14:textFill>
        </w:rPr>
        <w:t>，</w:t>
      </w:r>
      <w:r>
        <w:rPr>
          <w:rFonts w:ascii="仿宋_GB2312" w:hAnsi="仿宋" w:cs="宋体"/>
          <w:color w:val="000000" w:themeColor="text1"/>
          <w:szCs w:val="28"/>
          <w14:textFill>
            <w14:solidFill>
              <w14:schemeClr w14:val="tx1"/>
            </w14:solidFill>
          </w14:textFill>
        </w:rPr>
        <w:t>不得</w:t>
      </w:r>
      <w:r>
        <w:rPr>
          <w:rFonts w:hint="eastAsia" w:ascii="仿宋_GB2312" w:hAnsi="仿宋" w:cs="宋体"/>
          <w:color w:val="000000" w:themeColor="text1"/>
          <w:szCs w:val="28"/>
          <w14:textFill>
            <w14:solidFill>
              <w14:schemeClr w14:val="tx1"/>
            </w14:solidFill>
          </w14:textFill>
        </w:rPr>
        <w:t>泄露</w:t>
      </w:r>
      <w:r>
        <w:rPr>
          <w:rFonts w:ascii="仿宋_GB2312" w:hAnsi="仿宋" w:cs="宋体"/>
          <w:color w:val="000000" w:themeColor="text1"/>
          <w:szCs w:val="28"/>
          <w14:textFill>
            <w14:solidFill>
              <w14:schemeClr w14:val="tx1"/>
            </w14:solidFill>
          </w14:textFill>
        </w:rPr>
        <w:t>评审</w:t>
      </w:r>
      <w:r>
        <w:rPr>
          <w:rFonts w:hint="eastAsia" w:ascii="仿宋_GB2312" w:hAnsi="仿宋" w:cs="宋体"/>
          <w:color w:val="000000" w:themeColor="text1"/>
          <w:szCs w:val="28"/>
          <w14:textFill>
            <w14:solidFill>
              <w14:schemeClr w14:val="tx1"/>
            </w14:solidFill>
          </w14:textFill>
        </w:rPr>
        <w:t>文件</w:t>
      </w:r>
      <w:r>
        <w:rPr>
          <w:rFonts w:ascii="仿宋_GB2312" w:hAnsi="仿宋" w:cs="宋体"/>
          <w:color w:val="000000" w:themeColor="text1"/>
          <w:szCs w:val="28"/>
          <w14:textFill>
            <w14:solidFill>
              <w14:schemeClr w14:val="tx1"/>
            </w14:solidFill>
          </w14:textFill>
        </w:rPr>
        <w:t>、评审情况和评审中获悉的商业秘密。</w:t>
      </w:r>
    </w:p>
    <w:p w14:paraId="3B6D2A3E">
      <w:pPr>
        <w:pStyle w:val="4"/>
        <w:ind w:firstLine="562"/>
        <w:rPr>
          <w:color w:val="000000" w:themeColor="text1"/>
          <w14:textFill>
            <w14:solidFill>
              <w14:schemeClr w14:val="tx1"/>
            </w14:solidFill>
          </w14:textFill>
        </w:rPr>
      </w:pPr>
      <w:r>
        <w:rPr>
          <w:rFonts w:hint="eastAsia"/>
          <w:color w:val="000000" w:themeColor="text1"/>
          <w14:textFill>
            <w14:solidFill>
              <w14:schemeClr w14:val="tx1"/>
            </w14:solidFill>
          </w14:textFill>
        </w:rPr>
        <w:t>六、成交</w:t>
      </w:r>
    </w:p>
    <w:p w14:paraId="2442FFC2">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磋商小组应当根据综合评分情况，按照评审得分由高到低顺序推荐成交候选供应商，并编写评审报告。评审得分相同的，按照最后报价由低到高的顺序推荐。评审得分相同且最后报价相同的，按照技术指标优劣顺序推荐（即按技术因素得分由高到低的顺序推荐）。</w:t>
      </w:r>
    </w:p>
    <w:p w14:paraId="45615C39">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评审报告应当由磋商小组全体人员签字认可。磋商小组成员对评审报告有异议的，磋商小组按照少数服从多数的原则推荐成交候选供应商，采购程序继续进行。对评审报告有异议的磋商小组成员，应当在报告上签署不同意见并说明理由，由磋商小组书面记录相关情况。磋商小组成员拒绝在报告上签字又不书面说明其不同意见和理由的，视为同意评审报告。</w:t>
      </w:r>
    </w:p>
    <w:p w14:paraId="7E968A0D">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采购代理机构应当在评审结束后2个工作日内将评审报告送采购人确认。采购人应当在收到评审报告后5个工作日内，从评审报告提出的成交候选供应商中，按照排序由高到低的原则确定成交供应商，也可以授权磋商小组直接确定成交供应商。采购人逾期未确定成交供应商且不提出异议的，视为确定评审报告提出的排序第一的供应商为成交供应商。</w:t>
      </w:r>
    </w:p>
    <w:p w14:paraId="5A22FC9A">
      <w:pPr>
        <w:pStyle w:val="4"/>
        <w:ind w:firstLine="562"/>
        <w:rPr>
          <w:color w:val="000000" w:themeColor="text1"/>
          <w14:textFill>
            <w14:solidFill>
              <w14:schemeClr w14:val="tx1"/>
            </w14:solidFill>
          </w14:textFill>
        </w:rPr>
      </w:pPr>
      <w:r>
        <w:rPr>
          <w:rFonts w:hint="eastAsia"/>
          <w:color w:val="000000" w:themeColor="text1"/>
          <w14:textFill>
            <w14:solidFill>
              <w14:schemeClr w14:val="tx1"/>
            </w14:solidFill>
          </w14:textFill>
        </w:rPr>
        <w:t>七、公告</w:t>
      </w:r>
    </w:p>
    <w:p w14:paraId="1B3FE960">
      <w:pPr>
        <w:spacing w:line="560" w:lineRule="exact"/>
        <w:ind w:firstLine="565" w:firstLineChars="201"/>
        <w:rPr>
          <w:rFonts w:ascii="楷体_GB2312" w:hAnsi="仿宋" w:eastAsia="楷体_GB2312" w:cs="宋体"/>
          <w:b/>
          <w:color w:val="000000" w:themeColor="text1"/>
          <w:szCs w:val="28"/>
          <w14:textFill>
            <w14:solidFill>
              <w14:schemeClr w14:val="tx1"/>
            </w14:solidFill>
          </w14:textFill>
        </w:rPr>
      </w:pPr>
      <w:r>
        <w:rPr>
          <w:rFonts w:hint="eastAsia" w:ascii="楷体_GB2312" w:hAnsi="仿宋" w:eastAsia="楷体_GB2312" w:cs="宋体"/>
          <w:b/>
          <w:color w:val="000000" w:themeColor="text1"/>
          <w:szCs w:val="28"/>
          <w14:textFill>
            <w14:solidFill>
              <w14:schemeClr w14:val="tx1"/>
            </w14:solidFill>
          </w14:textFill>
        </w:rPr>
        <w:t>32.公告</w:t>
      </w:r>
    </w:p>
    <w:p w14:paraId="0B58210D">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32.1采购代理机构自成交供应商确定之日起2个工作日内，在中国山东政府采购网、威海市公共资源交易网、威海市公共资源交易网（乳山分中心）上公告成交结果。成交公告期限为1个工作日。成交公告应当包括下列内容：</w:t>
      </w:r>
    </w:p>
    <w:p w14:paraId="3C608BA9">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（1）采购人、代理机构的名称、地址和联系方式；</w:t>
      </w:r>
    </w:p>
    <w:p w14:paraId="69D073F3">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（2）项目名称和项目编号；</w:t>
      </w:r>
    </w:p>
    <w:p w14:paraId="6EC5E59B">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（3）成交供应商名称、地址和成交金额；</w:t>
      </w:r>
    </w:p>
    <w:p w14:paraId="755358E3">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（4）主要成交标的名称、规格型号、数量、单价、服务要求；</w:t>
      </w:r>
    </w:p>
    <w:p w14:paraId="69FD70A2">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（5）成交公告期限；</w:t>
      </w:r>
    </w:p>
    <w:p w14:paraId="2035B379">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（6）评审专家名单；</w:t>
      </w:r>
    </w:p>
    <w:p w14:paraId="0B94097B">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（7）供应商</w:t>
      </w:r>
      <w:r>
        <w:rPr>
          <w:rFonts w:ascii="仿宋_GB2312" w:hAnsi="仿宋" w:cs="宋体"/>
          <w:color w:val="000000" w:themeColor="text1"/>
          <w:szCs w:val="28"/>
          <w14:textFill>
            <w14:solidFill>
              <w14:schemeClr w14:val="tx1"/>
            </w14:solidFill>
          </w14:textFill>
        </w:rPr>
        <w:t>未中标的原因</w:t>
      </w:r>
      <w:r>
        <w:rPr>
          <w:rFonts w:hint="eastAsia" w:ascii="仿宋_GB2312" w:hAnsi="仿宋" w:cs="宋体"/>
          <w:color w:val="000000" w:themeColor="text1"/>
          <w:szCs w:val="28"/>
          <w14:textFill>
            <w14:solidFill>
              <w14:schemeClr w14:val="tx1"/>
            </w14:solidFill>
          </w14:textFill>
        </w:rPr>
        <w:t>；</w:t>
      </w:r>
    </w:p>
    <w:p w14:paraId="3027598F">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（8）采用综合评分法评审的，还将告知未中标人本人的评审得分和排序。</w:t>
      </w:r>
    </w:p>
    <w:p w14:paraId="0F41C333">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32.2采购代理机构应当在公告成交结果的同时，向成交供应商发出《成交通知书》；对未通过资格审查的供应商，应当告知其未通过的原因；《成交通知书》是合同的组成部分,对成交供应商和采购人具有同等法律效力。《成交通知书》发出后，采购人不得违法改变成交结果，成交供应商无正当理由不得放弃成交。</w:t>
      </w:r>
    </w:p>
    <w:p w14:paraId="586028AB">
      <w:pPr>
        <w:pStyle w:val="4"/>
        <w:ind w:firstLine="562"/>
        <w:rPr>
          <w:color w:val="000000" w:themeColor="text1"/>
          <w14:textFill>
            <w14:solidFill>
              <w14:schemeClr w14:val="tx1"/>
            </w14:solidFill>
          </w14:textFill>
        </w:rPr>
      </w:pPr>
      <w:r>
        <w:rPr>
          <w:rFonts w:hint="eastAsia"/>
          <w:color w:val="000000" w:themeColor="text1"/>
          <w14:textFill>
            <w14:solidFill>
              <w14:schemeClr w14:val="tx1"/>
            </w14:solidFill>
          </w14:textFill>
        </w:rPr>
        <w:t>八、质疑</w:t>
      </w:r>
    </w:p>
    <w:p w14:paraId="7B7B2380">
      <w:pPr>
        <w:snapToGrid w:val="0"/>
        <w:spacing w:line="560" w:lineRule="exact"/>
        <w:ind w:firstLine="565" w:firstLineChars="201"/>
        <w:rPr>
          <w:rFonts w:ascii="楷体_GB2312" w:hAnsi="宋体" w:eastAsia="楷体_GB2312"/>
          <w:b/>
          <w:color w:val="000000" w:themeColor="text1"/>
          <w:szCs w:val="28"/>
          <w14:textFill>
            <w14:solidFill>
              <w14:schemeClr w14:val="tx1"/>
            </w14:solidFill>
          </w14:textFill>
        </w:rPr>
      </w:pPr>
      <w:r>
        <w:rPr>
          <w:rFonts w:hint="eastAsia" w:ascii="楷体_GB2312" w:hAnsi="宋体" w:eastAsia="楷体_GB2312"/>
          <w:b/>
          <w:color w:val="000000" w:themeColor="text1"/>
          <w:szCs w:val="28"/>
          <w14:textFill>
            <w14:solidFill>
              <w14:schemeClr w14:val="tx1"/>
            </w14:solidFill>
          </w14:textFill>
        </w:rPr>
        <w:t>33.质疑</w:t>
      </w:r>
    </w:p>
    <w:p w14:paraId="2243DEE7">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33.1供应商对政府采购活动事项有疑问的，可以向采购人和采购代理机构提出询问，采购人和采购代理机构应当在3个工作日内做出答复，但答复的内容不得涉及商业秘密。供应商提出的询问或者质疑超出采购人对采购代理机构委托授权范围的，采购代理机构应当告知供应商向采购人提出。</w:t>
      </w:r>
    </w:p>
    <w:p w14:paraId="04A267BA">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33.2供应商对采购需求有疑问的，应在采购需求公示期内向采购人提出询问，采购人应当在收到询问后3个工作日内做出答复。</w:t>
      </w:r>
    </w:p>
    <w:p w14:paraId="013494AD">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33.3供应商认为采购文件、采购过程、成交结果使自己的权益受到损害的，可以在知道或者应知其权益受到损害之日起7个工作日内，以书面形式向采购人或采购代理机构提出质疑，采购人和采购代理机构应当在收到供应商的书面质疑后7个工作日内做出书面答复。</w:t>
      </w:r>
    </w:p>
    <w:p w14:paraId="65A23FBB">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33.4提出质疑的供应商应当是参与本项目采购活动的供应商。</w:t>
      </w:r>
    </w:p>
    <w:p w14:paraId="1F49B4CE">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33.5潜在供应商已依法获取其可质疑的采购文件的，可以对该文件提出质疑。对采购文件提出质疑的，应当在获取采购文件或者采购文件公告期限届满之日起7个工作日内提出。</w:t>
      </w:r>
    </w:p>
    <w:p w14:paraId="7019D063">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33.6供应商应在法定质疑期内一次性提出针对同一采购程序环节的质疑。</w:t>
      </w:r>
    </w:p>
    <w:p w14:paraId="42AE42BE">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33.7质疑采用实名制，为了使提出的质疑事项在规定时间内得到有效答复、处理，提交的质疑函务必提供以下内容。</w:t>
      </w:r>
    </w:p>
    <w:p w14:paraId="3F167743">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（1）供应商的姓名或名称、地址（邮箱）、邮编、联系人及联系电话；</w:t>
      </w:r>
    </w:p>
    <w:p w14:paraId="2D92C958">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（2）质疑项目的名称、编号；</w:t>
      </w:r>
    </w:p>
    <w:p w14:paraId="4BA3C1C6">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（3）具体、明确的质疑事项和与质疑事项相关的请求；</w:t>
      </w:r>
    </w:p>
    <w:p w14:paraId="556C5ED1">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（4）事实依据；</w:t>
      </w:r>
    </w:p>
    <w:p w14:paraId="49557143">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（5）必要的法律依据；</w:t>
      </w:r>
    </w:p>
    <w:p w14:paraId="0D4F1846">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（6）提出质疑的日期。</w:t>
      </w:r>
    </w:p>
    <w:p w14:paraId="5F812D62">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供应商为自然人的，应当由本人签字；供应商为法人或者其他组织的，应当由法定代表人、主要负责人，或者其被授权人签字或者盖章，并加盖公章。</w:t>
      </w:r>
    </w:p>
    <w:p w14:paraId="06B3DB67">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33.8质疑函应当按照《政府采购供应商质疑函范本》格式填写后由法定代表人或投标授权人递交到采购人或采购代理机构，受理方式</w:t>
      </w:r>
      <w:r>
        <w:rPr>
          <w:rFonts w:hint="eastAsia" w:ascii="仿宋_GB2312" w:hAnsi="仿宋" w:cs="宋体"/>
          <w:color w:val="000000" w:themeColor="text1"/>
          <w:szCs w:val="28"/>
          <w14:textFill>
            <w14:solidFill>
              <w14:schemeClr w14:val="tx1"/>
            </w14:solidFill>
          </w14:textFill>
        </w:rPr>
        <w:t>见</w:t>
      </w:r>
      <w:r>
        <w:rPr>
          <w:rFonts w:hint="eastAsia" w:ascii="仿宋_GB2312" w:hAnsi="仿宋" w:cs="宋体"/>
          <w:color w:val="000000" w:themeColor="text1"/>
          <w:szCs w:val="28"/>
          <w:u w:val="single"/>
          <w14:textFill>
            <w14:solidFill>
              <w14:schemeClr w14:val="tx1"/>
            </w14:solidFill>
          </w14:textFill>
        </w:rPr>
        <w:t>响应须知前附表</w:t>
      </w:r>
      <w:r>
        <w:rPr>
          <w:rFonts w:hint="eastAsia" w:ascii="仿宋_GB2312" w:hAnsi="仿宋" w:cs="宋体"/>
          <w:color w:val="000000" w:themeColor="text1"/>
          <w:szCs w:val="28"/>
          <w14:textFill>
            <w14:solidFill>
              <w14:schemeClr w14:val="tx1"/>
            </w14:solidFill>
          </w14:textFill>
        </w:rPr>
        <w:t>。</w:t>
      </w:r>
      <w:r>
        <w:rPr>
          <w:rFonts w:hint="eastAsia" w:ascii="仿宋_GB2312" w:hAnsi="宋体"/>
          <w:color w:val="000000" w:themeColor="text1"/>
          <w:szCs w:val="28"/>
          <w14:textFill>
            <w14:solidFill>
              <w14:schemeClr w14:val="tx1"/>
            </w14:solidFill>
          </w14:textFill>
        </w:rPr>
        <w:t>采购人或采购代理机构正式受理后方可生效。否则，为无效质疑。</w:t>
      </w:r>
    </w:p>
    <w:p w14:paraId="5ED9C3BD">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33.9有下列情况之一的质疑不予受理：</w:t>
      </w:r>
    </w:p>
    <w:p w14:paraId="30D8AEE4">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（1）无质疑函件或质疑函件缺少投标人法人印章、投标人法定代表人签字、有效授权书和联系方式之一的质疑；</w:t>
      </w:r>
    </w:p>
    <w:p w14:paraId="56BF866A">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（2）质疑函件无实质性内容或佐证文件资料，主观臆断及推理得出结论的质疑；</w:t>
      </w:r>
    </w:p>
    <w:p w14:paraId="2CDD850A">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（3）相应证明材料不真实或来源不合法的质疑；</w:t>
      </w:r>
    </w:p>
    <w:p w14:paraId="3C82BE50">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（4）未按规定时间或超过公示期提出的质疑；</w:t>
      </w:r>
    </w:p>
    <w:p w14:paraId="2B04C472">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（5）其他不符合《政府采购质疑和投诉办法》（中国人民共和国财政部令第94号）的相关规定。</w:t>
      </w:r>
    </w:p>
    <w:p w14:paraId="3144581F">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33.10对捏造事实，提供虚假材料或者以非法手段取得证明材料进行恶意质疑的，一经查实，将上报财政部门列入黑名单，并给以相应处罚。</w:t>
      </w:r>
    </w:p>
    <w:p w14:paraId="64B8DA02">
      <w:pPr>
        <w:pStyle w:val="4"/>
        <w:ind w:firstLine="562"/>
        <w:rPr>
          <w:color w:val="000000" w:themeColor="text1"/>
          <w14:textFill>
            <w14:solidFill>
              <w14:schemeClr w14:val="tx1"/>
            </w14:solidFill>
          </w14:textFill>
        </w:rPr>
      </w:pPr>
      <w:r>
        <w:rPr>
          <w:rFonts w:hint="eastAsia"/>
          <w:color w:val="000000" w:themeColor="text1"/>
          <w14:textFill>
            <w14:solidFill>
              <w14:schemeClr w14:val="tx1"/>
            </w14:solidFill>
          </w14:textFill>
        </w:rPr>
        <w:t>九、投诉</w:t>
      </w:r>
    </w:p>
    <w:p w14:paraId="7F2548DA">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质疑供应商对答复不满意，或者采购人、代理机构未在规定的时间内做出书面答复的，可以在答复期满后15个工作日内向同级政府采购监督管理部门投诉。投诉程序按《政府采购法》、</w:t>
      </w:r>
      <w:r>
        <w:rPr>
          <w:rFonts w:hint="eastAsia" w:ascii="仿宋_GB2312" w:hAnsi="仿宋" w:cs="宋体"/>
          <w:color w:val="000000" w:themeColor="text1"/>
          <w:szCs w:val="28"/>
          <w14:textFill>
            <w14:solidFill>
              <w14:schemeClr w14:val="tx1"/>
            </w14:solidFill>
          </w14:textFill>
        </w:rPr>
        <w:t>《政府采购质疑和投诉办法》</w:t>
      </w:r>
      <w:r>
        <w:rPr>
          <w:rFonts w:hint="eastAsia" w:ascii="仿宋_GB2312" w:hAnsi="宋体"/>
          <w:color w:val="000000" w:themeColor="text1"/>
          <w:szCs w:val="28"/>
          <w14:textFill>
            <w14:solidFill>
              <w14:schemeClr w14:val="tx1"/>
            </w14:solidFill>
          </w14:textFill>
        </w:rPr>
        <w:t>等有关法律、法规和规定执行，但未经质疑，或者超过投诉有效期的，视为无效投诉。投诉人在全国范围12个月内三次以上投诉查无实据的，由财政部门列入不良行为记录名单，有捏造事实、提供虚假材料、以非法手段取得证明材料情况之一的，禁止1-3年内参加政府采购活动。</w:t>
      </w:r>
      <w:r>
        <w:rPr>
          <w:rFonts w:hint="eastAsia" w:ascii="仿宋_GB2312" w:hAnsi="仿宋" w:cs="宋体"/>
          <w:color w:val="000000" w:themeColor="text1"/>
          <w:szCs w:val="28"/>
          <w14:textFill>
            <w14:solidFill>
              <w14:schemeClr w14:val="tx1"/>
            </w14:solidFill>
          </w14:textFill>
        </w:rPr>
        <w:t>投诉受理方式见</w:t>
      </w:r>
      <w:r>
        <w:rPr>
          <w:rFonts w:hint="eastAsia" w:ascii="仿宋_GB2312" w:hAnsi="仿宋" w:cs="宋体"/>
          <w:color w:val="000000" w:themeColor="text1"/>
          <w:szCs w:val="28"/>
          <w:u w:val="single"/>
          <w14:textFill>
            <w14:solidFill>
              <w14:schemeClr w14:val="tx1"/>
            </w14:solidFill>
          </w14:textFill>
        </w:rPr>
        <w:t>响应须知前附表</w:t>
      </w:r>
      <w:r>
        <w:rPr>
          <w:rFonts w:hint="eastAsia" w:ascii="仿宋_GB2312" w:hAnsi="仿宋" w:cs="宋体"/>
          <w:color w:val="000000" w:themeColor="text1"/>
          <w:szCs w:val="28"/>
          <w14:textFill>
            <w14:solidFill>
              <w14:schemeClr w14:val="tx1"/>
            </w14:solidFill>
          </w14:textFill>
        </w:rPr>
        <w:t>。</w:t>
      </w:r>
    </w:p>
    <w:p w14:paraId="56AE615D">
      <w:pPr>
        <w:pStyle w:val="4"/>
        <w:ind w:firstLine="562"/>
        <w:rPr>
          <w:color w:val="000000" w:themeColor="text1"/>
          <w14:textFill>
            <w14:solidFill>
              <w14:schemeClr w14:val="tx1"/>
            </w14:solidFill>
          </w14:textFill>
        </w:rPr>
      </w:pPr>
      <w:r>
        <w:rPr>
          <w:rFonts w:hint="eastAsia"/>
          <w:color w:val="000000" w:themeColor="text1"/>
          <w14:textFill>
            <w14:solidFill>
              <w14:schemeClr w14:val="tx1"/>
            </w14:solidFill>
          </w14:textFill>
        </w:rPr>
        <w:t>十、签订合同</w:t>
      </w:r>
    </w:p>
    <w:p w14:paraId="468915EF">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采购人应当自政府采购合同签订之日起2个工作日内，将政府采购合同在省级以上人民政府财政部门指定的媒体上公告，但政府采购合同中涉及国家秘密、商业秘密的内容除外。</w:t>
      </w:r>
    </w:p>
    <w:p w14:paraId="5E57419D">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采购人应当自成交通知书发出之日起</w:t>
      </w:r>
      <w:r>
        <w:rPr>
          <w:rFonts w:ascii="仿宋_GB2312" w:hAnsi="宋体"/>
          <w:color w:val="000000" w:themeColor="text1"/>
          <w:szCs w:val="28"/>
          <w14:textFill>
            <w14:solidFill>
              <w14:schemeClr w14:val="tx1"/>
            </w14:solidFill>
          </w14:textFill>
        </w:rPr>
        <w:t>5</w:t>
      </w:r>
      <w:r>
        <w:rPr>
          <w:rFonts w:hint="eastAsia" w:ascii="仿宋_GB2312" w:hAnsi="宋体"/>
          <w:color w:val="000000" w:themeColor="text1"/>
          <w:szCs w:val="28"/>
          <w14:textFill>
            <w14:solidFill>
              <w14:schemeClr w14:val="tx1"/>
            </w14:solidFill>
          </w14:textFill>
        </w:rPr>
        <w:t>个工作日内，按照磋商文件和成交供应商响应文件的规定，与成交供应商签订书面合同。</w:t>
      </w:r>
    </w:p>
    <w:p w14:paraId="637F0D5C">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采购人与成交供应商所签订的合同不得对竞争性磋商文件和成交供应商的响应文件作实质性修改。采购人不得向成交供应商提出任何不合理的要求，作为签订合同的条件，不得与成交供应商私下订立背离合同实质性内容的协议。合同原则以第六章合同书格式为基础，并根据响应、答疑情况进行修改补充，自签订之日起生效。</w:t>
      </w:r>
    </w:p>
    <w:p w14:paraId="6582EC1C">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成交供应商在规定时间内无正当理由拒绝与采购人签订合同的，响应供应商符合法定数量的，采购人可以按照评审报告推荐的成交候选人名单排序，确定下一候选人为成交供应商，也可以重新开展政府采购活动。</w:t>
      </w:r>
    </w:p>
    <w:p w14:paraId="5B2333D2">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政府采购合同的履行、违约责任和解决争议的方法适用《中华人民共和国合同法》。</w:t>
      </w:r>
    </w:p>
    <w:p w14:paraId="5E257B5E">
      <w:pPr>
        <w:snapToGrid w:val="0"/>
        <w:spacing w:line="560" w:lineRule="exact"/>
        <w:ind w:firstLine="565" w:firstLineChars="201"/>
        <w:rPr>
          <w:rFonts w:ascii="仿宋_GB2312" w:hAnsi="宋体"/>
          <w:b/>
          <w:color w:val="000000" w:themeColor="text1"/>
          <w:szCs w:val="28"/>
          <w14:textFill>
            <w14:solidFill>
              <w14:schemeClr w14:val="tx1"/>
            </w14:solidFill>
          </w14:textFill>
        </w:rPr>
      </w:pPr>
      <w:r>
        <w:rPr>
          <w:rFonts w:hint="eastAsia" w:ascii="仿宋_GB2312" w:hAnsi="宋体"/>
          <w:b/>
          <w:color w:val="000000" w:themeColor="text1"/>
          <w:szCs w:val="28"/>
          <w14:textFill>
            <w14:solidFill>
              <w14:schemeClr w14:val="tx1"/>
            </w14:solidFill>
          </w14:textFill>
        </w:rPr>
        <w:t>34.履约保证金</w:t>
      </w:r>
    </w:p>
    <w:p w14:paraId="64DDA8DD">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 xml:space="preserve">本项目不收取履约保证金。如中标单位中标后不按采购文件相关规定执行的，按诚信体系建设要求列入信用黑名单，1-3年内禁止参加政府采购活动。 </w:t>
      </w:r>
    </w:p>
    <w:p w14:paraId="4E43AE49">
      <w:pPr>
        <w:snapToGrid w:val="0"/>
        <w:spacing w:line="560" w:lineRule="exact"/>
        <w:ind w:firstLine="565" w:firstLineChars="201"/>
        <w:rPr>
          <w:rFonts w:ascii="仿宋_GB2312" w:hAnsi="宋体"/>
          <w:b/>
          <w:color w:val="000000" w:themeColor="text1"/>
          <w:szCs w:val="28"/>
          <w14:textFill>
            <w14:solidFill>
              <w14:schemeClr w14:val="tx1"/>
            </w14:solidFill>
          </w14:textFill>
        </w:rPr>
      </w:pPr>
      <w:r>
        <w:rPr>
          <w:rFonts w:hint="eastAsia" w:ascii="仿宋_GB2312" w:hAnsi="宋体"/>
          <w:b/>
          <w:color w:val="000000" w:themeColor="text1"/>
          <w:szCs w:val="28"/>
          <w14:textFill>
            <w14:solidFill>
              <w14:schemeClr w14:val="tx1"/>
            </w14:solidFill>
          </w14:textFill>
        </w:rPr>
        <w:t>35.政府采购信用担保</w:t>
      </w:r>
    </w:p>
    <w:p w14:paraId="2A998CBA">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本项目是否属于信用担保试点范围见</w:t>
      </w:r>
      <w:r>
        <w:rPr>
          <w:rFonts w:hint="eastAsia" w:ascii="仿宋_GB2312" w:hAnsi="宋体"/>
          <w:color w:val="000000" w:themeColor="text1"/>
          <w:szCs w:val="28"/>
          <w:u w:val="single"/>
          <w14:textFill>
            <w14:solidFill>
              <w14:schemeClr w14:val="tx1"/>
            </w14:solidFill>
          </w14:textFill>
        </w:rPr>
        <w:t>响应须知前附表</w:t>
      </w:r>
      <w:r>
        <w:rPr>
          <w:rFonts w:hint="eastAsia" w:ascii="仿宋_GB2312" w:hAnsi="宋体"/>
          <w:color w:val="000000" w:themeColor="text1"/>
          <w:szCs w:val="28"/>
          <w14:textFill>
            <w14:solidFill>
              <w14:schemeClr w14:val="tx1"/>
            </w14:solidFill>
          </w14:textFill>
        </w:rPr>
        <w:t>。</w:t>
      </w:r>
    </w:p>
    <w:p w14:paraId="7ADE08B7">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如</w:t>
      </w:r>
      <w:r>
        <w:rPr>
          <w:rFonts w:ascii="仿宋_GB2312" w:hAnsi="宋体"/>
          <w:color w:val="000000" w:themeColor="text1"/>
          <w:szCs w:val="28"/>
          <w14:textFill>
            <w14:solidFill>
              <w14:schemeClr w14:val="tx1"/>
            </w14:solidFill>
          </w14:textFill>
        </w:rPr>
        <w:t>属于</w:t>
      </w:r>
      <w:r>
        <w:rPr>
          <w:rFonts w:hint="eastAsia" w:ascii="仿宋_GB2312" w:hAnsi="宋体"/>
          <w:color w:val="000000" w:themeColor="text1"/>
          <w:szCs w:val="28"/>
          <w14:textFill>
            <w14:solidFill>
              <w14:schemeClr w14:val="tx1"/>
            </w14:solidFill>
          </w14:textFill>
        </w:rPr>
        <w:t>政府采购信用担保试点范围内，中小型企业供应商可以自由按照财政部门的规定，采用投标担保、履约担保和融资担保。</w:t>
      </w:r>
    </w:p>
    <w:p w14:paraId="7A8393E0">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供应商递交的投标担保函和履约担保函应符合本采购文件的规定。</w:t>
      </w:r>
    </w:p>
    <w:p w14:paraId="3F8A683F">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成交供应商可以采取融资担保的形式为政府采购项目履约进行融资。</w:t>
      </w:r>
    </w:p>
    <w:p w14:paraId="292554AE">
      <w:pPr>
        <w:snapToGrid w:val="0"/>
        <w:spacing w:line="560" w:lineRule="exact"/>
        <w:ind w:firstLine="565" w:firstLineChars="201"/>
        <w:rPr>
          <w:rFonts w:ascii="仿宋_GB2312" w:hAnsi="宋体"/>
          <w:b/>
          <w:color w:val="000000" w:themeColor="text1"/>
          <w:szCs w:val="28"/>
          <w14:textFill>
            <w14:solidFill>
              <w14:schemeClr w14:val="tx1"/>
            </w14:solidFill>
          </w14:textFill>
        </w:rPr>
      </w:pPr>
      <w:r>
        <w:rPr>
          <w:rFonts w:hint="eastAsia" w:ascii="仿宋_GB2312" w:hAnsi="宋体"/>
          <w:b/>
          <w:color w:val="000000" w:themeColor="text1"/>
          <w:szCs w:val="28"/>
          <w14:textFill>
            <w14:solidFill>
              <w14:schemeClr w14:val="tx1"/>
            </w14:solidFill>
          </w14:textFill>
        </w:rPr>
        <w:t>36.预付款</w:t>
      </w:r>
    </w:p>
    <w:p w14:paraId="118BEB1E">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预付款是在指</w:t>
      </w:r>
      <w:r>
        <w:rPr>
          <w:rFonts w:ascii="仿宋_GB2312" w:hAnsi="宋体"/>
          <w:color w:val="000000" w:themeColor="text1"/>
          <w:szCs w:val="28"/>
          <w14:textFill>
            <w14:solidFill>
              <w14:schemeClr w14:val="tx1"/>
            </w14:solidFill>
          </w14:textFill>
        </w:rPr>
        <w:t>政府采购合同签订后</w:t>
      </w:r>
      <w:r>
        <w:rPr>
          <w:rFonts w:hint="eastAsia" w:ascii="仿宋_GB2312" w:hAnsi="宋体"/>
          <w:color w:val="000000" w:themeColor="text1"/>
          <w:szCs w:val="28"/>
          <w14:textFill>
            <w14:solidFill>
              <w14:schemeClr w14:val="tx1"/>
            </w14:solidFill>
          </w14:textFill>
        </w:rPr>
        <w:t>、履行前，</w:t>
      </w:r>
      <w:r>
        <w:rPr>
          <w:rFonts w:ascii="仿宋_GB2312" w:hAnsi="宋体"/>
          <w:color w:val="000000" w:themeColor="text1"/>
          <w:szCs w:val="28"/>
          <w14:textFill>
            <w14:solidFill>
              <w14:schemeClr w14:val="tx1"/>
            </w14:solidFill>
          </w14:textFill>
        </w:rPr>
        <w:t>采购人向</w:t>
      </w:r>
      <w:r>
        <w:rPr>
          <w:rFonts w:hint="eastAsia" w:ascii="仿宋_GB2312" w:hAnsi="宋体"/>
          <w:color w:val="000000" w:themeColor="text1"/>
          <w:szCs w:val="28"/>
          <w14:textFill>
            <w14:solidFill>
              <w14:schemeClr w14:val="tx1"/>
            </w14:solidFill>
          </w14:textFill>
        </w:rPr>
        <w:t>成交供应商</w:t>
      </w:r>
      <w:r>
        <w:rPr>
          <w:rFonts w:ascii="仿宋_GB2312" w:hAnsi="宋体"/>
          <w:color w:val="000000" w:themeColor="text1"/>
          <w:szCs w:val="28"/>
          <w14:textFill>
            <w14:solidFill>
              <w14:schemeClr w14:val="tx1"/>
            </w14:solidFill>
          </w14:textFill>
        </w:rPr>
        <w:t>预先支付部分合同款项</w:t>
      </w:r>
      <w:r>
        <w:rPr>
          <w:rFonts w:hint="eastAsia" w:ascii="仿宋_GB2312" w:hAnsi="宋体"/>
          <w:color w:val="000000" w:themeColor="text1"/>
          <w:szCs w:val="28"/>
          <w14:textFill>
            <w14:solidFill>
              <w14:schemeClr w14:val="tx1"/>
            </w14:solidFill>
          </w14:textFill>
        </w:rPr>
        <w:t>。</w:t>
      </w:r>
      <w:r>
        <w:rPr>
          <w:rFonts w:ascii="仿宋_GB2312" w:hAnsi="宋体"/>
          <w:color w:val="000000" w:themeColor="text1"/>
          <w:szCs w:val="28"/>
          <w14:textFill>
            <w14:solidFill>
              <w14:schemeClr w14:val="tx1"/>
            </w14:solidFill>
          </w14:textFill>
        </w:rPr>
        <w:t>采购人预付款方式见</w:t>
      </w:r>
      <w:r>
        <w:rPr>
          <w:rFonts w:hint="eastAsia" w:ascii="仿宋_GB2312" w:hAnsi="宋体"/>
          <w:color w:val="000000" w:themeColor="text1"/>
          <w:szCs w:val="28"/>
          <w:u w:val="single"/>
          <w14:textFill>
            <w14:solidFill>
              <w14:schemeClr w14:val="tx1"/>
            </w14:solidFill>
          </w14:textFill>
        </w:rPr>
        <w:t>响应须知前附表</w:t>
      </w:r>
      <w:r>
        <w:rPr>
          <w:rFonts w:hint="eastAsia" w:ascii="仿宋_GB2312" w:hAnsi="宋体"/>
          <w:color w:val="000000" w:themeColor="text1"/>
          <w:szCs w:val="28"/>
          <w14:textFill>
            <w14:solidFill>
              <w14:schemeClr w14:val="tx1"/>
            </w14:solidFill>
          </w14:textFill>
        </w:rPr>
        <w:t>。</w:t>
      </w:r>
    </w:p>
    <w:p w14:paraId="02B83BD5">
      <w:pPr>
        <w:snapToGrid w:val="0"/>
        <w:spacing w:line="560" w:lineRule="exact"/>
        <w:ind w:firstLine="565" w:firstLineChars="201"/>
        <w:rPr>
          <w:rFonts w:ascii="仿宋_GB2312" w:hAnsi="宋体"/>
          <w:b/>
          <w:color w:val="000000" w:themeColor="text1"/>
          <w:szCs w:val="28"/>
          <w14:textFill>
            <w14:solidFill>
              <w14:schemeClr w14:val="tx1"/>
            </w14:solidFill>
          </w14:textFill>
        </w:rPr>
      </w:pPr>
      <w:r>
        <w:rPr>
          <w:rFonts w:hint="eastAsia" w:ascii="仿宋_GB2312" w:hAnsi="宋体"/>
          <w:b/>
          <w:color w:val="000000" w:themeColor="text1"/>
          <w:szCs w:val="28"/>
          <w14:textFill>
            <w14:solidFill>
              <w14:schemeClr w14:val="tx1"/>
            </w14:solidFill>
          </w14:textFill>
        </w:rPr>
        <w:t>37</w:t>
      </w:r>
      <w:r>
        <w:rPr>
          <w:rFonts w:ascii="仿宋_GB2312" w:hAnsi="宋体"/>
          <w:b/>
          <w:color w:val="000000" w:themeColor="text1"/>
          <w:szCs w:val="28"/>
          <w14:textFill>
            <w14:solidFill>
              <w14:schemeClr w14:val="tx1"/>
            </w14:solidFill>
          </w14:textFill>
        </w:rPr>
        <w:t>.</w:t>
      </w:r>
      <w:r>
        <w:rPr>
          <w:rFonts w:hint="eastAsia" w:ascii="仿宋_GB2312" w:hAnsi="宋体"/>
          <w:b/>
          <w:color w:val="000000" w:themeColor="text1"/>
          <w:szCs w:val="28"/>
          <w14:textFill>
            <w14:solidFill>
              <w14:schemeClr w14:val="tx1"/>
            </w14:solidFill>
          </w14:textFill>
        </w:rPr>
        <w:t>廉洁自律</w:t>
      </w:r>
      <w:r>
        <w:rPr>
          <w:rFonts w:ascii="仿宋_GB2312" w:hAnsi="宋体"/>
          <w:b/>
          <w:color w:val="000000" w:themeColor="text1"/>
          <w:szCs w:val="28"/>
          <w14:textFill>
            <w14:solidFill>
              <w14:schemeClr w14:val="tx1"/>
            </w14:solidFill>
          </w14:textFill>
        </w:rPr>
        <w:t>规定</w:t>
      </w:r>
    </w:p>
    <w:p w14:paraId="449B97BE">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采购代理机构</w:t>
      </w:r>
      <w:r>
        <w:rPr>
          <w:rFonts w:ascii="仿宋_GB2312" w:hAnsi="宋体"/>
          <w:color w:val="000000" w:themeColor="text1"/>
          <w:szCs w:val="28"/>
          <w14:textFill>
            <w14:solidFill>
              <w14:schemeClr w14:val="tx1"/>
            </w14:solidFill>
          </w14:textFill>
        </w:rPr>
        <w:t>工作人员</w:t>
      </w:r>
      <w:r>
        <w:rPr>
          <w:rFonts w:hint="eastAsia" w:ascii="仿宋_GB2312" w:hAnsi="宋体"/>
          <w:color w:val="000000" w:themeColor="text1"/>
          <w:szCs w:val="28"/>
          <w14:textFill>
            <w14:solidFill>
              <w14:schemeClr w14:val="tx1"/>
            </w14:solidFill>
          </w14:textFill>
        </w:rPr>
        <w:t>不得与采购人、供应商恶意串通操纵政府采购活动。</w:t>
      </w:r>
    </w:p>
    <w:p w14:paraId="785BFDFB">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采购代理机构工作人员不得接受采购人或者供应商组织的宴请、旅游、娱乐，不得收受礼品、现金、有价证券等，不得向采购人或者供应商报销应当由个人承担的费用。</w:t>
      </w:r>
    </w:p>
    <w:p w14:paraId="6DB9E98C">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为强化采购</w:t>
      </w:r>
      <w:r>
        <w:rPr>
          <w:rFonts w:ascii="仿宋_GB2312" w:hAnsi="宋体"/>
          <w:color w:val="000000" w:themeColor="text1"/>
          <w:szCs w:val="28"/>
          <w14:textFill>
            <w14:solidFill>
              <w14:schemeClr w14:val="tx1"/>
            </w14:solidFill>
          </w14:textFill>
        </w:rPr>
        <w:t>代理机构内部监督机制</w:t>
      </w:r>
      <w:r>
        <w:rPr>
          <w:rFonts w:hint="eastAsia" w:ascii="仿宋_GB2312" w:hAnsi="宋体"/>
          <w:color w:val="000000" w:themeColor="text1"/>
          <w:szCs w:val="28"/>
          <w14:textFill>
            <w14:solidFill>
              <w14:schemeClr w14:val="tx1"/>
            </w14:solidFill>
          </w14:textFill>
        </w:rPr>
        <w:t>，供应商可按</w:t>
      </w:r>
      <w:r>
        <w:rPr>
          <w:rFonts w:hint="eastAsia" w:ascii="仿宋_GB2312" w:hAnsi="宋体"/>
          <w:color w:val="000000" w:themeColor="text1"/>
          <w:szCs w:val="28"/>
          <w:u w:val="single"/>
          <w14:textFill>
            <w14:solidFill>
              <w14:schemeClr w14:val="tx1"/>
            </w14:solidFill>
          </w14:textFill>
        </w:rPr>
        <w:t>响应须知前附表</w:t>
      </w:r>
      <w:r>
        <w:rPr>
          <w:rFonts w:hint="eastAsia" w:ascii="仿宋_GB2312" w:hAnsi="宋体"/>
          <w:color w:val="000000" w:themeColor="text1"/>
          <w:szCs w:val="28"/>
          <w14:textFill>
            <w14:solidFill>
              <w14:schemeClr w14:val="tx1"/>
            </w14:solidFill>
          </w14:textFill>
        </w:rPr>
        <w:t>中</w:t>
      </w:r>
      <w:r>
        <w:rPr>
          <w:rFonts w:ascii="仿宋_GB2312" w:hAnsi="宋体"/>
          <w:color w:val="000000" w:themeColor="text1"/>
          <w:szCs w:val="28"/>
          <w14:textFill>
            <w14:solidFill>
              <w14:schemeClr w14:val="tx1"/>
            </w14:solidFill>
          </w14:textFill>
        </w:rPr>
        <w:t>的</w:t>
      </w:r>
      <w:r>
        <w:rPr>
          <w:rFonts w:hint="eastAsia" w:ascii="仿宋_GB2312" w:hAnsi="宋体"/>
          <w:color w:val="000000" w:themeColor="text1"/>
          <w:szCs w:val="28"/>
          <w14:textFill>
            <w14:solidFill>
              <w14:schemeClr w14:val="tx1"/>
            </w14:solidFill>
          </w14:textFill>
        </w:rPr>
        <w:t>监督电话</w:t>
      </w:r>
      <w:r>
        <w:rPr>
          <w:rFonts w:ascii="仿宋_GB2312" w:hAnsi="宋体"/>
          <w:color w:val="000000" w:themeColor="text1"/>
          <w:szCs w:val="28"/>
          <w14:textFill>
            <w14:solidFill>
              <w14:schemeClr w14:val="tx1"/>
            </w14:solidFill>
          </w14:textFill>
        </w:rPr>
        <w:t>和</w:t>
      </w:r>
      <w:r>
        <w:rPr>
          <w:rFonts w:hint="eastAsia" w:ascii="仿宋_GB2312" w:hAnsi="宋体"/>
          <w:color w:val="000000" w:themeColor="text1"/>
          <w:szCs w:val="28"/>
          <w14:textFill>
            <w14:solidFill>
              <w14:schemeClr w14:val="tx1"/>
            </w14:solidFill>
          </w14:textFill>
        </w:rPr>
        <w:t>邮箱，反映采购代理机构的廉洁自律</w:t>
      </w:r>
      <w:r>
        <w:rPr>
          <w:rFonts w:ascii="仿宋_GB2312" w:hAnsi="宋体"/>
          <w:color w:val="000000" w:themeColor="text1"/>
          <w:szCs w:val="28"/>
          <w14:textFill>
            <w14:solidFill>
              <w14:schemeClr w14:val="tx1"/>
            </w14:solidFill>
          </w14:textFill>
        </w:rPr>
        <w:t>等</w:t>
      </w:r>
      <w:r>
        <w:rPr>
          <w:rFonts w:hint="eastAsia" w:ascii="仿宋_GB2312" w:hAnsi="宋体"/>
          <w:color w:val="000000" w:themeColor="text1"/>
          <w:szCs w:val="28"/>
          <w14:textFill>
            <w14:solidFill>
              <w14:schemeClr w14:val="tx1"/>
            </w14:solidFill>
          </w14:textFill>
        </w:rPr>
        <w:t>问题。</w:t>
      </w:r>
    </w:p>
    <w:p w14:paraId="04DD51D1">
      <w:pPr>
        <w:snapToGrid w:val="0"/>
        <w:spacing w:line="560" w:lineRule="exact"/>
        <w:ind w:firstLine="565" w:firstLineChars="201"/>
        <w:rPr>
          <w:rFonts w:ascii="仿宋_GB2312" w:hAnsi="宋体"/>
          <w:b/>
          <w:color w:val="000000" w:themeColor="text1"/>
          <w:szCs w:val="28"/>
          <w14:textFill>
            <w14:solidFill>
              <w14:schemeClr w14:val="tx1"/>
            </w14:solidFill>
          </w14:textFill>
        </w:rPr>
      </w:pPr>
      <w:r>
        <w:rPr>
          <w:rFonts w:hint="eastAsia" w:ascii="仿宋_GB2312" w:hAnsi="宋体"/>
          <w:b/>
          <w:color w:val="000000" w:themeColor="text1"/>
          <w:szCs w:val="28"/>
          <w14:textFill>
            <w14:solidFill>
              <w14:schemeClr w14:val="tx1"/>
            </w14:solidFill>
          </w14:textFill>
        </w:rPr>
        <w:t>38.项目其他相关费用</w:t>
      </w:r>
    </w:p>
    <w:p w14:paraId="74040C5B">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38.1代理服务费</w:t>
      </w:r>
    </w:p>
    <w:p w14:paraId="28CCC075">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代理服务费收取标准：</w:t>
      </w:r>
      <w:r>
        <w:rPr>
          <w:rFonts w:hint="eastAsia" w:ascii="仿宋_GB2312" w:hAnsi="宋体"/>
          <w:color w:val="000000" w:themeColor="text1"/>
          <w:szCs w:val="28"/>
          <w:u w:val="single"/>
          <w14:textFill>
            <w14:solidFill>
              <w14:schemeClr w14:val="tx1"/>
            </w14:solidFill>
          </w14:textFill>
        </w:rPr>
        <w:t>见响应须知前附表。</w:t>
      </w:r>
    </w:p>
    <w:p w14:paraId="0FBF5536">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38.2公证费/见证律师费</w:t>
      </w:r>
    </w:p>
    <w:p w14:paraId="43154F1E">
      <w:pPr>
        <w:snapToGrid w:val="0"/>
        <w:spacing w:line="560" w:lineRule="exact"/>
        <w:ind w:firstLine="562" w:firstLineChars="201"/>
        <w:rPr>
          <w:rFonts w:ascii="仿宋_GB2312" w:hAnsi="宋体"/>
          <w:color w:val="000000" w:themeColor="text1"/>
          <w:szCs w:val="28"/>
          <w:lang w:val="en-GB"/>
          <w14:textFill>
            <w14:solidFill>
              <w14:schemeClr w14:val="tx1"/>
            </w14:solidFill>
          </w14:textFill>
        </w:rPr>
      </w:pPr>
      <w:r>
        <w:rPr>
          <w:rFonts w:hint="eastAsia" w:ascii="仿宋_GB2312" w:hAnsi="宋体"/>
          <w:color w:val="000000" w:themeColor="text1"/>
          <w:szCs w:val="28"/>
          <w:lang w:val="en-GB"/>
          <w14:textFill>
            <w14:solidFill>
              <w14:schemeClr w14:val="tx1"/>
            </w14:solidFill>
          </w14:textFill>
        </w:rPr>
        <w:t>公证费/见证律师费的收费标准：见响应须知前附表。</w:t>
      </w:r>
    </w:p>
    <w:p w14:paraId="321AD7E6">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38.3政府采购专家评审费</w:t>
      </w:r>
    </w:p>
    <w:p w14:paraId="03C3E784">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本项目按照威海市公共资源交易中心乳山分中心有关规定的标准执行。</w:t>
      </w:r>
    </w:p>
    <w:p w14:paraId="75DE3DD1">
      <w:pPr>
        <w:ind w:firstLine="560"/>
        <w:rPr>
          <w:color w:val="000000" w:themeColor="text1"/>
          <w14:textFill>
            <w14:solidFill>
              <w14:schemeClr w14:val="tx1"/>
            </w14:solidFill>
          </w14:textFill>
        </w:rPr>
        <w:sectPr>
          <w:pgSz w:w="11906" w:h="16838"/>
          <w:pgMar w:top="1440" w:right="1080" w:bottom="1440" w:left="1080" w:header="851" w:footer="992" w:gutter="0"/>
          <w:cols w:space="720" w:num="1"/>
          <w:docGrid w:type="lines" w:linePitch="312" w:charSpace="0"/>
        </w:sectPr>
      </w:pPr>
    </w:p>
    <w:p w14:paraId="4832247D">
      <w:pPr>
        <w:pStyle w:val="43"/>
        <w:spacing w:before="100" w:beforeAutospacing="1" w:after="100" w:afterAutospacing="1" w:line="415" w:lineRule="auto"/>
        <w:ind w:left="1440" w:firstLine="883"/>
        <w:jc w:val="both"/>
        <w:rPr>
          <w:rFonts w:ascii="楷体_GB2312" w:hAnsi="宋体" w:eastAsia="楷体_GB2312" w:cs="宋体"/>
          <w:color w:val="000000" w:themeColor="text1"/>
          <w:sz w:val="44"/>
          <w:szCs w:val="44"/>
          <w14:textFill>
            <w14:solidFill>
              <w14:schemeClr w14:val="tx1"/>
            </w14:solidFill>
          </w14:textFill>
        </w:rPr>
      </w:pPr>
      <w:r>
        <w:rPr>
          <w:rFonts w:hint="eastAsia" w:ascii="宋体" w:hAnsi="宋体" w:cs="宋体"/>
          <w:color w:val="000000" w:themeColor="text1"/>
          <w:sz w:val="44"/>
          <w:szCs w:val="44"/>
          <w14:textFill>
            <w14:solidFill>
              <w14:schemeClr w14:val="tx1"/>
            </w14:solidFill>
          </w14:textFill>
        </w:rPr>
        <w:t>第三章</w:t>
      </w:r>
      <w:r>
        <w:rPr>
          <w:rFonts w:hint="eastAsia" w:ascii="楷体_GB2312" w:hAnsi="宋体" w:eastAsia="楷体_GB2312" w:cs="宋体"/>
          <w:color w:val="000000" w:themeColor="text1"/>
          <w:sz w:val="44"/>
          <w:szCs w:val="44"/>
          <w14:textFill>
            <w14:solidFill>
              <w14:schemeClr w14:val="tx1"/>
            </w14:solidFill>
          </w14:textFill>
        </w:rPr>
        <w:t>采购内容与要求</w:t>
      </w:r>
    </w:p>
    <w:p w14:paraId="2293F382">
      <w:pPr>
        <w:ind w:firstLine="560"/>
        <w:rPr>
          <w:color w:val="000000" w:themeColor="text1"/>
          <w14:textFill>
            <w14:solidFill>
              <w14:schemeClr w14:val="tx1"/>
            </w14:solidFill>
          </w14:textFill>
        </w:rPr>
      </w:pPr>
    </w:p>
    <w:p w14:paraId="71AD8507">
      <w:pPr>
        <w:ind w:firstLine="560"/>
        <w:rPr>
          <w:color w:val="000000" w:themeColor="text1"/>
          <w14:textFill>
            <w14:solidFill>
              <w14:schemeClr w14:val="tx1"/>
            </w14:solidFill>
          </w14:textFill>
        </w:rPr>
        <w:sectPr>
          <w:headerReference r:id="rId20" w:type="first"/>
          <w:footerReference r:id="rId21" w:type="default"/>
          <w:headerReference r:id="rId19" w:type="even"/>
          <w:pgSz w:w="11906" w:h="16838"/>
          <w:pgMar w:top="1440" w:right="1077" w:bottom="1440" w:left="1077" w:header="851" w:footer="992" w:gutter="0"/>
          <w:cols w:space="720" w:num="1"/>
          <w:docGrid w:type="lines" w:linePitch="312" w:charSpace="0"/>
        </w:sectPr>
      </w:pPr>
    </w:p>
    <w:p w14:paraId="53538D0C">
      <w:pPr>
        <w:widowControl/>
        <w:spacing w:line="560" w:lineRule="exact"/>
        <w:ind w:firstLine="643"/>
        <w:jc w:val="center"/>
        <w:rPr>
          <w:rFonts w:ascii="楷体_GB2312" w:hAnsi="宋体" w:eastAsia="楷体_GB2312"/>
          <w:b/>
          <w:bCs/>
          <w:color w:val="000000" w:themeColor="text1"/>
          <w:kern w:val="44"/>
          <w:sz w:val="32"/>
          <w:szCs w:val="30"/>
          <w14:textFill>
            <w14:solidFill>
              <w14:schemeClr w14:val="tx1"/>
            </w14:solidFill>
          </w14:textFill>
        </w:rPr>
      </w:pPr>
      <w:r>
        <w:rPr>
          <w:rFonts w:hint="eastAsia" w:ascii="楷体_GB2312" w:hAnsi="宋体" w:eastAsia="楷体_GB2312"/>
          <w:b/>
          <w:bCs/>
          <w:color w:val="000000" w:themeColor="text1"/>
          <w:kern w:val="44"/>
          <w:sz w:val="32"/>
          <w:szCs w:val="30"/>
          <w14:textFill>
            <w14:solidFill>
              <w14:schemeClr w14:val="tx1"/>
            </w14:solidFill>
          </w14:textFill>
        </w:rPr>
        <w:t>第一部分 项目背景</w:t>
      </w:r>
    </w:p>
    <w:p w14:paraId="41528385">
      <w:pPr>
        <w:spacing w:line="560" w:lineRule="exact"/>
        <w:ind w:firstLine="562"/>
        <w:rPr>
          <w:rFonts w:ascii="黑体" w:hAnsi="黑体" w:eastAsia="黑体"/>
          <w:b/>
          <w:color w:val="000000" w:themeColor="text1"/>
          <w:szCs w:val="21"/>
          <w14:textFill>
            <w14:solidFill>
              <w14:schemeClr w14:val="tx1"/>
            </w14:solidFill>
          </w14:textFill>
        </w:rPr>
      </w:pPr>
      <w:r>
        <w:rPr>
          <w:rFonts w:hint="eastAsia" w:ascii="黑体" w:hAnsi="黑体" w:eastAsia="黑体"/>
          <w:b/>
          <w:color w:val="000000" w:themeColor="text1"/>
          <w:szCs w:val="21"/>
          <w14:textFill>
            <w14:solidFill>
              <w14:schemeClr w14:val="tx1"/>
            </w14:solidFill>
          </w14:textFill>
        </w:rPr>
        <w:t>一、项目概况</w:t>
      </w:r>
    </w:p>
    <w:p w14:paraId="76A1B5A2">
      <w:pPr>
        <w:spacing w:line="560" w:lineRule="exact"/>
        <w:ind w:firstLine="560"/>
        <w:rPr>
          <w:rFonts w:hint="eastAsia" w:ascii="仿宋_GB2312" w:hAnsi="宋体" w:eastAsia="仿宋_GB2312"/>
          <w:color w:val="000000" w:themeColor="text1"/>
          <w:szCs w:val="21"/>
          <w:lang w:eastAsia="zh-CN"/>
          <w14:textFill>
            <w14:solidFill>
              <w14:schemeClr w14:val="tx1"/>
            </w14:solidFill>
          </w14:textFill>
        </w:rPr>
      </w:pPr>
      <w:r>
        <w:rPr>
          <w:rFonts w:hint="eastAsia" w:ascii="仿宋_GB2312" w:hAnsi="宋体"/>
          <w:color w:val="000000" w:themeColor="text1"/>
          <w:szCs w:val="21"/>
          <w14:textFill>
            <w14:solidFill>
              <w14:schemeClr w14:val="tx1"/>
            </w14:solidFill>
          </w14:textFill>
        </w:rPr>
        <w:t>项目名称：</w:t>
      </w:r>
      <w:r>
        <w:rPr>
          <w:rFonts w:ascii="仿宋_GB2312" w:hAnsi="宋体"/>
          <w:color w:val="000000" w:themeColor="text1"/>
          <w:szCs w:val="21"/>
          <w14:textFill>
            <w14:solidFill>
              <w14:schemeClr w14:val="tx1"/>
            </w14:solidFill>
          </w14:textFill>
        </w:rPr>
        <w:t xml:space="preserve"> </w:t>
      </w:r>
      <w:r>
        <w:rPr>
          <w:rFonts w:hint="eastAsia" w:ascii="仿宋_GB2312" w:hAnsi="宋体"/>
          <w:color w:val="000000" w:themeColor="text1"/>
          <w:szCs w:val="21"/>
          <w:lang w:eastAsia="zh-CN"/>
          <w14:textFill>
            <w14:solidFill>
              <w14:schemeClr w14:val="tx1"/>
            </w14:solidFill>
          </w14:textFill>
        </w:rPr>
        <w:t>乳山市2024年小型水库维修养护项目</w:t>
      </w:r>
    </w:p>
    <w:p w14:paraId="3F8A2F86">
      <w:pPr>
        <w:spacing w:line="560" w:lineRule="exact"/>
        <w:ind w:firstLine="560"/>
        <w:rPr>
          <w:rFonts w:hint="eastAsia" w:ascii="仿宋_GB2312" w:hAnsi="宋体" w:eastAsia="仿宋_GB2312"/>
          <w:color w:val="000000" w:themeColor="text1"/>
          <w:szCs w:val="21"/>
          <w:lang w:eastAsia="zh-CN"/>
          <w14:textFill>
            <w14:solidFill>
              <w14:schemeClr w14:val="tx1"/>
            </w14:solidFill>
          </w14:textFill>
        </w:rPr>
      </w:pPr>
      <w:r>
        <w:rPr>
          <w:rFonts w:hint="eastAsia" w:ascii="仿宋_GB2312" w:hAnsi="宋体"/>
          <w:color w:val="000000" w:themeColor="text1"/>
          <w:szCs w:val="21"/>
          <w14:textFill>
            <w14:solidFill>
              <w14:schemeClr w14:val="tx1"/>
            </w14:solidFill>
          </w14:textFill>
        </w:rPr>
        <w:t>项目编号：</w:t>
      </w:r>
      <w:r>
        <w:rPr>
          <w:rFonts w:hint="eastAsia" w:ascii="仿宋_GB2312" w:hAnsi="宋体"/>
          <w:color w:val="000000" w:themeColor="text1"/>
          <w:szCs w:val="21"/>
          <w:lang w:eastAsia="zh-CN"/>
          <w14:textFill>
            <w14:solidFill>
              <w14:schemeClr w14:val="tx1"/>
            </w14:solidFill>
          </w14:textFill>
        </w:rPr>
        <w:t>SDGP371083000202402000122</w:t>
      </w:r>
    </w:p>
    <w:p w14:paraId="660839A4">
      <w:pPr>
        <w:spacing w:line="56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项目概况说明：</w:t>
      </w:r>
      <w:r>
        <w:rPr>
          <w:rFonts w:hint="eastAsia" w:ascii="仿宋_GB2312" w:hAnsi="宋体"/>
          <w:color w:val="000000" w:themeColor="text1"/>
          <w:szCs w:val="21"/>
          <w:lang w:eastAsia="zh-CN"/>
          <w14:textFill>
            <w14:solidFill>
              <w14:schemeClr w14:val="tx1"/>
            </w14:solidFill>
          </w14:textFill>
        </w:rPr>
        <w:t>根据省水利厅等4部门印发《关于加强我省小型水库安全运行管理工作的意见》要求，结合我市2024年小型水库维修养护的需要，对全市小型水库开展勘察排查，对50座小型水库开展维修养护工程建设、乳山市小型水库标准化数字运行管理系统平台建设等工作。</w:t>
      </w:r>
    </w:p>
    <w:p w14:paraId="680E963D">
      <w:pPr>
        <w:spacing w:line="560" w:lineRule="exact"/>
        <w:ind w:firstLine="562"/>
        <w:rPr>
          <w:rFonts w:ascii="黑体" w:hAnsi="黑体" w:eastAsia="黑体"/>
          <w:b/>
          <w:color w:val="000000" w:themeColor="text1"/>
          <w:szCs w:val="21"/>
          <w14:textFill>
            <w14:solidFill>
              <w14:schemeClr w14:val="tx1"/>
            </w14:solidFill>
          </w14:textFill>
        </w:rPr>
      </w:pPr>
      <w:r>
        <w:rPr>
          <w:rFonts w:hint="eastAsia" w:ascii="黑体" w:hAnsi="黑体" w:eastAsia="黑体"/>
          <w:b/>
          <w:color w:val="000000" w:themeColor="text1"/>
          <w:szCs w:val="21"/>
          <w14:textFill>
            <w14:solidFill>
              <w14:schemeClr w14:val="tx1"/>
            </w14:solidFill>
          </w14:textFill>
        </w:rPr>
        <w:t>二、采购目标</w:t>
      </w:r>
    </w:p>
    <w:p w14:paraId="6B28B892">
      <w:pPr>
        <w:spacing w:line="560" w:lineRule="exact"/>
        <w:ind w:firstLine="560"/>
        <w:rPr>
          <w:rFonts w:ascii="仿宋_GB2312" w:hAnsi="宋体"/>
          <w:color w:val="000000" w:themeColor="text1"/>
          <w14:textFill>
            <w14:solidFill>
              <w14:schemeClr w14:val="tx1"/>
            </w14:solidFill>
          </w14:textFill>
        </w:rPr>
      </w:pPr>
      <w:r>
        <w:rPr>
          <w:rFonts w:hint="eastAsia" w:ascii="仿宋_GB2312" w:hAnsi="宋体"/>
          <w:color w:val="000000" w:themeColor="text1"/>
          <w14:textFill>
            <w14:solidFill>
              <w14:schemeClr w14:val="tx1"/>
            </w14:solidFill>
          </w14:textFill>
        </w:rPr>
        <w:t>采购标的需实</w:t>
      </w:r>
      <w:r>
        <w:rPr>
          <w:rFonts w:hint="eastAsia" w:ascii="仿宋_GB2312" w:hAnsi="宋体"/>
          <w:color w:val="000000" w:themeColor="text1"/>
          <w:szCs w:val="21"/>
          <w:lang w:eastAsia="zh-CN"/>
          <w14:textFill>
            <w14:solidFill>
              <w14:schemeClr w14:val="tx1"/>
            </w14:solidFill>
          </w14:textFill>
        </w:rPr>
        <w:t>现的功能或者目标：【完成对全市小型水库开展勘察排查，对50座小型水库开展维修养护工程建设、乳山市小型水库标准化数字运行管理系统平台建设等工作。</w:t>
      </w:r>
      <w:r>
        <w:rPr>
          <w:rFonts w:hint="eastAsia" w:ascii="仿宋_GB2312" w:hAnsi="宋体"/>
          <w:color w:val="000000" w:themeColor="text1"/>
          <w14:textFill>
            <w14:solidFill>
              <w14:schemeClr w14:val="tx1"/>
            </w14:solidFill>
          </w14:textFill>
        </w:rPr>
        <w:t>】</w:t>
      </w:r>
    </w:p>
    <w:p w14:paraId="429DE4A7">
      <w:pPr>
        <w:pStyle w:val="31"/>
        <w:spacing w:line="560" w:lineRule="exact"/>
        <w:ind w:firstLine="560"/>
        <w:rPr>
          <w:rFonts w:ascii="仿宋_GB2312" w:hAnsi="宋体"/>
          <w:color w:val="000000" w:themeColor="text1"/>
          <w:sz w:val="28"/>
          <w14:textFill>
            <w14:solidFill>
              <w14:schemeClr w14:val="tx1"/>
            </w14:solidFill>
          </w14:textFill>
        </w:rPr>
      </w:pPr>
      <w:r>
        <w:rPr>
          <w:rFonts w:hint="eastAsia" w:ascii="仿宋_GB2312" w:hAnsi="宋体"/>
          <w:color w:val="000000" w:themeColor="text1"/>
          <w:sz w:val="28"/>
          <w14:textFill>
            <w14:solidFill>
              <w14:schemeClr w14:val="tx1"/>
            </w14:solidFill>
          </w14:textFill>
        </w:rPr>
        <w:t>为落实政府采购政策需满足的要求：</w:t>
      </w:r>
    </w:p>
    <w:p w14:paraId="28DE682A">
      <w:pPr>
        <w:snapToGrid w:val="0"/>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①所报产品属于《关于调整优化节能产品、环境标志产品政府采购执行机制的通知》（财库〔2019〕9号）规定的政府优先采购范围的，投标（响应）文件中需提供国家确定的认证机构出具的、处于有效期之内的节能产品、环境标志产品认证证书扫描件。采用综合评分法的项目在打分时由评委根据各供应商所报节能、环保产品的报价在其总报价中所占的比重，分别给予报价和技术部分总分值×（节能、环保产品报价/总报价）×5％的加分。所报产品属于《节能产品政府采购品目清单》中规定的政府强制采购节能品目的，不给予优惠政策的加分/价格扣除。</w:t>
      </w:r>
    </w:p>
    <w:p w14:paraId="4AC7B6C8">
      <w:pPr>
        <w:spacing w:line="560" w:lineRule="exact"/>
        <w:ind w:firstLine="562" w:firstLineChars="201"/>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②</w:t>
      </w:r>
      <w:r>
        <w:rPr>
          <w:rFonts w:ascii="仿宋_GB2312" w:hAnsi="宋体"/>
          <w:color w:val="000000" w:themeColor="text1"/>
          <w:szCs w:val="28"/>
          <w14:textFill>
            <w14:solidFill>
              <w14:schemeClr w14:val="tx1"/>
            </w14:solidFill>
          </w14:textFill>
        </w:rPr>
        <w:t>本项目为专门面向中小企业采购项目，供应商提供的货物、工程或服务需满足财政部、工信部等部委发布的《关于印发&lt;政府采购促进中小企业发展管理办法&gt;的通知》（财库〔2020〕46号）中关于中小企业的规定。</w:t>
      </w:r>
    </w:p>
    <w:p w14:paraId="444B0613">
      <w:pPr>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③</w:t>
      </w:r>
      <w:r>
        <w:rPr>
          <w:rFonts w:ascii="仿宋_GB2312" w:hAnsi="宋体"/>
          <w:color w:val="000000" w:themeColor="text1"/>
          <w:szCs w:val="28"/>
          <w14:textFill>
            <w14:solidFill>
              <w14:schemeClr w14:val="tx1"/>
            </w14:solidFill>
          </w14:textFill>
        </w:rPr>
        <w:t>若投标人为监狱企业，根据财政部、司法部发布的《关于政府采购支持监狱企业发展有关问题的通知》（财库〔2014〕68号）的规定，在政府采购活动中，视同小型、微型企业。投标时须提供省级以上监狱管理局、戒毒管理局（含新疆生产建设兵团）出具的属于监狱企业的证明文件，否则不享受相关政策。</w:t>
      </w:r>
    </w:p>
    <w:p w14:paraId="7BEFC4FD">
      <w:pPr>
        <w:snapToGrid w:val="0"/>
        <w:spacing w:line="560" w:lineRule="exact"/>
        <w:ind w:firstLine="562" w:firstLineChars="201"/>
        <w:rPr>
          <w:rFonts w:ascii="仿宋_GB2312" w:hAnsi="仿宋" w:cs="宋体"/>
          <w:color w:val="000000" w:themeColor="text1"/>
          <w:szCs w:val="28"/>
          <w14:textFill>
            <w14:solidFill>
              <w14:schemeClr w14:val="tx1"/>
            </w14:solidFill>
          </w14:textFill>
        </w:rPr>
      </w:pPr>
      <w:r>
        <w:rPr>
          <w:rFonts w:hint="eastAsia" w:ascii="仿宋_GB2312" w:hAnsi="仿宋" w:cs="宋体"/>
          <w:color w:val="000000" w:themeColor="text1"/>
          <w:szCs w:val="28"/>
          <w14:textFill>
            <w14:solidFill>
              <w14:schemeClr w14:val="tx1"/>
            </w14:solidFill>
          </w14:textFill>
        </w:rPr>
        <w:t>④</w:t>
      </w:r>
      <w:r>
        <w:rPr>
          <w:rFonts w:ascii="仿宋_GB2312" w:hAnsi="仿宋" w:cs="宋体"/>
          <w:color w:val="000000" w:themeColor="text1"/>
          <w:szCs w:val="28"/>
          <w14:textFill>
            <w14:solidFill>
              <w14:schemeClr w14:val="tx1"/>
            </w14:solidFill>
          </w14:textFill>
        </w:rPr>
        <w:t>若投标人为残疾人福利性单位，在政府采购活动中，视同小型、微型企业，投标时残疾人福利性单位需符合《财政部民政部中国残疾人联合会关于促进残疾人就业政府采购政策的通知》（财库〔2017〕141号）规定的条件，并提供《残疾人福利性单位声明函》，否则不享受相关政策。</w:t>
      </w:r>
    </w:p>
    <w:p w14:paraId="76FCA80E">
      <w:pPr>
        <w:spacing w:line="560" w:lineRule="exact"/>
        <w:ind w:firstLine="562"/>
        <w:rPr>
          <w:rFonts w:ascii="仿宋_GB2312" w:hAnsi="宋体"/>
          <w:b/>
          <w:color w:val="000000" w:themeColor="text1"/>
          <w:szCs w:val="21"/>
          <w14:textFill>
            <w14:solidFill>
              <w14:schemeClr w14:val="tx1"/>
            </w14:solidFill>
          </w14:textFill>
        </w:rPr>
      </w:pPr>
      <w:r>
        <w:rPr>
          <w:rFonts w:hint="eastAsia" w:ascii="黑体" w:hAnsi="黑体" w:eastAsia="黑体"/>
          <w:b/>
          <w:color w:val="000000" w:themeColor="text1"/>
          <w:szCs w:val="21"/>
          <w14:textFill>
            <w14:solidFill>
              <w14:schemeClr w14:val="tx1"/>
            </w14:solidFill>
          </w14:textFill>
        </w:rPr>
        <w:t>三、采购预算</w:t>
      </w:r>
    </w:p>
    <w:p w14:paraId="704989A6">
      <w:pPr>
        <w:pStyle w:val="75"/>
        <w:spacing w:line="560" w:lineRule="exact"/>
        <w:ind w:firstLine="560"/>
        <w:rPr>
          <w:rFonts w:ascii="仿宋_GB2312" w:hAnsi="宋体"/>
          <w:color w:val="000000" w:themeColor="text1"/>
          <w14:textFill>
            <w14:solidFill>
              <w14:schemeClr w14:val="tx1"/>
            </w14:solidFill>
          </w14:textFill>
        </w:rPr>
      </w:pPr>
      <w:r>
        <w:rPr>
          <w:rFonts w:hint="eastAsia" w:ascii="仿宋_GB2312" w:hAnsi="宋体"/>
          <w:color w:val="000000" w:themeColor="text1"/>
          <w14:textFill>
            <w14:solidFill>
              <w14:schemeClr w14:val="tx1"/>
            </w14:solidFill>
          </w14:textFill>
        </w:rPr>
        <w:t>本项目包段的采购预算金额为</w:t>
      </w:r>
      <w:r>
        <w:rPr>
          <w:rFonts w:hint="eastAsia" w:ascii="仿宋_GB2312" w:hAnsi="宋体"/>
          <w:color w:val="000000" w:themeColor="text1"/>
          <w:lang w:eastAsia="zh-CN"/>
          <w14:textFill>
            <w14:solidFill>
              <w14:schemeClr w14:val="tx1"/>
            </w14:solidFill>
          </w14:textFill>
        </w:rPr>
        <w:t>3350000.00</w:t>
      </w:r>
      <w:r>
        <w:rPr>
          <w:rFonts w:hint="eastAsia" w:ascii="仿宋_GB2312" w:hAnsi="宋体"/>
          <w:color w:val="000000" w:themeColor="text1"/>
          <w14:textFill>
            <w14:solidFill>
              <w14:schemeClr w14:val="tx1"/>
            </w14:solidFill>
          </w14:textFill>
        </w:rPr>
        <w:t>元。</w:t>
      </w:r>
    </w:p>
    <w:p w14:paraId="78BF1205">
      <w:pPr>
        <w:spacing w:line="560" w:lineRule="exact"/>
        <w:ind w:firstLine="562"/>
        <w:rPr>
          <w:rFonts w:ascii="黑体" w:hAnsi="黑体" w:eastAsia="黑体"/>
          <w:b/>
          <w:color w:val="000000" w:themeColor="text1"/>
          <w:szCs w:val="21"/>
          <w14:textFill>
            <w14:solidFill>
              <w14:schemeClr w14:val="tx1"/>
            </w14:solidFill>
          </w14:textFill>
        </w:rPr>
      </w:pPr>
      <w:r>
        <w:rPr>
          <w:rFonts w:hint="eastAsia" w:ascii="黑体" w:hAnsi="黑体" w:eastAsia="黑体"/>
          <w:b/>
          <w:color w:val="000000" w:themeColor="text1"/>
          <w:szCs w:val="21"/>
          <w14:textFill>
            <w14:solidFill>
              <w14:schemeClr w14:val="tx1"/>
            </w14:solidFill>
          </w14:textFill>
        </w:rPr>
        <w:t>四、采购方式</w:t>
      </w:r>
    </w:p>
    <w:p w14:paraId="6FAAE8BC">
      <w:pPr>
        <w:pStyle w:val="75"/>
        <w:spacing w:line="560" w:lineRule="exact"/>
        <w:ind w:firstLine="560"/>
        <w:rPr>
          <w:rFonts w:ascii="仿宋_GB2312" w:hAnsi="宋体"/>
          <w:color w:val="000000" w:themeColor="text1"/>
          <w14:textFill>
            <w14:solidFill>
              <w14:schemeClr w14:val="tx1"/>
            </w14:solidFill>
          </w14:textFill>
        </w:rPr>
      </w:pPr>
      <w:r>
        <w:rPr>
          <w:rFonts w:hint="eastAsia" w:ascii="仿宋_GB2312" w:hAnsi="宋体"/>
          <w:color w:val="000000" w:themeColor="text1"/>
          <w14:textFill>
            <w14:solidFill>
              <w14:schemeClr w14:val="tx1"/>
            </w14:solidFill>
          </w14:textFill>
        </w:rPr>
        <w:t>本项目包段采用竞争性磋商方式进行采购。</w:t>
      </w:r>
    </w:p>
    <w:p w14:paraId="28BAE040">
      <w:pPr>
        <w:widowControl/>
        <w:spacing w:line="560" w:lineRule="exact"/>
        <w:ind w:firstLine="643"/>
        <w:jc w:val="center"/>
        <w:rPr>
          <w:rFonts w:ascii="楷体_GB2312" w:hAnsi="宋体" w:eastAsia="楷体_GB2312"/>
          <w:b/>
          <w:bCs/>
          <w:color w:val="000000" w:themeColor="text1"/>
          <w:kern w:val="44"/>
          <w:sz w:val="32"/>
          <w:szCs w:val="30"/>
          <w14:textFill>
            <w14:solidFill>
              <w14:schemeClr w14:val="tx1"/>
            </w14:solidFill>
          </w14:textFill>
        </w:rPr>
        <w:sectPr>
          <w:headerReference r:id="rId22" w:type="default"/>
          <w:footerReference r:id="rId23" w:type="default"/>
          <w:pgSz w:w="11906" w:h="16838"/>
          <w:pgMar w:top="1440" w:right="1077" w:bottom="1440" w:left="1077" w:header="851" w:footer="992" w:gutter="0"/>
          <w:cols w:space="720" w:num="1"/>
          <w:docGrid w:type="lines" w:linePitch="312" w:charSpace="0"/>
        </w:sectPr>
      </w:pPr>
    </w:p>
    <w:p w14:paraId="71A5D89D">
      <w:pPr>
        <w:widowControl/>
        <w:spacing w:line="560" w:lineRule="exact"/>
        <w:ind w:firstLine="643"/>
        <w:jc w:val="center"/>
        <w:rPr>
          <w:rFonts w:ascii="楷体_GB2312" w:hAnsi="宋体" w:eastAsia="楷体_GB2312"/>
          <w:b/>
          <w:bCs/>
          <w:color w:val="000000" w:themeColor="text1"/>
          <w:kern w:val="44"/>
          <w:sz w:val="32"/>
          <w:szCs w:val="30"/>
          <w14:textFill>
            <w14:solidFill>
              <w14:schemeClr w14:val="tx1"/>
            </w14:solidFill>
          </w14:textFill>
        </w:rPr>
      </w:pPr>
      <w:r>
        <w:rPr>
          <w:rFonts w:hint="eastAsia" w:ascii="楷体_GB2312" w:hAnsi="宋体" w:eastAsia="楷体_GB2312"/>
          <w:b/>
          <w:bCs/>
          <w:color w:val="000000" w:themeColor="text1"/>
          <w:kern w:val="44"/>
          <w:sz w:val="32"/>
          <w:szCs w:val="30"/>
          <w14:textFill>
            <w14:solidFill>
              <w14:schemeClr w14:val="tx1"/>
            </w14:solidFill>
          </w14:textFill>
        </w:rPr>
        <w:t>第二部分 采购清单及技术参数</w:t>
      </w:r>
    </w:p>
    <w:p w14:paraId="34592E54">
      <w:pPr>
        <w:pStyle w:val="18"/>
        <w:spacing w:line="56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 xml:space="preserve">本项目包段的采购标的物如下，供应商需逐项进行报价： </w:t>
      </w:r>
    </w:p>
    <w:tbl>
      <w:tblPr>
        <w:tblStyle w:val="45"/>
        <w:tblW w:w="131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705"/>
        <w:gridCol w:w="993"/>
        <w:gridCol w:w="992"/>
        <w:gridCol w:w="1417"/>
        <w:gridCol w:w="1134"/>
        <w:gridCol w:w="977"/>
        <w:gridCol w:w="6882"/>
      </w:tblGrid>
      <w:tr w14:paraId="3D0B18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705" w:type="dxa"/>
            <w:shd w:val="clear" w:color="auto" w:fill="D9D9D9"/>
            <w:vAlign w:val="center"/>
          </w:tcPr>
          <w:p w14:paraId="6860D7E7">
            <w:pPr>
              <w:ind w:firstLine="0" w:firstLineChars="0"/>
              <w:jc w:val="center"/>
              <w:rPr>
                <w:rFonts w:ascii="仿宋_GB2312" w:hAnsi="宋体"/>
                <w:b/>
                <w:color w:val="000000" w:themeColor="text1"/>
                <w:sz w:val="24"/>
                <w14:textFill>
                  <w14:solidFill>
                    <w14:schemeClr w14:val="tx1"/>
                  </w14:solidFill>
                </w14:textFill>
              </w:rPr>
            </w:pPr>
            <w:r>
              <w:rPr>
                <w:rFonts w:hint="eastAsia" w:ascii="仿宋_GB2312" w:hAnsi="宋体"/>
                <w:b/>
                <w:color w:val="000000" w:themeColor="text1"/>
                <w:sz w:val="24"/>
                <w14:textFill>
                  <w14:solidFill>
                    <w14:schemeClr w14:val="tx1"/>
                  </w14:solidFill>
                </w14:textFill>
              </w:rPr>
              <w:t>序号</w:t>
            </w:r>
          </w:p>
        </w:tc>
        <w:tc>
          <w:tcPr>
            <w:tcW w:w="993" w:type="dxa"/>
            <w:shd w:val="clear" w:color="auto" w:fill="D9D9D9"/>
            <w:vAlign w:val="center"/>
          </w:tcPr>
          <w:p w14:paraId="5E25AAC7">
            <w:pPr>
              <w:ind w:firstLine="0" w:firstLineChars="0"/>
              <w:jc w:val="center"/>
              <w:rPr>
                <w:rFonts w:ascii="仿宋_GB2312" w:hAnsi="宋体"/>
                <w:b/>
                <w:color w:val="000000" w:themeColor="text1"/>
                <w:sz w:val="24"/>
                <w14:textFill>
                  <w14:solidFill>
                    <w14:schemeClr w14:val="tx1"/>
                  </w14:solidFill>
                </w14:textFill>
              </w:rPr>
            </w:pPr>
            <w:r>
              <w:rPr>
                <w:rFonts w:hint="eastAsia" w:ascii="仿宋_GB2312" w:hAnsi="宋体"/>
                <w:b/>
                <w:color w:val="000000" w:themeColor="text1"/>
                <w:sz w:val="24"/>
                <w14:textFill>
                  <w14:solidFill>
                    <w14:schemeClr w14:val="tx1"/>
                  </w14:solidFill>
                </w14:textFill>
              </w:rPr>
              <w:t>分类</w:t>
            </w:r>
          </w:p>
        </w:tc>
        <w:tc>
          <w:tcPr>
            <w:tcW w:w="992" w:type="dxa"/>
            <w:shd w:val="clear" w:color="auto" w:fill="D9D9D9"/>
            <w:vAlign w:val="center"/>
          </w:tcPr>
          <w:p w14:paraId="4FCF569D">
            <w:pPr>
              <w:ind w:firstLine="0" w:firstLineChars="0"/>
              <w:jc w:val="center"/>
              <w:rPr>
                <w:rFonts w:ascii="仿宋_GB2312" w:hAnsi="宋体"/>
                <w:b/>
                <w:color w:val="000000" w:themeColor="text1"/>
                <w:sz w:val="24"/>
                <w14:textFill>
                  <w14:solidFill>
                    <w14:schemeClr w14:val="tx1"/>
                  </w14:solidFill>
                </w14:textFill>
              </w:rPr>
            </w:pPr>
            <w:r>
              <w:rPr>
                <w:rFonts w:hint="eastAsia" w:ascii="仿宋_GB2312" w:hAnsi="宋体"/>
                <w:b/>
                <w:color w:val="000000" w:themeColor="text1"/>
                <w:sz w:val="24"/>
                <w14:textFill>
                  <w14:solidFill>
                    <w14:schemeClr w14:val="tx1"/>
                  </w14:solidFill>
                </w14:textFill>
              </w:rPr>
              <w:t>清单</w:t>
            </w:r>
          </w:p>
          <w:p w14:paraId="3AF14DC6">
            <w:pPr>
              <w:ind w:firstLine="0" w:firstLineChars="0"/>
              <w:jc w:val="center"/>
              <w:rPr>
                <w:rFonts w:ascii="仿宋_GB2312" w:hAnsi="宋体"/>
                <w:b/>
                <w:color w:val="000000" w:themeColor="text1"/>
                <w:sz w:val="24"/>
                <w14:textFill>
                  <w14:solidFill>
                    <w14:schemeClr w14:val="tx1"/>
                  </w14:solidFill>
                </w14:textFill>
              </w:rPr>
            </w:pPr>
            <w:r>
              <w:rPr>
                <w:rFonts w:hint="eastAsia" w:ascii="仿宋_GB2312" w:hAnsi="宋体"/>
                <w:b/>
                <w:color w:val="000000" w:themeColor="text1"/>
                <w:sz w:val="24"/>
                <w14:textFill>
                  <w14:solidFill>
                    <w14:schemeClr w14:val="tx1"/>
                  </w14:solidFill>
                </w14:textFill>
              </w:rPr>
              <w:t>分组</w:t>
            </w:r>
          </w:p>
        </w:tc>
        <w:tc>
          <w:tcPr>
            <w:tcW w:w="1417" w:type="dxa"/>
            <w:shd w:val="clear" w:color="auto" w:fill="D9D9D9"/>
            <w:vAlign w:val="center"/>
          </w:tcPr>
          <w:p w14:paraId="67B83170">
            <w:pPr>
              <w:ind w:firstLine="0" w:firstLineChars="0"/>
              <w:jc w:val="center"/>
              <w:rPr>
                <w:rFonts w:ascii="仿宋_GB2312" w:hAnsi="宋体"/>
                <w:b/>
                <w:color w:val="000000" w:themeColor="text1"/>
                <w:sz w:val="24"/>
                <w14:textFill>
                  <w14:solidFill>
                    <w14:schemeClr w14:val="tx1"/>
                  </w14:solidFill>
                </w14:textFill>
              </w:rPr>
            </w:pPr>
            <w:r>
              <w:rPr>
                <w:rFonts w:hint="eastAsia" w:ascii="仿宋_GB2312" w:hAnsi="宋体"/>
                <w:b/>
                <w:color w:val="000000" w:themeColor="text1"/>
                <w:sz w:val="24"/>
                <w14:textFill>
                  <w14:solidFill>
                    <w14:schemeClr w14:val="tx1"/>
                  </w14:solidFill>
                </w14:textFill>
              </w:rPr>
              <w:t>清单名称</w:t>
            </w:r>
          </w:p>
        </w:tc>
        <w:tc>
          <w:tcPr>
            <w:tcW w:w="1134" w:type="dxa"/>
            <w:shd w:val="clear" w:color="auto" w:fill="D9D9D9"/>
            <w:vAlign w:val="center"/>
          </w:tcPr>
          <w:p w14:paraId="490CFFAF">
            <w:pPr>
              <w:ind w:firstLine="0" w:firstLineChars="0"/>
              <w:jc w:val="center"/>
              <w:rPr>
                <w:rFonts w:ascii="仿宋_GB2312" w:hAnsi="宋体"/>
                <w:b/>
                <w:color w:val="000000" w:themeColor="text1"/>
                <w:sz w:val="24"/>
                <w14:textFill>
                  <w14:solidFill>
                    <w14:schemeClr w14:val="tx1"/>
                  </w14:solidFill>
                </w14:textFill>
              </w:rPr>
            </w:pPr>
            <w:r>
              <w:rPr>
                <w:rFonts w:hint="eastAsia" w:ascii="仿宋_GB2312" w:hAnsi="宋体"/>
                <w:b/>
                <w:color w:val="000000" w:themeColor="text1"/>
                <w:sz w:val="24"/>
                <w14:textFill>
                  <w14:solidFill>
                    <w14:schemeClr w14:val="tx1"/>
                  </w14:solidFill>
                </w14:textFill>
              </w:rPr>
              <w:t>数量</w:t>
            </w:r>
          </w:p>
        </w:tc>
        <w:tc>
          <w:tcPr>
            <w:tcW w:w="977" w:type="dxa"/>
            <w:shd w:val="clear" w:color="auto" w:fill="D9D9D9"/>
            <w:vAlign w:val="center"/>
          </w:tcPr>
          <w:p w14:paraId="0978818A">
            <w:pPr>
              <w:ind w:firstLine="0" w:firstLineChars="0"/>
              <w:jc w:val="center"/>
              <w:rPr>
                <w:rFonts w:ascii="仿宋_GB2312" w:hAnsi="宋体"/>
                <w:b/>
                <w:color w:val="000000" w:themeColor="text1"/>
                <w:sz w:val="24"/>
                <w14:textFill>
                  <w14:solidFill>
                    <w14:schemeClr w14:val="tx1"/>
                  </w14:solidFill>
                </w14:textFill>
              </w:rPr>
            </w:pPr>
            <w:r>
              <w:rPr>
                <w:rFonts w:hint="eastAsia" w:ascii="仿宋_GB2312" w:hAnsi="宋体"/>
                <w:b/>
                <w:color w:val="000000" w:themeColor="text1"/>
                <w:sz w:val="24"/>
                <w14:textFill>
                  <w14:solidFill>
                    <w14:schemeClr w14:val="tx1"/>
                  </w14:solidFill>
                </w14:textFill>
              </w:rPr>
              <w:t>单位</w:t>
            </w:r>
          </w:p>
        </w:tc>
        <w:tc>
          <w:tcPr>
            <w:tcW w:w="6882" w:type="dxa"/>
            <w:shd w:val="clear" w:color="auto" w:fill="D9D9D9"/>
            <w:vAlign w:val="center"/>
          </w:tcPr>
          <w:p w14:paraId="236F06AA">
            <w:pPr>
              <w:ind w:firstLine="0" w:firstLineChars="0"/>
              <w:jc w:val="center"/>
              <w:rPr>
                <w:rFonts w:ascii="仿宋_GB2312" w:hAnsi="宋体"/>
                <w:b/>
                <w:color w:val="000000" w:themeColor="text1"/>
                <w:sz w:val="24"/>
                <w14:textFill>
                  <w14:solidFill>
                    <w14:schemeClr w14:val="tx1"/>
                  </w14:solidFill>
                </w14:textFill>
              </w:rPr>
            </w:pPr>
            <w:r>
              <w:rPr>
                <w:rFonts w:hint="eastAsia" w:ascii="仿宋_GB2312" w:hAnsi="宋体"/>
                <w:b/>
                <w:color w:val="000000" w:themeColor="text1"/>
                <w:sz w:val="24"/>
                <w14:textFill>
                  <w14:solidFill>
                    <w14:schemeClr w14:val="tx1"/>
                  </w14:solidFill>
                </w14:textFill>
              </w:rPr>
              <w:t>功能与技术参数</w:t>
            </w:r>
          </w:p>
        </w:tc>
      </w:tr>
      <w:tr w14:paraId="0AA2BF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970" w:hRule="atLeast"/>
          <w:jc w:val="center"/>
        </w:trPr>
        <w:tc>
          <w:tcPr>
            <w:tcW w:w="705" w:type="dxa"/>
            <w:vAlign w:val="center"/>
          </w:tcPr>
          <w:p w14:paraId="19955E96">
            <w:pPr>
              <w:ind w:firstLine="0" w:firstLineChars="0"/>
              <w:jc w:val="center"/>
              <w:rPr>
                <w:rFonts w:ascii="仿宋_GB2312" w:hAnsi="宋体"/>
                <w:color w:val="000000" w:themeColor="text1"/>
                <w:sz w:val="24"/>
                <w14:textFill>
                  <w14:solidFill>
                    <w14:schemeClr w14:val="tx1"/>
                  </w14:solidFill>
                </w14:textFill>
              </w:rPr>
            </w:pPr>
            <w:r>
              <w:rPr>
                <w:rFonts w:hint="eastAsia" w:ascii="仿宋_GB2312" w:hAnsi="宋体"/>
                <w:color w:val="000000" w:themeColor="text1"/>
                <w:sz w:val="24"/>
                <w14:textFill>
                  <w14:solidFill>
                    <w14:schemeClr w14:val="tx1"/>
                  </w14:solidFill>
                </w14:textFill>
              </w:rPr>
              <w:t>1</w:t>
            </w:r>
          </w:p>
        </w:tc>
        <w:tc>
          <w:tcPr>
            <w:tcW w:w="993" w:type="dxa"/>
            <w:vAlign w:val="center"/>
          </w:tcPr>
          <w:p w14:paraId="3744ADCD">
            <w:pPr>
              <w:ind w:firstLine="0" w:firstLineChars="0"/>
              <w:jc w:val="center"/>
              <w:rPr>
                <w:rFonts w:ascii="仿宋_GB2312" w:hAnsi="宋体"/>
                <w:color w:val="000000" w:themeColor="text1"/>
                <w:sz w:val="24"/>
                <w14:textFill>
                  <w14:solidFill>
                    <w14:schemeClr w14:val="tx1"/>
                  </w14:solidFill>
                </w14:textFill>
              </w:rPr>
            </w:pPr>
            <w:r>
              <w:rPr>
                <w:rFonts w:hint="eastAsia" w:ascii="仿宋_GB2312" w:hAnsi="宋体"/>
                <w:color w:val="000000" w:themeColor="text1"/>
                <w:sz w:val="24"/>
                <w14:textFill>
                  <w14:solidFill>
                    <w14:schemeClr w14:val="tx1"/>
                  </w14:solidFill>
                </w14:textFill>
              </w:rPr>
              <w:t>工程</w:t>
            </w:r>
          </w:p>
        </w:tc>
        <w:tc>
          <w:tcPr>
            <w:tcW w:w="992" w:type="dxa"/>
            <w:vAlign w:val="center"/>
          </w:tcPr>
          <w:p w14:paraId="27EF6FCF">
            <w:pPr>
              <w:ind w:firstLine="0" w:firstLineChars="0"/>
              <w:jc w:val="center"/>
              <w:rPr>
                <w:rFonts w:ascii="仿宋_GB2312" w:hAnsi="宋体"/>
                <w:color w:val="000000" w:themeColor="text1"/>
                <w:sz w:val="24"/>
                <w14:textFill>
                  <w14:solidFill>
                    <w14:schemeClr w14:val="tx1"/>
                  </w14:solidFill>
                </w14:textFill>
              </w:rPr>
            </w:pPr>
          </w:p>
        </w:tc>
        <w:tc>
          <w:tcPr>
            <w:tcW w:w="1417" w:type="dxa"/>
            <w:vAlign w:val="center"/>
          </w:tcPr>
          <w:p w14:paraId="2EDADECF">
            <w:pPr>
              <w:ind w:firstLine="0" w:firstLineChars="0"/>
              <w:jc w:val="center"/>
              <w:rPr>
                <w:rFonts w:ascii="仿宋_GB2312" w:hAnsi="宋体"/>
                <w:color w:val="000000" w:themeColor="text1"/>
                <w:sz w:val="24"/>
                <w14:textFill>
                  <w14:solidFill>
                    <w14:schemeClr w14:val="tx1"/>
                  </w14:solidFill>
                </w14:textFill>
              </w:rPr>
            </w:pPr>
            <w:r>
              <w:rPr>
                <w:rFonts w:ascii="仿宋_GB2312" w:hAnsi="宋体"/>
                <w:color w:val="000000" w:themeColor="text1"/>
                <w:sz w:val="24"/>
                <w14:textFill>
                  <w14:solidFill>
                    <w14:schemeClr w14:val="tx1"/>
                  </w14:solidFill>
                </w14:textFill>
              </w:rPr>
              <w:t xml:space="preserve"> </w:t>
            </w:r>
            <w:r>
              <w:rPr>
                <w:rFonts w:hint="eastAsia" w:ascii="仿宋_GB2312" w:hAnsi="宋体"/>
                <w:color w:val="000000" w:themeColor="text1"/>
                <w:sz w:val="24"/>
                <w:lang w:eastAsia="zh-CN"/>
                <w14:textFill>
                  <w14:solidFill>
                    <w14:schemeClr w14:val="tx1"/>
                  </w14:solidFill>
                </w14:textFill>
              </w:rPr>
              <w:t>乳山市2024年小型水库维修养护项目</w:t>
            </w:r>
            <w:r>
              <w:rPr>
                <w:rFonts w:ascii="仿宋_GB2312" w:hAnsi="宋体"/>
                <w:color w:val="000000" w:themeColor="text1"/>
                <w:sz w:val="24"/>
                <w14:textFill>
                  <w14:solidFill>
                    <w14:schemeClr w14:val="tx1"/>
                  </w14:solidFill>
                </w14:textFill>
              </w:rPr>
              <w:t>施工</w:t>
            </w:r>
          </w:p>
        </w:tc>
        <w:tc>
          <w:tcPr>
            <w:tcW w:w="1134" w:type="dxa"/>
            <w:vAlign w:val="center"/>
          </w:tcPr>
          <w:p w14:paraId="098CA4BA">
            <w:pPr>
              <w:ind w:firstLine="0" w:firstLineChars="0"/>
              <w:jc w:val="center"/>
              <w:rPr>
                <w:rFonts w:ascii="仿宋_GB2312" w:hAnsi="宋体"/>
                <w:color w:val="000000" w:themeColor="text1"/>
                <w:sz w:val="24"/>
                <w14:textFill>
                  <w14:solidFill>
                    <w14:schemeClr w14:val="tx1"/>
                  </w14:solidFill>
                </w14:textFill>
              </w:rPr>
            </w:pPr>
            <w:r>
              <w:rPr>
                <w:rFonts w:hint="eastAsia" w:ascii="仿宋_GB2312" w:hAnsi="宋体"/>
                <w:color w:val="000000" w:themeColor="text1"/>
                <w:sz w:val="24"/>
                <w14:textFill>
                  <w14:solidFill>
                    <w14:schemeClr w14:val="tx1"/>
                  </w14:solidFill>
                </w14:textFill>
              </w:rPr>
              <w:t>1</w:t>
            </w:r>
          </w:p>
        </w:tc>
        <w:tc>
          <w:tcPr>
            <w:tcW w:w="977" w:type="dxa"/>
            <w:vAlign w:val="center"/>
          </w:tcPr>
          <w:p w14:paraId="4ADA53E9">
            <w:pPr>
              <w:ind w:firstLine="0" w:firstLineChars="0"/>
              <w:jc w:val="center"/>
              <w:rPr>
                <w:rFonts w:ascii="仿宋_GB2312" w:hAnsi="宋体"/>
                <w:color w:val="000000" w:themeColor="text1"/>
                <w:sz w:val="24"/>
                <w14:textFill>
                  <w14:solidFill>
                    <w14:schemeClr w14:val="tx1"/>
                  </w14:solidFill>
                </w14:textFill>
              </w:rPr>
            </w:pPr>
            <w:r>
              <w:rPr>
                <w:rFonts w:hint="eastAsia" w:ascii="仿宋_GB2312" w:hAnsi="宋体"/>
                <w:color w:val="000000" w:themeColor="text1"/>
                <w:sz w:val="24"/>
                <w14:textFill>
                  <w14:solidFill>
                    <w14:schemeClr w14:val="tx1"/>
                  </w14:solidFill>
                </w14:textFill>
              </w:rPr>
              <w:t>宗</w:t>
            </w:r>
          </w:p>
        </w:tc>
        <w:tc>
          <w:tcPr>
            <w:tcW w:w="6882" w:type="dxa"/>
            <w:vAlign w:val="center"/>
          </w:tcPr>
          <w:p w14:paraId="011768BE">
            <w:pPr>
              <w:ind w:firstLine="0" w:firstLineChars="0"/>
              <w:rPr>
                <w:rFonts w:ascii="仿宋_GB2312" w:hAnsi="宋体"/>
                <w:color w:val="000000" w:themeColor="text1"/>
                <w:sz w:val="24"/>
                <w14:textFill>
                  <w14:solidFill>
                    <w14:schemeClr w14:val="tx1"/>
                  </w14:solidFill>
                </w14:textFill>
              </w:rPr>
            </w:pPr>
            <w:r>
              <w:rPr>
                <w:rFonts w:hint="eastAsia" w:ascii="仿宋_GB2312" w:hAnsi="宋体"/>
                <w:color w:val="000000" w:themeColor="text1"/>
                <w:sz w:val="24"/>
                <w:lang w:eastAsia="zh-CN"/>
                <w14:textFill>
                  <w14:solidFill>
                    <w14:schemeClr w14:val="tx1"/>
                  </w14:solidFill>
                </w14:textFill>
              </w:rPr>
              <w:t>根据省水利厅等4部门印发《关于加强我省小型水库安全运行管理工作的意见》要求，结合我市2024年小型水库维修养护的需要，对全市小型水库开展勘察排查，对50座小型水库开展维修养护工程建设、乳山市小型水库标准化数字运行管理系统平台建设等工作。</w:t>
            </w:r>
          </w:p>
        </w:tc>
      </w:tr>
    </w:tbl>
    <w:p w14:paraId="32CD2242">
      <w:pPr>
        <w:widowControl/>
        <w:spacing w:line="200" w:lineRule="exact"/>
        <w:jc w:val="center"/>
        <w:rPr>
          <w:rFonts w:ascii="仿宋_GB2312" w:hAnsi="宋体"/>
          <w:color w:val="000000" w:themeColor="text1"/>
          <w:sz w:val="10"/>
          <w:szCs w:val="10"/>
          <w14:textFill>
            <w14:solidFill>
              <w14:schemeClr w14:val="tx1"/>
            </w14:solidFill>
          </w14:textFill>
        </w:rPr>
      </w:pPr>
    </w:p>
    <w:p w14:paraId="7A88A0C0">
      <w:pPr>
        <w:widowControl/>
        <w:spacing w:line="560" w:lineRule="exact"/>
        <w:ind w:firstLine="560"/>
        <w:jc w:val="left"/>
        <w:rPr>
          <w:rFonts w:ascii="仿宋_GB2312" w:hAnsi="宋体"/>
          <w:color w:val="000000" w:themeColor="text1"/>
          <w:szCs w:val="21"/>
          <w14:textFill>
            <w14:solidFill>
              <w14:schemeClr w14:val="tx1"/>
            </w14:solidFill>
          </w14:textFill>
        </w:rPr>
      </w:pPr>
    </w:p>
    <w:p w14:paraId="628E1289">
      <w:pPr>
        <w:widowControl/>
        <w:spacing w:line="560" w:lineRule="exact"/>
        <w:ind w:firstLine="643"/>
        <w:jc w:val="center"/>
        <w:rPr>
          <w:rFonts w:ascii="楷体_GB2312" w:hAnsi="宋体" w:eastAsia="楷体_GB2312"/>
          <w:b/>
          <w:bCs/>
          <w:color w:val="000000" w:themeColor="text1"/>
          <w:kern w:val="44"/>
          <w:sz w:val="32"/>
          <w:szCs w:val="30"/>
          <w14:textFill>
            <w14:solidFill>
              <w14:schemeClr w14:val="tx1"/>
            </w14:solidFill>
          </w14:textFill>
        </w:rPr>
        <w:sectPr>
          <w:pgSz w:w="16838" w:h="11906" w:orient="landscape"/>
          <w:pgMar w:top="1077" w:right="1440" w:bottom="1077" w:left="1440" w:header="851" w:footer="992" w:gutter="0"/>
          <w:cols w:space="720" w:num="1"/>
          <w:docGrid w:type="lines" w:linePitch="312" w:charSpace="0"/>
        </w:sectPr>
      </w:pPr>
    </w:p>
    <w:p w14:paraId="675453DE">
      <w:pPr>
        <w:widowControl/>
        <w:spacing w:line="560" w:lineRule="exact"/>
        <w:ind w:firstLine="643"/>
        <w:jc w:val="center"/>
        <w:rPr>
          <w:rFonts w:ascii="楷体_GB2312" w:hAnsi="宋体" w:eastAsia="楷体_GB2312"/>
          <w:b/>
          <w:bCs/>
          <w:color w:val="000000" w:themeColor="text1"/>
          <w:kern w:val="44"/>
          <w:sz w:val="32"/>
          <w:szCs w:val="30"/>
          <w14:textFill>
            <w14:solidFill>
              <w14:schemeClr w14:val="tx1"/>
            </w14:solidFill>
          </w14:textFill>
        </w:rPr>
      </w:pPr>
      <w:r>
        <w:rPr>
          <w:rFonts w:hint="eastAsia" w:ascii="楷体_GB2312" w:hAnsi="宋体" w:eastAsia="楷体_GB2312"/>
          <w:b/>
          <w:bCs/>
          <w:color w:val="000000" w:themeColor="text1"/>
          <w:kern w:val="44"/>
          <w:sz w:val="32"/>
          <w:szCs w:val="30"/>
          <w14:textFill>
            <w14:solidFill>
              <w14:schemeClr w14:val="tx1"/>
            </w14:solidFill>
          </w14:textFill>
        </w:rPr>
        <w:t>第三部分 技术要求</w:t>
      </w:r>
    </w:p>
    <w:p w14:paraId="0FE00CED">
      <w:pPr>
        <w:spacing w:line="560" w:lineRule="exact"/>
        <w:ind w:firstLine="562"/>
        <w:rPr>
          <w:rFonts w:ascii="黑体" w:hAnsi="黑体" w:eastAsia="黑体"/>
          <w:b/>
          <w:color w:val="000000" w:themeColor="text1"/>
          <w:szCs w:val="21"/>
          <w14:textFill>
            <w14:solidFill>
              <w14:schemeClr w14:val="tx1"/>
            </w14:solidFill>
          </w14:textFill>
        </w:rPr>
      </w:pPr>
      <w:r>
        <w:rPr>
          <w:rFonts w:hint="eastAsia" w:ascii="黑体" w:hAnsi="黑体" w:eastAsia="黑体"/>
          <w:b/>
          <w:color w:val="000000" w:themeColor="text1"/>
          <w:szCs w:val="21"/>
          <w14:textFill>
            <w14:solidFill>
              <w14:schemeClr w14:val="tx1"/>
            </w14:solidFill>
          </w14:textFill>
        </w:rPr>
        <w:t>一、需执行的标准</w:t>
      </w:r>
    </w:p>
    <w:p w14:paraId="29B8AD7E">
      <w:pPr>
        <w:spacing w:line="56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 xml:space="preserve">1）国家相关标准：按照国家最新标准执行  </w:t>
      </w:r>
    </w:p>
    <w:p w14:paraId="5AC8BF64">
      <w:pPr>
        <w:spacing w:line="56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 xml:space="preserve">2）行业标准：按照行业最新标准执行  </w:t>
      </w:r>
    </w:p>
    <w:p w14:paraId="4AC6144C">
      <w:pPr>
        <w:spacing w:line="56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 xml:space="preserve">3）地方标准：按照地方最新标准执行  </w:t>
      </w:r>
    </w:p>
    <w:p w14:paraId="326FFC27">
      <w:pPr>
        <w:spacing w:line="56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 xml:space="preserve">4）其他标准：按照最新标准执行 </w:t>
      </w:r>
    </w:p>
    <w:p w14:paraId="0D57C036">
      <w:pPr>
        <w:spacing w:line="560" w:lineRule="exact"/>
        <w:ind w:firstLine="562"/>
        <w:rPr>
          <w:rFonts w:ascii="黑体" w:hAnsi="黑体" w:eastAsia="黑体"/>
          <w:b/>
          <w:color w:val="000000" w:themeColor="text1"/>
          <w:szCs w:val="21"/>
          <w14:textFill>
            <w14:solidFill>
              <w14:schemeClr w14:val="tx1"/>
            </w14:solidFill>
          </w14:textFill>
        </w:rPr>
      </w:pPr>
      <w:r>
        <w:rPr>
          <w:rFonts w:hint="eastAsia" w:ascii="黑体" w:hAnsi="黑体" w:eastAsia="黑体"/>
          <w:b/>
          <w:color w:val="000000" w:themeColor="text1"/>
          <w:szCs w:val="21"/>
          <w14:textFill>
            <w14:solidFill>
              <w14:schemeClr w14:val="tx1"/>
            </w14:solidFill>
          </w14:textFill>
        </w:rPr>
        <w:t>二、实施及交付</w:t>
      </w:r>
    </w:p>
    <w:p w14:paraId="2AE775FE">
      <w:pPr>
        <w:spacing w:line="56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 xml:space="preserve">1）质量要求：合格 </w:t>
      </w:r>
    </w:p>
    <w:p w14:paraId="5B91C655">
      <w:pPr>
        <w:spacing w:line="560" w:lineRule="exact"/>
        <w:ind w:firstLine="560"/>
        <w:rPr>
          <w:rFonts w:ascii="仿宋_GB2312" w:hAnsi="宋体"/>
          <w:color w:val="000000" w:themeColor="text1"/>
          <w:szCs w:val="21"/>
          <w14:textFill>
            <w14:solidFill>
              <w14:schemeClr w14:val="tx1"/>
            </w14:solidFill>
          </w14:textFill>
        </w:rPr>
      </w:pPr>
      <w:r>
        <w:rPr>
          <w:rFonts w:ascii="仿宋_GB2312" w:hAnsi="宋体"/>
          <w:color w:val="000000" w:themeColor="text1"/>
          <w:szCs w:val="21"/>
          <w14:textFill>
            <w14:solidFill>
              <w14:schemeClr w14:val="tx1"/>
            </w14:solidFill>
          </w14:textFill>
        </w:rPr>
        <w:t>2）安全要求</w:t>
      </w:r>
      <w:r>
        <w:rPr>
          <w:rFonts w:hint="eastAsia" w:ascii="仿宋_GB2312" w:hAnsi="宋体"/>
          <w:color w:val="000000" w:themeColor="text1"/>
          <w:szCs w:val="21"/>
          <w14:textFill>
            <w14:solidFill>
              <w14:schemeClr w14:val="tx1"/>
            </w14:solidFill>
          </w14:textFill>
        </w:rPr>
        <w:t xml:space="preserve">：使用安全、可靠 </w:t>
      </w:r>
    </w:p>
    <w:p w14:paraId="117DBA4D">
      <w:pPr>
        <w:spacing w:line="56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3）工期：</w:t>
      </w:r>
      <w:r>
        <w:rPr>
          <w:rFonts w:hint="eastAsia" w:ascii="仿宋_GB2312" w:hAnsi="宋体"/>
          <w:color w:val="000000" w:themeColor="text1"/>
          <w:szCs w:val="21"/>
          <w:lang w:val="en-US" w:eastAsia="zh-CN"/>
          <w14:textFill>
            <w14:solidFill>
              <w14:schemeClr w14:val="tx1"/>
            </w14:solidFill>
          </w14:textFill>
        </w:rPr>
        <w:t>自合同签订之日起三个月内完工</w:t>
      </w:r>
    </w:p>
    <w:p w14:paraId="5450E697">
      <w:pPr>
        <w:spacing w:line="560" w:lineRule="exact"/>
        <w:ind w:firstLine="560"/>
        <w:rPr>
          <w:rFonts w:ascii="仿宋_GB2312" w:hAnsi="宋体"/>
          <w:color w:val="000000" w:themeColor="text1"/>
          <w:szCs w:val="21"/>
          <w14:textFill>
            <w14:solidFill>
              <w14:schemeClr w14:val="tx1"/>
            </w14:solidFill>
          </w14:textFill>
        </w:rPr>
      </w:pPr>
      <w:r>
        <w:rPr>
          <w:rFonts w:ascii="仿宋_GB2312" w:hAnsi="宋体"/>
          <w:color w:val="000000" w:themeColor="text1"/>
          <w:szCs w:val="21"/>
          <w14:textFill>
            <w14:solidFill>
              <w14:schemeClr w14:val="tx1"/>
            </w14:solidFill>
          </w14:textFill>
        </w:rPr>
        <w:t>4）交付（实施）地点</w:t>
      </w:r>
    </w:p>
    <w:p w14:paraId="5C3D8E76">
      <w:pPr>
        <w:spacing w:line="56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 xml:space="preserve">采购人指定地点 </w:t>
      </w:r>
    </w:p>
    <w:p w14:paraId="1F2F5C24">
      <w:pPr>
        <w:spacing w:line="56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5）付款方式</w:t>
      </w:r>
    </w:p>
    <w:p w14:paraId="0E6ACC99">
      <w:pPr>
        <w:spacing w:line="560" w:lineRule="exact"/>
        <w:ind w:firstLine="562"/>
        <w:rPr>
          <w:rFonts w:hint="eastAsia"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本工程无预付款，按工程形象进度付款，按月计量，在建设期内支付30%，工程竣工验收合格支付到合同价款的50%,审计结算结束支付到结算价款的70%；剩余资金分三年付清，每年各支付10%。</w:t>
      </w:r>
    </w:p>
    <w:p w14:paraId="4993514B">
      <w:pPr>
        <w:spacing w:line="560" w:lineRule="exact"/>
        <w:ind w:firstLine="562"/>
        <w:rPr>
          <w:rFonts w:ascii="黑体" w:hAnsi="黑体" w:eastAsia="黑体"/>
          <w:b/>
          <w:color w:val="000000" w:themeColor="text1"/>
          <w:szCs w:val="21"/>
          <w14:textFill>
            <w14:solidFill>
              <w14:schemeClr w14:val="tx1"/>
            </w14:solidFill>
          </w14:textFill>
        </w:rPr>
      </w:pPr>
      <w:r>
        <w:rPr>
          <w:rFonts w:hint="eastAsia" w:ascii="黑体" w:hAnsi="黑体" w:eastAsia="黑体"/>
          <w:b/>
          <w:color w:val="000000" w:themeColor="text1"/>
          <w:szCs w:val="21"/>
          <w14:textFill>
            <w14:solidFill>
              <w14:schemeClr w14:val="tx1"/>
            </w14:solidFill>
          </w14:textFill>
        </w:rPr>
        <w:t>三、服务要求</w:t>
      </w:r>
    </w:p>
    <w:p w14:paraId="61D8382F">
      <w:pPr>
        <w:spacing w:line="56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1）服务标准</w:t>
      </w:r>
    </w:p>
    <w:p w14:paraId="1F565B7B">
      <w:pPr>
        <w:spacing w:line="56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 xml:space="preserve">达到采购文件要求 </w:t>
      </w:r>
    </w:p>
    <w:p w14:paraId="75075E7F">
      <w:pPr>
        <w:spacing w:line="560" w:lineRule="exact"/>
        <w:ind w:firstLine="560"/>
        <w:rPr>
          <w:rFonts w:ascii="仿宋_GB2312" w:hAnsi="宋体"/>
          <w:color w:val="000000" w:themeColor="text1"/>
          <w:szCs w:val="21"/>
          <w14:textFill>
            <w14:solidFill>
              <w14:schemeClr w14:val="tx1"/>
            </w14:solidFill>
          </w14:textFill>
        </w:rPr>
      </w:pPr>
      <w:r>
        <w:rPr>
          <w:rFonts w:ascii="仿宋_GB2312" w:hAnsi="宋体"/>
          <w:color w:val="000000" w:themeColor="text1"/>
          <w:szCs w:val="21"/>
          <w14:textFill>
            <w14:solidFill>
              <w14:schemeClr w14:val="tx1"/>
            </w14:solidFill>
          </w14:textFill>
        </w:rPr>
        <w:t>2）</w:t>
      </w:r>
      <w:r>
        <w:rPr>
          <w:rFonts w:hint="eastAsia" w:ascii="仿宋_GB2312" w:hAnsi="宋体"/>
          <w:color w:val="000000" w:themeColor="text1"/>
          <w:szCs w:val="21"/>
          <w14:textFill>
            <w14:solidFill>
              <w14:schemeClr w14:val="tx1"/>
            </w14:solidFill>
          </w14:textFill>
        </w:rPr>
        <w:t>质保期：</w:t>
      </w:r>
      <w:r>
        <w:rPr>
          <w:rFonts w:hint="eastAsia" w:ascii="仿宋_GB2312" w:hAnsi="宋体"/>
          <w:color w:val="000000" w:themeColor="text1"/>
          <w:szCs w:val="21"/>
          <w:lang w:val="en-US" w:eastAsia="zh-CN"/>
          <w14:textFill>
            <w14:solidFill>
              <w14:schemeClr w14:val="tx1"/>
            </w14:solidFill>
          </w14:textFill>
        </w:rPr>
        <w:t>1</w:t>
      </w:r>
      <w:r>
        <w:rPr>
          <w:rFonts w:hint="eastAsia" w:ascii="仿宋_GB2312" w:hAnsi="宋体"/>
          <w:color w:val="000000" w:themeColor="text1"/>
          <w:szCs w:val="21"/>
          <w14:textFill>
            <w14:solidFill>
              <w14:schemeClr w14:val="tx1"/>
            </w14:solidFill>
          </w14:textFill>
        </w:rPr>
        <w:t>年</w:t>
      </w:r>
    </w:p>
    <w:p w14:paraId="23E43654">
      <w:pPr>
        <w:spacing w:line="560" w:lineRule="exact"/>
        <w:ind w:firstLine="562"/>
        <w:rPr>
          <w:rFonts w:ascii="黑体" w:hAnsi="黑体" w:eastAsia="黑体"/>
          <w:b/>
          <w:color w:val="000000" w:themeColor="text1"/>
          <w:szCs w:val="21"/>
          <w14:textFill>
            <w14:solidFill>
              <w14:schemeClr w14:val="tx1"/>
            </w14:solidFill>
          </w14:textFill>
        </w:rPr>
      </w:pPr>
      <w:r>
        <w:rPr>
          <w:rFonts w:hint="eastAsia" w:ascii="黑体" w:hAnsi="黑体" w:eastAsia="黑体"/>
          <w:b/>
          <w:color w:val="000000" w:themeColor="text1"/>
          <w:szCs w:val="21"/>
          <w14:textFill>
            <w14:solidFill>
              <w14:schemeClr w14:val="tx1"/>
            </w14:solidFill>
          </w14:textFill>
        </w:rPr>
        <w:t>四、验收标准</w:t>
      </w:r>
    </w:p>
    <w:p w14:paraId="5E523C76">
      <w:pPr>
        <w:spacing w:line="56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8"/>
          <w14:textFill>
            <w14:solidFill>
              <w14:schemeClr w14:val="tx1"/>
            </w14:solidFill>
          </w14:textFill>
        </w:rPr>
        <w:t xml:space="preserve">符合相关技术要求及行业标准。 </w:t>
      </w:r>
    </w:p>
    <w:p w14:paraId="5E16105D">
      <w:pPr>
        <w:spacing w:line="560" w:lineRule="exact"/>
        <w:ind w:firstLine="562"/>
        <w:rPr>
          <w:rFonts w:ascii="黑体" w:hAnsi="黑体" w:eastAsia="黑体"/>
          <w:b/>
          <w:color w:val="000000" w:themeColor="text1"/>
          <w:szCs w:val="21"/>
          <w14:textFill>
            <w14:solidFill>
              <w14:schemeClr w14:val="tx1"/>
            </w14:solidFill>
          </w14:textFill>
        </w:rPr>
      </w:pPr>
      <w:r>
        <w:rPr>
          <w:rFonts w:hint="eastAsia" w:ascii="黑体" w:hAnsi="黑体" w:eastAsia="黑体"/>
          <w:b/>
          <w:color w:val="000000" w:themeColor="text1"/>
          <w:szCs w:val="21"/>
          <w14:textFill>
            <w14:solidFill>
              <w14:schemeClr w14:val="tx1"/>
            </w14:solidFill>
          </w14:textFill>
        </w:rPr>
        <w:t>五、其他技术及服务要求</w:t>
      </w:r>
    </w:p>
    <w:p w14:paraId="21EFC144">
      <w:pPr>
        <w:spacing w:line="560" w:lineRule="exact"/>
        <w:ind w:firstLine="56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详见工程量清单。</w:t>
      </w:r>
    </w:p>
    <w:p w14:paraId="6AFED00A">
      <w:pPr>
        <w:spacing w:line="560" w:lineRule="exact"/>
        <w:ind w:firstLine="562"/>
        <w:rPr>
          <w:rFonts w:ascii="黑体" w:hAnsi="黑体" w:eastAsia="黑体"/>
          <w:b/>
          <w:color w:val="000000" w:themeColor="text1"/>
          <w:szCs w:val="21"/>
          <w14:textFill>
            <w14:solidFill>
              <w14:schemeClr w14:val="tx1"/>
            </w14:solidFill>
          </w14:textFill>
        </w:rPr>
      </w:pPr>
      <w:r>
        <w:rPr>
          <w:rFonts w:hint="eastAsia" w:ascii="黑体" w:hAnsi="黑体" w:eastAsia="黑体"/>
          <w:b/>
          <w:color w:val="000000" w:themeColor="text1"/>
          <w:szCs w:val="21"/>
          <w14:textFill>
            <w14:solidFill>
              <w14:schemeClr w14:val="tx1"/>
            </w14:solidFill>
          </w14:textFill>
        </w:rPr>
        <w:t>六、采购人拟采用的采购方式</w:t>
      </w:r>
    </w:p>
    <w:p w14:paraId="79D48B3F">
      <w:pPr>
        <w:widowControl/>
        <w:adjustRightInd w:val="0"/>
        <w:spacing w:line="560" w:lineRule="exact"/>
        <w:ind w:firstLine="560"/>
        <w:jc w:val="left"/>
        <w:rPr>
          <w:rFonts w:ascii="黑体" w:hAnsi="黑体" w:eastAsia="黑体"/>
          <w:color w:val="000000" w:themeColor="text1"/>
          <w:sz w:val="32"/>
          <w:szCs w:val="32"/>
          <w14:textFill>
            <w14:solidFill>
              <w14:schemeClr w14:val="tx1"/>
            </w14:solidFill>
          </w14:textFill>
        </w:rPr>
      </w:pPr>
      <w:r>
        <w:rPr>
          <w:rFonts w:hint="eastAsia" w:ascii="仿宋_GB2312" w:hAnsi="宋体"/>
          <w:color w:val="000000" w:themeColor="text1"/>
          <w14:textFill>
            <w14:solidFill>
              <w14:schemeClr w14:val="tx1"/>
            </w14:solidFill>
          </w14:textFill>
        </w:rPr>
        <w:t>竞争性磋商</w:t>
      </w:r>
    </w:p>
    <w:p w14:paraId="1E330CBD">
      <w:pPr>
        <w:spacing w:line="560" w:lineRule="exact"/>
        <w:ind w:firstLine="562"/>
        <w:rPr>
          <w:rFonts w:ascii="黑体" w:hAnsi="黑体" w:eastAsia="黑体"/>
          <w:b/>
          <w:color w:val="000000" w:themeColor="text1"/>
          <w:szCs w:val="21"/>
          <w14:textFill>
            <w14:solidFill>
              <w14:schemeClr w14:val="tx1"/>
            </w14:solidFill>
          </w14:textFill>
        </w:rPr>
      </w:pPr>
      <w:r>
        <w:rPr>
          <w:rFonts w:hint="eastAsia" w:ascii="黑体" w:hAnsi="黑体" w:eastAsia="黑体"/>
          <w:b/>
          <w:color w:val="000000" w:themeColor="text1"/>
          <w:szCs w:val="21"/>
          <w14:textFill>
            <w14:solidFill>
              <w14:schemeClr w14:val="tx1"/>
            </w14:solidFill>
          </w14:textFill>
        </w:rPr>
        <w:t>七、采购人拟采用采购方式的理由（非公开招标方式需要填写）</w:t>
      </w:r>
    </w:p>
    <w:p w14:paraId="01469BF9">
      <w:pPr>
        <w:spacing w:line="560" w:lineRule="exact"/>
        <w:ind w:firstLine="560"/>
        <w:rPr>
          <w:rFonts w:ascii="仿宋_GB2312" w:hAnsi="宋体"/>
          <w:color w:val="000000" w:themeColor="text1"/>
          <w:szCs w:val="28"/>
          <w14:textFill>
            <w14:solidFill>
              <w14:schemeClr w14:val="tx1"/>
            </w14:solidFill>
          </w14:textFill>
        </w:rPr>
      </w:pPr>
      <w:r>
        <w:rPr>
          <w:rFonts w:hint="eastAsia" w:ascii="仿宋_GB2312" w:hAnsi="宋体"/>
          <w:color w:val="000000" w:themeColor="text1"/>
          <w:szCs w:val="28"/>
          <w14:textFill>
            <w14:solidFill>
              <w14:schemeClr w14:val="tx1"/>
            </w14:solidFill>
          </w14:textFill>
        </w:rPr>
        <w:t>未达到公开招标限额。</w:t>
      </w:r>
    </w:p>
    <w:p w14:paraId="7E01BB9C">
      <w:pPr>
        <w:spacing w:line="560" w:lineRule="exact"/>
        <w:ind w:firstLine="562"/>
        <w:rPr>
          <w:rFonts w:ascii="仿宋_GB2312" w:hAnsi="宋体"/>
          <w:b/>
          <w:color w:val="000000" w:themeColor="text1"/>
          <w:szCs w:val="21"/>
          <w14:textFill>
            <w14:solidFill>
              <w14:schemeClr w14:val="tx1"/>
            </w14:solidFill>
          </w14:textFill>
        </w:rPr>
      </w:pPr>
      <w:r>
        <w:rPr>
          <w:rFonts w:hint="eastAsia" w:ascii="黑体" w:hAnsi="黑体" w:eastAsia="黑体"/>
          <w:b/>
          <w:color w:val="000000" w:themeColor="text1"/>
          <w:szCs w:val="21"/>
          <w14:textFill>
            <w14:solidFill>
              <w14:schemeClr w14:val="tx1"/>
            </w14:solidFill>
          </w14:textFill>
        </w:rPr>
        <w:t>八、采购意向是否公开</w:t>
      </w:r>
      <w:r>
        <w:rPr>
          <w:rFonts w:hint="eastAsia" w:ascii="仿宋_GB2312" w:hAnsi="宋体"/>
          <w:b/>
          <w:color w:val="000000" w:themeColor="text1"/>
          <w:szCs w:val="21"/>
          <w14:textFill>
            <w14:solidFill>
              <w14:schemeClr w14:val="tx1"/>
            </w14:solidFill>
          </w14:textFill>
        </w:rPr>
        <w:t>：是</w:t>
      </w:r>
    </w:p>
    <w:p w14:paraId="59624B0E">
      <w:pPr>
        <w:spacing w:line="560" w:lineRule="exact"/>
        <w:ind w:firstLine="562"/>
        <w:rPr>
          <w:rFonts w:ascii="仿宋_GB2312" w:hAnsi="宋体"/>
          <w:b/>
          <w:color w:val="000000" w:themeColor="text1"/>
          <w:szCs w:val="21"/>
          <w14:textFill>
            <w14:solidFill>
              <w14:schemeClr w14:val="tx1"/>
            </w14:solidFill>
          </w14:textFill>
        </w:rPr>
      </w:pPr>
      <w:r>
        <w:rPr>
          <w:rFonts w:hint="eastAsia" w:ascii="黑体" w:hAnsi="黑体" w:eastAsia="黑体"/>
          <w:b/>
          <w:color w:val="000000" w:themeColor="text1"/>
          <w:szCs w:val="21"/>
          <w14:textFill>
            <w14:solidFill>
              <w14:schemeClr w14:val="tx1"/>
            </w14:solidFill>
          </w14:textFill>
        </w:rPr>
        <w:t>九、是否收取各类涉企保证金（投标保证金、履约保证金)：</w:t>
      </w:r>
      <w:r>
        <w:rPr>
          <w:rFonts w:hint="eastAsia" w:ascii="仿宋_GB2312" w:hAnsi="宋体"/>
          <w:b/>
          <w:color w:val="000000" w:themeColor="text1"/>
          <w:szCs w:val="21"/>
          <w14:textFill>
            <w14:solidFill>
              <w14:schemeClr w14:val="tx1"/>
            </w14:solidFill>
          </w14:textFill>
        </w:rPr>
        <w:t>否</w:t>
      </w:r>
    </w:p>
    <w:p w14:paraId="54564786">
      <w:pPr>
        <w:spacing w:line="560" w:lineRule="exact"/>
        <w:ind w:firstLine="562"/>
        <w:rPr>
          <w:rFonts w:ascii="仿宋_GB2312" w:hAnsi="宋体"/>
          <w:b/>
          <w:color w:val="000000" w:themeColor="text1"/>
          <w:szCs w:val="21"/>
          <w14:textFill>
            <w14:solidFill>
              <w14:schemeClr w14:val="tx1"/>
            </w14:solidFill>
          </w14:textFill>
        </w:rPr>
      </w:pPr>
      <w:r>
        <w:rPr>
          <w:rFonts w:hint="eastAsia" w:ascii="黑体" w:hAnsi="黑体" w:eastAsia="黑体"/>
          <w:b/>
          <w:color w:val="000000" w:themeColor="text1"/>
          <w:szCs w:val="21"/>
          <w14:textFill>
            <w14:solidFill>
              <w14:schemeClr w14:val="tx1"/>
            </w14:solidFill>
          </w14:textFill>
        </w:rPr>
        <w:t>十、是否为专门面向中小企业采购：</w:t>
      </w:r>
      <w:r>
        <w:rPr>
          <w:rFonts w:ascii="仿宋_GB2312" w:hAnsi="宋体"/>
          <w:b/>
          <w:color w:val="000000" w:themeColor="text1"/>
          <w:szCs w:val="21"/>
          <w14:textFill>
            <w14:solidFill>
              <w14:schemeClr w14:val="tx1"/>
            </w14:solidFill>
          </w14:textFill>
        </w:rPr>
        <w:t>是</w:t>
      </w:r>
    </w:p>
    <w:p w14:paraId="7DBD6146">
      <w:pPr>
        <w:spacing w:line="560" w:lineRule="exact"/>
        <w:ind w:firstLine="562"/>
        <w:rPr>
          <w:rFonts w:ascii="仿宋_GB2312" w:hAnsi="宋体"/>
          <w:b/>
          <w:color w:val="000000" w:themeColor="text1"/>
          <w:szCs w:val="21"/>
          <w14:textFill>
            <w14:solidFill>
              <w14:schemeClr w14:val="tx1"/>
            </w14:solidFill>
          </w14:textFill>
        </w:rPr>
      </w:pPr>
      <w:r>
        <w:rPr>
          <w:rFonts w:hint="eastAsia" w:ascii="仿宋_GB2312" w:hAnsi="宋体"/>
          <w:b/>
          <w:color w:val="000000" w:themeColor="text1"/>
          <w:szCs w:val="21"/>
          <w14:textFill>
            <w14:solidFill>
              <w14:schemeClr w14:val="tx1"/>
            </w14:solidFill>
          </w14:textFill>
        </w:rPr>
        <w:t>注：符合下列情形之一的可不专门面向中小企业预留采购份额：（一）法律法规和国家有关政策明确规定优先或者应当面向事业单位、社会组织等非企业主体采购的；（二）因确需使用不可替代的专利、专有技术，基础设施限制，或者提供特定公共服务等原因，只能从中小企业之外的供应商处采购的；（三）按照本办法规定预留采购份额无法确保充分供应、充分竞争，或者存在可能影响政府采购目标实现的情形；（四）框架协议采购项目；（五）省级以上人民政府财政部门规定的其他情形。除上述情形外，其他均为适宜由中小企业提供的情形。</w:t>
      </w:r>
    </w:p>
    <w:p w14:paraId="00C93C58">
      <w:pPr>
        <w:spacing w:line="560" w:lineRule="exact"/>
        <w:ind w:firstLine="562"/>
        <w:rPr>
          <w:rFonts w:ascii="仿宋_GB2312" w:hAnsi="宋体"/>
          <w:b/>
          <w:color w:val="000000" w:themeColor="text1"/>
          <w:szCs w:val="21"/>
          <w14:textFill>
            <w14:solidFill>
              <w14:schemeClr w14:val="tx1"/>
            </w14:solidFill>
          </w14:textFill>
        </w:rPr>
      </w:pPr>
      <w:r>
        <w:rPr>
          <w:rFonts w:hint="eastAsia" w:ascii="黑体" w:hAnsi="黑体" w:eastAsia="黑体"/>
          <w:b/>
          <w:color w:val="000000" w:themeColor="text1"/>
          <w:szCs w:val="21"/>
          <w14:textFill>
            <w14:solidFill>
              <w14:schemeClr w14:val="tx1"/>
            </w14:solidFill>
          </w14:textFill>
        </w:rPr>
        <w:t>十一、是否允许联合体响应：</w:t>
      </w:r>
      <w:r>
        <w:rPr>
          <w:rFonts w:hint="eastAsia" w:ascii="仿宋_GB2312" w:hAnsi="宋体"/>
          <w:b/>
          <w:color w:val="000000" w:themeColor="text1"/>
          <w:szCs w:val="21"/>
          <w14:textFill>
            <w14:solidFill>
              <w14:schemeClr w14:val="tx1"/>
            </w14:solidFill>
          </w14:textFill>
        </w:rPr>
        <w:t>否；</w:t>
      </w:r>
    </w:p>
    <w:p w14:paraId="7E413766">
      <w:pPr>
        <w:spacing w:line="560" w:lineRule="exact"/>
        <w:ind w:firstLine="562"/>
        <w:rPr>
          <w:rFonts w:ascii="仿宋_GB2312" w:hAnsi="宋体"/>
          <w:b/>
          <w:color w:val="000000" w:themeColor="text1"/>
          <w:szCs w:val="21"/>
          <w14:textFill>
            <w14:solidFill>
              <w14:schemeClr w14:val="tx1"/>
            </w14:solidFill>
          </w14:textFill>
        </w:rPr>
      </w:pPr>
      <w:r>
        <w:rPr>
          <w:rFonts w:hint="eastAsia" w:ascii="黑体" w:hAnsi="黑体" w:eastAsia="黑体"/>
          <w:b/>
          <w:color w:val="000000" w:themeColor="text1"/>
          <w:szCs w:val="21"/>
          <w14:textFill>
            <w14:solidFill>
              <w14:schemeClr w14:val="tx1"/>
            </w14:solidFill>
          </w14:textFill>
        </w:rPr>
        <w:t>十二、对中小企业在资金支付期限、预付款比例等方面的优惠措施：无</w:t>
      </w:r>
    </w:p>
    <w:p w14:paraId="0E7FD84E">
      <w:pPr>
        <w:spacing w:line="560" w:lineRule="exact"/>
        <w:ind w:firstLine="562"/>
        <w:rPr>
          <w:rFonts w:ascii="黑体" w:hAnsi="黑体" w:eastAsia="黑体"/>
          <w:b/>
          <w:color w:val="000000" w:themeColor="text1"/>
          <w:szCs w:val="21"/>
          <w14:textFill>
            <w14:solidFill>
              <w14:schemeClr w14:val="tx1"/>
            </w14:solidFill>
          </w14:textFill>
        </w:rPr>
      </w:pPr>
      <w:r>
        <w:rPr>
          <w:rFonts w:hint="eastAsia" w:ascii="黑体" w:hAnsi="黑体" w:eastAsia="黑体"/>
          <w:b/>
          <w:color w:val="000000" w:themeColor="text1"/>
          <w:szCs w:val="21"/>
          <w14:textFill>
            <w14:solidFill>
              <w14:schemeClr w14:val="tx1"/>
            </w14:solidFill>
          </w14:textFill>
        </w:rPr>
        <w:t>十三、采购标的对应的中小企业划分标准所属行业：建筑业</w:t>
      </w:r>
    </w:p>
    <w:p w14:paraId="065F9F59">
      <w:pPr>
        <w:spacing w:line="560" w:lineRule="exact"/>
        <w:ind w:firstLine="562"/>
        <w:rPr>
          <w:rFonts w:ascii="仿宋_GB2312" w:hAnsi="宋体"/>
          <w:b/>
          <w:color w:val="000000" w:themeColor="text1"/>
          <w:szCs w:val="21"/>
          <w14:textFill>
            <w14:solidFill>
              <w14:schemeClr w14:val="tx1"/>
            </w14:solidFill>
          </w14:textFill>
        </w:rPr>
      </w:pPr>
      <w:r>
        <w:rPr>
          <w:rFonts w:hint="eastAsia" w:ascii="黑体" w:hAnsi="黑体" w:eastAsia="黑体"/>
          <w:b/>
          <w:color w:val="000000" w:themeColor="text1"/>
          <w:szCs w:val="21"/>
          <w14:textFill>
            <w14:solidFill>
              <w14:schemeClr w14:val="tx1"/>
            </w14:solidFill>
          </w14:textFill>
        </w:rPr>
        <w:t xml:space="preserve">十四、联系方式 </w:t>
      </w:r>
    </w:p>
    <w:p w14:paraId="71EF9E58">
      <w:pPr>
        <w:spacing w:line="56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采购人：</w:t>
      </w:r>
      <w:r>
        <w:rPr>
          <w:rFonts w:ascii="仿宋_GB2312" w:hAnsi="宋体"/>
          <w:color w:val="000000" w:themeColor="text1"/>
          <w:szCs w:val="21"/>
          <w14:textFill>
            <w14:solidFill>
              <w14:schemeClr w14:val="tx1"/>
            </w14:solidFill>
          </w14:textFill>
        </w:rPr>
        <w:t>乳山市水利事务服务中心</w:t>
      </w:r>
    </w:p>
    <w:p w14:paraId="3346BFCA">
      <w:pPr>
        <w:spacing w:line="56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采购人地址：</w:t>
      </w:r>
      <w:r>
        <w:rPr>
          <w:rFonts w:ascii="仿宋_GB2312" w:hAnsi="宋体"/>
          <w:color w:val="000000" w:themeColor="text1"/>
          <w:szCs w:val="21"/>
          <w14:textFill>
            <w14:solidFill>
              <w14:schemeClr w14:val="tx1"/>
            </w14:solidFill>
          </w14:textFill>
        </w:rPr>
        <w:t>乳山市府前路7号</w:t>
      </w:r>
    </w:p>
    <w:p w14:paraId="473284C8">
      <w:pPr>
        <w:spacing w:line="56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联系人：</w:t>
      </w:r>
      <w:r>
        <w:rPr>
          <w:rFonts w:hint="eastAsia" w:ascii="仿宋_GB2312" w:hAnsi="宋体"/>
          <w:color w:val="000000" w:themeColor="text1"/>
          <w:szCs w:val="21"/>
          <w:lang w:eastAsia="zh-CN"/>
          <w14:textFill>
            <w14:solidFill>
              <w14:schemeClr w14:val="tx1"/>
            </w14:solidFill>
          </w14:textFill>
        </w:rPr>
        <w:t>刘尧敏</w:t>
      </w:r>
      <w:r>
        <w:rPr>
          <w:rFonts w:hint="eastAsia" w:ascii="仿宋_GB2312" w:hAnsi="宋体"/>
          <w:color w:val="000000" w:themeColor="text1"/>
          <w:szCs w:val="21"/>
          <w14:textFill>
            <w14:solidFill>
              <w14:schemeClr w14:val="tx1"/>
            </w14:solidFill>
          </w14:textFill>
        </w:rPr>
        <w:t xml:space="preserve"> </w:t>
      </w:r>
    </w:p>
    <w:p w14:paraId="578F393A">
      <w:pPr>
        <w:spacing w:line="560" w:lineRule="exact"/>
        <w:ind w:firstLine="560"/>
        <w:rPr>
          <w:rFonts w:hint="eastAsia" w:ascii="仿宋_GB2312" w:hAnsi="宋体"/>
          <w:color w:val="000000" w:themeColor="text1"/>
          <w:szCs w:val="21"/>
          <w:lang w:eastAsia="zh-CN"/>
          <w14:textFill>
            <w14:solidFill>
              <w14:schemeClr w14:val="tx1"/>
            </w14:solidFill>
          </w14:textFill>
        </w:rPr>
        <w:sectPr>
          <w:pgSz w:w="11906" w:h="16838"/>
          <w:pgMar w:top="1440" w:right="1080" w:bottom="1440" w:left="1080" w:header="851" w:footer="992" w:gutter="0"/>
          <w:cols w:space="720" w:num="1"/>
          <w:docGrid w:type="lines" w:linePitch="312" w:charSpace="0"/>
        </w:sectPr>
      </w:pPr>
      <w:r>
        <w:rPr>
          <w:rFonts w:hint="eastAsia" w:ascii="仿宋_GB2312" w:hAnsi="宋体"/>
          <w:color w:val="000000" w:themeColor="text1"/>
          <w:szCs w:val="21"/>
          <w14:textFill>
            <w14:solidFill>
              <w14:schemeClr w14:val="tx1"/>
            </w14:solidFill>
          </w14:textFill>
        </w:rPr>
        <w:t>联系电话：</w:t>
      </w:r>
      <w:r>
        <w:rPr>
          <w:rFonts w:hint="eastAsia" w:ascii="仿宋_GB2312" w:hAnsi="宋体"/>
          <w:color w:val="000000" w:themeColor="text1"/>
          <w:szCs w:val="21"/>
          <w:lang w:eastAsia="zh-CN"/>
          <w14:textFill>
            <w14:solidFill>
              <w14:schemeClr w14:val="tx1"/>
            </w14:solidFill>
          </w14:textFill>
        </w:rPr>
        <w:t>0631-6653478</w:t>
      </w:r>
    </w:p>
    <w:p w14:paraId="00A2276E">
      <w:pPr>
        <w:pStyle w:val="43"/>
        <w:spacing w:before="100" w:beforeAutospacing="1" w:after="100" w:afterAutospacing="1" w:line="415" w:lineRule="auto"/>
        <w:ind w:left="0" w:leftChars="0" w:firstLine="0" w:firstLineChars="0"/>
        <w:jc w:val="center"/>
        <w:rPr>
          <w:rFonts w:hint="default" w:ascii="楷体_GB2312" w:hAnsi="宋体" w:eastAsia="楷体_GB2312" w:cs="宋体"/>
          <w:color w:val="000000" w:themeColor="text1"/>
          <w:sz w:val="44"/>
          <w:szCs w:val="44"/>
          <w:lang w:val="en-US" w:eastAsia="zh-CN"/>
          <w14:textFill>
            <w14:solidFill>
              <w14:schemeClr w14:val="tx1"/>
            </w14:solidFill>
          </w14:textFill>
        </w:rPr>
      </w:pPr>
      <w:r>
        <w:rPr>
          <w:rFonts w:hint="eastAsia" w:ascii="楷体_GB2312" w:hAnsi="宋体" w:eastAsia="楷体_GB2312" w:cs="宋体"/>
          <w:color w:val="000000" w:themeColor="text1"/>
          <w:sz w:val="44"/>
          <w:szCs w:val="44"/>
          <w:lang w:val="en-US" w:eastAsia="zh-CN"/>
          <w14:textFill>
            <w14:solidFill>
              <w14:schemeClr w14:val="tx1"/>
            </w14:solidFill>
          </w14:textFill>
        </w:rPr>
        <w:t>清单编制说明</w:t>
      </w:r>
    </w:p>
    <w:p w14:paraId="5936A58C">
      <w:pPr>
        <w:spacing w:line="520" w:lineRule="exact"/>
        <w:ind w:left="0" w:leftChars="0" w:firstLine="0" w:firstLineChars="0"/>
        <w:rPr>
          <w:rFonts w:hint="eastAsia" w:ascii="仿宋_GB2312" w:hAnsi="宋体"/>
          <w:color w:val="000000" w:themeColor="text1"/>
          <w:szCs w:val="21"/>
          <w:lang w:eastAsia="zh-CN"/>
          <w14:textFill>
            <w14:solidFill>
              <w14:schemeClr w14:val="tx1"/>
            </w14:solidFill>
          </w14:textFill>
        </w:rPr>
      </w:pPr>
      <w:r>
        <w:rPr>
          <w:rFonts w:hint="eastAsia" w:ascii="仿宋_GB2312" w:hAnsi="宋体"/>
          <w:color w:val="000000" w:themeColor="text1"/>
          <w:szCs w:val="21"/>
          <w14:textFill>
            <w14:solidFill>
              <w14:schemeClr w14:val="tx1"/>
            </w14:solidFill>
          </w14:textFill>
        </w:rPr>
        <w:t>工程名称</w:t>
      </w:r>
      <w:r>
        <w:rPr>
          <w:rFonts w:hint="eastAsia" w:ascii="仿宋_GB2312" w:hAnsi="宋体"/>
          <w:color w:val="000000" w:themeColor="text1"/>
          <w:szCs w:val="21"/>
          <w:lang w:eastAsia="zh-CN"/>
          <w14:textFill>
            <w14:solidFill>
              <w14:schemeClr w14:val="tx1"/>
            </w14:solidFill>
          </w14:textFill>
        </w:rPr>
        <w:t>：乳山市2024年小型水库维修养护项目</w:t>
      </w:r>
    </w:p>
    <w:p w14:paraId="51B47A74">
      <w:pPr>
        <w:keepNext w:val="0"/>
        <w:keepLines w:val="0"/>
        <w:pageBreakBefore w:val="0"/>
        <w:widowControl w:val="0"/>
        <w:kinsoku/>
        <w:wordWrap/>
        <w:overflowPunct/>
        <w:topLinePunct w:val="0"/>
        <w:autoSpaceDE/>
        <w:autoSpaceDN/>
        <w:bidi w:val="0"/>
        <w:adjustRightInd w:val="0"/>
        <w:snapToGrid w:val="0"/>
        <w:spacing w:line="420" w:lineRule="exact"/>
        <w:ind w:left="0" w:leftChars="0" w:firstLine="480" w:firstLineChars="200"/>
        <w:jc w:val="left"/>
        <w:textAlignment w:val="auto"/>
        <w:rPr>
          <w:rFonts w:hint="eastAsia" w:ascii="宋体" w:hAnsi="宋体" w:eastAsia="宋体"/>
          <w:color w:val="000000" w:themeColor="text1"/>
          <w:sz w:val="24"/>
          <w:szCs w:val="24"/>
          <w:highlight w:val="none"/>
          <w14:textFill>
            <w14:solidFill>
              <w14:schemeClr w14:val="tx1"/>
            </w14:solidFill>
          </w14:textFill>
        </w:rPr>
      </w:pPr>
      <w:r>
        <w:rPr>
          <w:rFonts w:hint="eastAsia" w:ascii="宋体" w:hAnsi="宋体" w:eastAsia="宋体"/>
          <w:color w:val="000000" w:themeColor="text1"/>
          <w:sz w:val="24"/>
          <w:szCs w:val="24"/>
          <w:highlight w:val="none"/>
          <w14:textFill>
            <w14:solidFill>
              <w14:schemeClr w14:val="tx1"/>
            </w14:solidFill>
          </w14:textFill>
        </w:rPr>
        <w:t>一、报价人须知：</w:t>
      </w:r>
    </w:p>
    <w:p w14:paraId="1819344B">
      <w:pPr>
        <w:keepNext w:val="0"/>
        <w:keepLines w:val="0"/>
        <w:pageBreakBefore w:val="0"/>
        <w:widowControl w:val="0"/>
        <w:numPr>
          <w:ilvl w:val="0"/>
          <w:numId w:val="2"/>
        </w:numPr>
        <w:kinsoku/>
        <w:wordWrap/>
        <w:overflowPunct/>
        <w:topLinePunct w:val="0"/>
        <w:autoSpaceDE/>
        <w:autoSpaceDN/>
        <w:bidi w:val="0"/>
        <w:adjustRightInd w:val="0"/>
        <w:snapToGrid w:val="0"/>
        <w:spacing w:line="420" w:lineRule="exact"/>
        <w:ind w:left="0" w:leftChars="0" w:firstLine="480" w:firstLineChars="200"/>
        <w:textAlignment w:val="auto"/>
        <w:rPr>
          <w:rFonts w:hint="eastAsia" w:ascii="宋体" w:hAnsi="宋体" w:eastAsia="宋体" w:cs="Times New Roman"/>
          <w:color w:val="000000" w:themeColor="text1"/>
          <w:sz w:val="24"/>
          <w:szCs w:val="24"/>
          <w:highlight w:val="none"/>
          <w:lang w:val="en-US" w:eastAsia="zh-CN"/>
          <w14:textFill>
            <w14:solidFill>
              <w14:schemeClr w14:val="tx1"/>
            </w14:solidFill>
          </w14:textFill>
        </w:rPr>
      </w:pPr>
      <w:r>
        <w:rPr>
          <w:rFonts w:hint="eastAsia" w:ascii="宋体" w:hAnsi="宋体" w:eastAsia="宋体" w:cs="Times New Roman"/>
          <w:color w:val="000000" w:themeColor="text1"/>
          <w:sz w:val="24"/>
          <w:szCs w:val="24"/>
          <w:highlight w:val="none"/>
          <w:lang w:val="en-US" w:eastAsia="zh-CN"/>
          <w14:textFill>
            <w14:solidFill>
              <w14:schemeClr w14:val="tx1"/>
            </w14:solidFill>
          </w14:textFill>
        </w:rPr>
        <w:t>应按工程量清单及其计价格式规定的内容进行编制、填写、签字、盖章。</w:t>
      </w:r>
    </w:p>
    <w:p w14:paraId="21A2075D">
      <w:pPr>
        <w:keepNext w:val="0"/>
        <w:keepLines w:val="0"/>
        <w:pageBreakBefore w:val="0"/>
        <w:widowControl w:val="0"/>
        <w:numPr>
          <w:ilvl w:val="0"/>
          <w:numId w:val="2"/>
        </w:numPr>
        <w:kinsoku/>
        <w:wordWrap/>
        <w:overflowPunct/>
        <w:topLinePunct w:val="0"/>
        <w:autoSpaceDE/>
        <w:autoSpaceDN/>
        <w:bidi w:val="0"/>
        <w:adjustRightInd w:val="0"/>
        <w:snapToGrid w:val="0"/>
        <w:spacing w:line="420" w:lineRule="exact"/>
        <w:ind w:left="0" w:leftChars="0" w:firstLine="480" w:firstLineChars="200"/>
        <w:textAlignment w:val="auto"/>
        <w:rPr>
          <w:rFonts w:hint="eastAsia" w:ascii="宋体" w:hAnsi="宋体" w:eastAsia="宋体" w:cs="Times New Roman"/>
          <w:color w:val="000000" w:themeColor="text1"/>
          <w:sz w:val="24"/>
          <w:szCs w:val="24"/>
          <w:highlight w:val="none"/>
          <w:lang w:val="en-US" w:eastAsia="zh-CN"/>
          <w14:textFill>
            <w14:solidFill>
              <w14:schemeClr w14:val="tx1"/>
            </w14:solidFill>
          </w14:textFill>
        </w:rPr>
      </w:pPr>
      <w:r>
        <w:rPr>
          <w:rFonts w:hint="eastAsia" w:ascii="宋体" w:hAnsi="宋体" w:eastAsia="宋体" w:cs="Times New Roman"/>
          <w:color w:val="000000" w:themeColor="text1"/>
          <w:sz w:val="24"/>
          <w:szCs w:val="24"/>
          <w:highlight w:val="none"/>
          <w:lang w:val="en-US" w:eastAsia="zh-CN"/>
          <w14:textFill>
            <w14:solidFill>
              <w14:schemeClr w14:val="tx1"/>
            </w14:solidFill>
          </w14:textFill>
        </w:rPr>
        <w:t>工程量清单及其计价格式中的任何内容不得随意删除或涂改。</w:t>
      </w:r>
    </w:p>
    <w:p w14:paraId="09E05AB9">
      <w:pPr>
        <w:keepNext w:val="0"/>
        <w:keepLines w:val="0"/>
        <w:pageBreakBefore w:val="0"/>
        <w:widowControl w:val="0"/>
        <w:numPr>
          <w:ilvl w:val="0"/>
          <w:numId w:val="2"/>
        </w:numPr>
        <w:kinsoku/>
        <w:wordWrap/>
        <w:overflowPunct/>
        <w:topLinePunct w:val="0"/>
        <w:autoSpaceDE/>
        <w:autoSpaceDN/>
        <w:bidi w:val="0"/>
        <w:adjustRightInd w:val="0"/>
        <w:snapToGrid w:val="0"/>
        <w:spacing w:line="420" w:lineRule="exact"/>
        <w:ind w:left="0" w:leftChars="0" w:firstLine="480" w:firstLineChars="200"/>
        <w:textAlignment w:val="auto"/>
        <w:rPr>
          <w:rFonts w:hint="eastAsia" w:ascii="宋体" w:hAnsi="宋体" w:eastAsia="宋体" w:cs="Times New Roman"/>
          <w:color w:val="000000" w:themeColor="text1"/>
          <w:sz w:val="24"/>
          <w:szCs w:val="24"/>
          <w:highlight w:val="none"/>
          <w:lang w:val="en-US" w:eastAsia="zh-CN"/>
          <w14:textFill>
            <w14:solidFill>
              <w14:schemeClr w14:val="tx1"/>
            </w14:solidFill>
          </w14:textFill>
        </w:rPr>
      </w:pPr>
      <w:r>
        <w:rPr>
          <w:rFonts w:hint="eastAsia" w:ascii="宋体" w:hAnsi="宋体" w:eastAsia="宋体" w:cs="Times New Roman"/>
          <w:color w:val="000000" w:themeColor="text1"/>
          <w:sz w:val="24"/>
          <w:szCs w:val="24"/>
          <w:highlight w:val="none"/>
          <w:lang w:val="en-US" w:eastAsia="zh-CN"/>
          <w14:textFill>
            <w14:solidFill>
              <w14:schemeClr w14:val="tx1"/>
            </w14:solidFill>
          </w14:textFill>
        </w:rPr>
        <w:t>工程量清单计价格式中列明的所有需要填报的单价和合价，投标单位均应填报，未填报的单价和合价，视为此项费用已包含在工程量清单的其他单价和合价内。</w:t>
      </w:r>
    </w:p>
    <w:p w14:paraId="5F32585F">
      <w:pPr>
        <w:keepNext w:val="0"/>
        <w:keepLines w:val="0"/>
        <w:pageBreakBefore w:val="0"/>
        <w:widowControl w:val="0"/>
        <w:numPr>
          <w:ilvl w:val="0"/>
          <w:numId w:val="2"/>
        </w:numPr>
        <w:kinsoku/>
        <w:wordWrap/>
        <w:overflowPunct/>
        <w:topLinePunct w:val="0"/>
        <w:autoSpaceDE/>
        <w:autoSpaceDN/>
        <w:bidi w:val="0"/>
        <w:adjustRightInd w:val="0"/>
        <w:snapToGrid w:val="0"/>
        <w:spacing w:line="420" w:lineRule="exact"/>
        <w:ind w:left="0" w:leftChars="0" w:firstLine="480" w:firstLineChars="200"/>
        <w:textAlignment w:val="auto"/>
        <w:rPr>
          <w:rFonts w:hint="eastAsia" w:ascii="宋体" w:hAnsi="宋体" w:eastAsia="宋体" w:cs="Times New Roman"/>
          <w:color w:val="000000" w:themeColor="text1"/>
          <w:sz w:val="24"/>
          <w:szCs w:val="24"/>
          <w:highlight w:val="none"/>
          <w:lang w:val="en-US" w:eastAsia="zh-CN"/>
          <w14:textFill>
            <w14:solidFill>
              <w14:schemeClr w14:val="tx1"/>
            </w14:solidFill>
          </w14:textFill>
        </w:rPr>
      </w:pPr>
      <w:r>
        <w:rPr>
          <w:rFonts w:hint="eastAsia" w:ascii="宋体" w:hAnsi="宋体" w:eastAsia="宋体" w:cs="Times New Roman"/>
          <w:color w:val="000000" w:themeColor="text1"/>
          <w:sz w:val="24"/>
          <w:szCs w:val="24"/>
          <w:highlight w:val="none"/>
          <w:lang w:val="en-US" w:eastAsia="zh-CN"/>
          <w14:textFill>
            <w14:solidFill>
              <w14:schemeClr w14:val="tx1"/>
            </w14:solidFill>
          </w14:textFill>
        </w:rPr>
        <w:t>金额（价格）均以人民币表示。</w:t>
      </w:r>
    </w:p>
    <w:p w14:paraId="271F0811">
      <w:pPr>
        <w:keepNext w:val="0"/>
        <w:keepLines w:val="0"/>
        <w:pageBreakBefore w:val="0"/>
        <w:widowControl w:val="0"/>
        <w:kinsoku/>
        <w:wordWrap/>
        <w:overflowPunct/>
        <w:topLinePunct w:val="0"/>
        <w:autoSpaceDE/>
        <w:autoSpaceDN/>
        <w:bidi w:val="0"/>
        <w:adjustRightInd w:val="0"/>
        <w:snapToGrid w:val="0"/>
        <w:spacing w:line="420" w:lineRule="exact"/>
        <w:ind w:left="0" w:leftChars="0" w:firstLine="480" w:firstLineChars="200"/>
        <w:jc w:val="left"/>
        <w:textAlignment w:val="auto"/>
        <w:rPr>
          <w:rFonts w:hint="eastAsia" w:ascii="宋体" w:hAnsi="宋体" w:eastAsia="宋体" w:cs="Times New Roman"/>
          <w:color w:val="000000" w:themeColor="text1"/>
          <w:sz w:val="24"/>
          <w:szCs w:val="24"/>
          <w:highlight w:val="none"/>
          <w14:textFill>
            <w14:solidFill>
              <w14:schemeClr w14:val="tx1"/>
            </w14:solidFill>
          </w14:textFill>
        </w:rPr>
      </w:pPr>
      <w:r>
        <w:rPr>
          <w:rFonts w:hint="eastAsia" w:ascii="宋体" w:hAnsi="宋体" w:eastAsia="宋体" w:cs="Times New Roman"/>
          <w:color w:val="000000" w:themeColor="text1"/>
          <w:sz w:val="24"/>
          <w:szCs w:val="24"/>
          <w:highlight w:val="none"/>
          <w14:textFill>
            <w14:solidFill>
              <w14:schemeClr w14:val="tx1"/>
            </w14:solidFill>
          </w14:textFill>
        </w:rPr>
        <w:t>二、工程名称：</w:t>
      </w:r>
      <w:r>
        <w:rPr>
          <w:rFonts w:hint="eastAsia" w:ascii="宋体" w:hAnsi="宋体" w:eastAsia="宋体" w:cs="宋体"/>
          <w:color w:val="000000" w:themeColor="text1"/>
          <w:sz w:val="24"/>
          <w:szCs w:val="24"/>
          <w:highlight w:val="none"/>
          <w:lang w:eastAsia="zh-CN"/>
          <w14:textFill>
            <w14:solidFill>
              <w14:schemeClr w14:val="tx1"/>
            </w14:solidFill>
          </w14:textFill>
        </w:rPr>
        <w:t>乳山市2024年小型水库维修养护项目</w:t>
      </w:r>
      <w:r>
        <w:rPr>
          <w:rFonts w:hint="eastAsia" w:ascii="宋体" w:hAnsi="宋体" w:eastAsia="宋体" w:cs="Times New Roman"/>
          <w:color w:val="000000" w:themeColor="text1"/>
          <w:sz w:val="24"/>
          <w:szCs w:val="24"/>
          <w:highlight w:val="none"/>
          <w:lang w:val="en-US" w:eastAsia="zh-CN"/>
          <w14:textFill>
            <w14:solidFill>
              <w14:schemeClr w14:val="tx1"/>
            </w14:solidFill>
          </w14:textFill>
        </w:rPr>
        <w:t>。</w:t>
      </w:r>
      <w:r>
        <w:rPr>
          <w:rFonts w:hint="eastAsia" w:ascii="宋体" w:hAnsi="宋体" w:eastAsia="宋体" w:cs="Times New Roman"/>
          <w:color w:val="000000" w:themeColor="text1"/>
          <w:sz w:val="24"/>
          <w:szCs w:val="24"/>
          <w:highlight w:val="none"/>
          <w14:textFill>
            <w14:solidFill>
              <w14:schemeClr w14:val="tx1"/>
            </w14:solidFill>
          </w14:textFill>
        </w:rPr>
        <w:t xml:space="preserve"> </w:t>
      </w:r>
    </w:p>
    <w:p w14:paraId="422DE9F2">
      <w:pPr>
        <w:keepNext w:val="0"/>
        <w:keepLines w:val="0"/>
        <w:widowControl/>
        <w:suppressLineNumbers w:val="0"/>
        <w:spacing w:before="0" w:beforeAutospacing="0" w:after="0" w:afterAutospacing="0" w:line="420" w:lineRule="exact"/>
        <w:ind w:left="0" w:right="0" w:firstLine="480" w:firstLineChars="200"/>
        <w:jc w:val="left"/>
        <w:rPr>
          <w:rFonts w:hint="eastAsia" w:ascii="仿宋" w:hAnsi="仿宋" w:eastAsia="仿宋" w:cs="仿宋"/>
          <w:color w:val="000000" w:themeColor="text1"/>
          <w:kern w:val="0"/>
          <w:sz w:val="24"/>
          <w:szCs w:val="24"/>
          <w:highlight w:val="none"/>
          <w:lang w:val="en-US" w:eastAsia="zh-CN" w:bidi="ar"/>
          <w14:textFill>
            <w14:solidFill>
              <w14:schemeClr w14:val="tx1"/>
            </w14:solidFill>
          </w14:textFill>
        </w:rPr>
      </w:pPr>
      <w:r>
        <w:rPr>
          <w:rFonts w:hint="eastAsia" w:ascii="宋体" w:hAnsi="宋体" w:eastAsia="宋体" w:cs="Times New Roman"/>
          <w:color w:val="000000" w:themeColor="text1"/>
          <w:kern w:val="0"/>
          <w:sz w:val="24"/>
          <w:szCs w:val="24"/>
          <w:highlight w:val="none"/>
          <w:lang w:val="en-US" w:eastAsia="zh-CN" w:bidi="ar"/>
          <w14:textFill>
            <w14:solidFill>
              <w14:schemeClr w14:val="tx1"/>
            </w14:solidFill>
          </w14:textFill>
        </w:rPr>
        <w:t>三、工程概况：本工程涉及乳山市14个乡镇、维修各类型水库共50座。包括浇筑混凝土路面29950.00平方米，砌筑各类型毛石砌体313.50立方米，新建防汛桥1座、新建太阳能发电、原阀门更换等。</w:t>
      </w:r>
    </w:p>
    <w:p w14:paraId="1C0752B5">
      <w:pPr>
        <w:keepNext w:val="0"/>
        <w:keepLines w:val="0"/>
        <w:pageBreakBefore w:val="0"/>
        <w:widowControl w:val="0"/>
        <w:numPr>
          <w:ilvl w:val="0"/>
          <w:numId w:val="0"/>
        </w:numPr>
        <w:tabs>
          <w:tab w:val="left" w:pos="0"/>
        </w:tabs>
        <w:kinsoku/>
        <w:wordWrap/>
        <w:overflowPunct/>
        <w:topLinePunct w:val="0"/>
        <w:autoSpaceDE/>
        <w:autoSpaceDN/>
        <w:bidi w:val="0"/>
        <w:adjustRightInd w:val="0"/>
        <w:snapToGrid w:val="0"/>
        <w:spacing w:line="420" w:lineRule="exact"/>
        <w:ind w:left="0" w:leftChars="0" w:firstLine="480" w:firstLineChars="200"/>
        <w:textAlignment w:val="auto"/>
        <w:rPr>
          <w:rFonts w:hint="eastAsia" w:ascii="宋体" w:hAnsi="宋体" w:eastAsia="宋体" w:cs="Times New Roman"/>
          <w:color w:val="000000" w:themeColor="text1"/>
          <w:sz w:val="24"/>
          <w:szCs w:val="24"/>
          <w:highlight w:val="none"/>
          <w:lang w:val="en-US" w:eastAsia="zh-CN"/>
          <w14:textFill>
            <w14:solidFill>
              <w14:schemeClr w14:val="tx1"/>
            </w14:solidFill>
          </w14:textFill>
        </w:rPr>
      </w:pPr>
      <w:r>
        <w:rPr>
          <w:rFonts w:hint="eastAsia" w:ascii="宋体" w:hAnsi="宋体" w:eastAsia="宋体" w:cs="Times New Roman"/>
          <w:color w:val="000000" w:themeColor="text1"/>
          <w:sz w:val="24"/>
          <w:szCs w:val="24"/>
          <w:highlight w:val="none"/>
          <w:lang w:val="en-US" w:eastAsia="zh-CN"/>
          <w14:textFill>
            <w14:solidFill>
              <w14:schemeClr w14:val="tx1"/>
            </w14:solidFill>
          </w14:textFill>
        </w:rPr>
        <w:t>四、工程招标范围：设计图纸范围内维修各类型水库，浇筑混凝土路面，砌筑各类型毛石砌体，新建防汛桥、新建太阳能发电、原阀门更换等。</w:t>
      </w:r>
    </w:p>
    <w:p w14:paraId="541EEAF6">
      <w:pPr>
        <w:keepNext w:val="0"/>
        <w:keepLines w:val="0"/>
        <w:pageBreakBefore w:val="0"/>
        <w:widowControl w:val="0"/>
        <w:kinsoku/>
        <w:wordWrap/>
        <w:overflowPunct/>
        <w:topLinePunct w:val="0"/>
        <w:autoSpaceDE/>
        <w:autoSpaceDN/>
        <w:bidi w:val="0"/>
        <w:adjustRightInd w:val="0"/>
        <w:snapToGrid w:val="0"/>
        <w:spacing w:line="420" w:lineRule="atLeast"/>
        <w:ind w:left="0" w:leftChars="0" w:firstLine="480" w:firstLineChars="200"/>
        <w:jc w:val="left"/>
        <w:textAlignment w:val="auto"/>
        <w:rPr>
          <w:rFonts w:hint="eastAsia" w:ascii="宋体" w:hAnsi="宋体" w:eastAsia="宋体" w:cs="宋体"/>
          <w:color w:val="000000" w:themeColor="text1"/>
          <w:sz w:val="24"/>
          <w:szCs w:val="24"/>
          <w:highlight w:val="none"/>
          <w14:textFill>
            <w14:solidFill>
              <w14:schemeClr w14:val="tx1"/>
            </w14:solidFill>
          </w14:textFill>
        </w:rPr>
      </w:pPr>
      <w:r>
        <w:rPr>
          <w:rFonts w:hint="eastAsia" w:ascii="宋体" w:hAnsi="宋体" w:eastAsia="宋体" w:cs="Times New Roman"/>
          <w:color w:val="000000" w:themeColor="text1"/>
          <w:sz w:val="24"/>
          <w:szCs w:val="24"/>
          <w:highlight w:val="none"/>
          <w:lang w:val="en-US" w:eastAsia="zh-CN"/>
          <w14:textFill>
            <w14:solidFill>
              <w14:schemeClr w14:val="tx1"/>
            </w14:solidFill>
          </w14:textFill>
        </w:rPr>
        <w:t>具体内容以工程量清单为准。</w:t>
      </w:r>
    </w:p>
    <w:p w14:paraId="0DAC7AF4">
      <w:pPr>
        <w:keepNext w:val="0"/>
        <w:keepLines w:val="0"/>
        <w:pageBreakBefore w:val="0"/>
        <w:widowControl w:val="0"/>
        <w:kinsoku/>
        <w:wordWrap/>
        <w:overflowPunct/>
        <w:topLinePunct w:val="0"/>
        <w:autoSpaceDE/>
        <w:autoSpaceDN/>
        <w:bidi w:val="0"/>
        <w:adjustRightInd w:val="0"/>
        <w:snapToGrid w:val="0"/>
        <w:spacing w:line="420" w:lineRule="atLeast"/>
        <w:ind w:left="0" w:leftChars="0" w:firstLine="480" w:firstLineChars="200"/>
        <w:jc w:val="left"/>
        <w:textAlignment w:val="auto"/>
        <w:rPr>
          <w:rFonts w:hint="eastAsia" w:ascii="宋体" w:hAnsi="宋体" w:eastAsia="宋体" w:cs="宋体"/>
          <w:color w:val="000000" w:themeColor="text1"/>
          <w:sz w:val="24"/>
          <w:szCs w:val="24"/>
          <w:highlight w:val="none"/>
          <w14:textFill>
            <w14:solidFill>
              <w14:schemeClr w14:val="tx1"/>
            </w14:solidFill>
          </w14:textFill>
        </w:rPr>
      </w:pPr>
      <w:r>
        <w:rPr>
          <w:rFonts w:hint="eastAsia" w:ascii="宋体" w:hAnsi="宋体" w:eastAsia="宋体" w:cs="宋体"/>
          <w:color w:val="000000" w:themeColor="text1"/>
          <w:sz w:val="24"/>
          <w:szCs w:val="24"/>
          <w:highlight w:val="none"/>
          <w14:textFill>
            <w14:solidFill>
              <w14:schemeClr w14:val="tx1"/>
            </w14:solidFill>
          </w14:textFill>
        </w:rPr>
        <w:t>五、工程质量：达到国家验收规范合格标准。</w:t>
      </w:r>
    </w:p>
    <w:p w14:paraId="3C2ED2A4">
      <w:pPr>
        <w:keepNext w:val="0"/>
        <w:keepLines w:val="0"/>
        <w:pageBreakBefore w:val="0"/>
        <w:widowControl w:val="0"/>
        <w:kinsoku/>
        <w:wordWrap/>
        <w:overflowPunct/>
        <w:topLinePunct w:val="0"/>
        <w:autoSpaceDE/>
        <w:autoSpaceDN/>
        <w:bidi w:val="0"/>
        <w:adjustRightInd w:val="0"/>
        <w:snapToGrid w:val="0"/>
        <w:spacing w:line="420" w:lineRule="atLeast"/>
        <w:ind w:left="0" w:leftChars="0" w:firstLine="480" w:firstLineChars="200"/>
        <w:jc w:val="left"/>
        <w:textAlignment w:val="auto"/>
        <w:rPr>
          <w:rFonts w:hint="eastAsia" w:ascii="宋体" w:hAnsi="宋体" w:eastAsia="宋体" w:cs="宋体"/>
          <w:color w:val="000000" w:themeColor="text1"/>
          <w:sz w:val="24"/>
          <w:szCs w:val="24"/>
          <w:highlight w:val="none"/>
          <w14:textFill>
            <w14:solidFill>
              <w14:schemeClr w14:val="tx1"/>
            </w14:solidFill>
          </w14:textFill>
        </w:rPr>
      </w:pPr>
      <w:r>
        <w:rPr>
          <w:rFonts w:hint="eastAsia" w:ascii="宋体" w:hAnsi="宋体" w:eastAsia="宋体" w:cs="宋体"/>
          <w:color w:val="000000" w:themeColor="text1"/>
          <w:sz w:val="24"/>
          <w:szCs w:val="24"/>
          <w:highlight w:val="none"/>
          <w14:textFill>
            <w14:solidFill>
              <w14:schemeClr w14:val="tx1"/>
            </w14:solidFill>
          </w14:textFill>
        </w:rPr>
        <w:t>六、编制依据：</w:t>
      </w:r>
    </w:p>
    <w:p w14:paraId="0B27161D">
      <w:pPr>
        <w:keepNext w:val="0"/>
        <w:keepLines w:val="0"/>
        <w:pageBreakBefore w:val="0"/>
        <w:widowControl w:val="0"/>
        <w:numPr>
          <w:ilvl w:val="0"/>
          <w:numId w:val="3"/>
        </w:numPr>
        <w:kinsoku/>
        <w:wordWrap/>
        <w:overflowPunct/>
        <w:topLinePunct w:val="0"/>
        <w:autoSpaceDE/>
        <w:autoSpaceDN/>
        <w:bidi w:val="0"/>
        <w:adjustRightInd w:val="0"/>
        <w:snapToGrid w:val="0"/>
        <w:spacing w:line="420" w:lineRule="atLeast"/>
        <w:ind w:left="0" w:leftChars="0" w:firstLine="480" w:firstLineChars="200"/>
        <w:textAlignment w:val="auto"/>
        <w:rPr>
          <w:rFonts w:hint="eastAsia" w:ascii="宋体" w:hAnsi="宋体" w:eastAsia="宋体" w:cs="Times New Roman"/>
          <w:color w:val="000000" w:themeColor="text1"/>
          <w:sz w:val="24"/>
          <w:szCs w:val="24"/>
          <w:highlight w:val="none"/>
          <w:lang w:val="en-US" w:eastAsia="zh-CN"/>
          <w14:textFill>
            <w14:solidFill>
              <w14:schemeClr w14:val="tx1"/>
            </w14:solidFill>
          </w14:textFill>
        </w:rPr>
      </w:pPr>
      <w:r>
        <w:rPr>
          <w:rFonts w:hint="eastAsia" w:ascii="宋体" w:hAnsi="宋体" w:eastAsia="宋体" w:cs="Times New Roman"/>
          <w:color w:val="000000" w:themeColor="text1"/>
          <w:sz w:val="24"/>
          <w:szCs w:val="24"/>
          <w:highlight w:val="none"/>
          <w:lang w:val="en-US" w:eastAsia="zh-CN"/>
          <w14:textFill>
            <w14:solidFill>
              <w14:schemeClr w14:val="tx1"/>
            </w14:solidFill>
          </w14:textFill>
        </w:rPr>
        <w:t>《山东省建设工程费用项目组成及计算规则》（2022版）及其最新发布的配套文件。</w:t>
      </w:r>
    </w:p>
    <w:p w14:paraId="450F3942">
      <w:pPr>
        <w:keepNext w:val="0"/>
        <w:keepLines w:val="0"/>
        <w:pageBreakBefore w:val="0"/>
        <w:widowControl w:val="0"/>
        <w:numPr>
          <w:ilvl w:val="0"/>
          <w:numId w:val="3"/>
        </w:numPr>
        <w:kinsoku/>
        <w:wordWrap/>
        <w:overflowPunct/>
        <w:topLinePunct w:val="0"/>
        <w:autoSpaceDE/>
        <w:autoSpaceDN/>
        <w:bidi w:val="0"/>
        <w:adjustRightInd w:val="0"/>
        <w:snapToGrid w:val="0"/>
        <w:spacing w:line="420" w:lineRule="atLeast"/>
        <w:ind w:left="0" w:leftChars="0" w:firstLine="480" w:firstLineChars="200"/>
        <w:textAlignment w:val="auto"/>
        <w:rPr>
          <w:rFonts w:hint="eastAsia" w:ascii="宋体" w:hAnsi="宋体" w:eastAsia="宋体" w:cs="Times New Roman"/>
          <w:color w:val="000000" w:themeColor="text1"/>
          <w:sz w:val="24"/>
          <w:szCs w:val="24"/>
          <w:highlight w:val="none"/>
          <w:lang w:val="en-US" w:eastAsia="zh-CN"/>
          <w14:textFill>
            <w14:solidFill>
              <w14:schemeClr w14:val="tx1"/>
            </w14:solidFill>
          </w14:textFill>
        </w:rPr>
      </w:pPr>
      <w:r>
        <w:rPr>
          <w:rFonts w:hint="eastAsia" w:ascii="宋体" w:hAnsi="宋体" w:eastAsia="宋体" w:cs="Times New Roman"/>
          <w:color w:val="000000" w:themeColor="text1"/>
          <w:sz w:val="24"/>
          <w:szCs w:val="24"/>
          <w:highlight w:val="none"/>
          <w:lang w:val="en-US" w:eastAsia="zh-CN"/>
          <w14:textFill>
            <w14:solidFill>
              <w14:schemeClr w14:val="tx1"/>
            </w14:solidFill>
          </w14:textFill>
        </w:rPr>
        <w:t>国家或省级、行业建设主管部门颁发的计价定额、计价办法和有关规定。</w:t>
      </w:r>
    </w:p>
    <w:p w14:paraId="653B85B3">
      <w:pPr>
        <w:keepNext w:val="0"/>
        <w:keepLines w:val="0"/>
        <w:pageBreakBefore w:val="0"/>
        <w:widowControl w:val="0"/>
        <w:numPr>
          <w:ilvl w:val="0"/>
          <w:numId w:val="3"/>
        </w:numPr>
        <w:kinsoku/>
        <w:wordWrap/>
        <w:overflowPunct/>
        <w:topLinePunct w:val="0"/>
        <w:autoSpaceDE/>
        <w:autoSpaceDN/>
        <w:bidi w:val="0"/>
        <w:adjustRightInd w:val="0"/>
        <w:snapToGrid w:val="0"/>
        <w:spacing w:line="420" w:lineRule="atLeast"/>
        <w:ind w:left="0" w:leftChars="0" w:firstLine="480" w:firstLineChars="200"/>
        <w:textAlignment w:val="auto"/>
        <w:rPr>
          <w:rFonts w:hint="eastAsia" w:ascii="宋体" w:hAnsi="宋体" w:eastAsia="宋体" w:cs="Times New Roman"/>
          <w:color w:val="000000" w:themeColor="text1"/>
          <w:sz w:val="24"/>
          <w:szCs w:val="24"/>
          <w:highlight w:val="none"/>
          <w:lang w:val="en-US" w:eastAsia="zh-CN"/>
          <w14:textFill>
            <w14:solidFill>
              <w14:schemeClr w14:val="tx1"/>
            </w14:solidFill>
          </w14:textFill>
        </w:rPr>
      </w:pPr>
      <w:r>
        <w:rPr>
          <w:rFonts w:hint="eastAsia" w:ascii="宋体" w:hAnsi="宋体" w:eastAsia="宋体" w:cs="Times New Roman"/>
          <w:color w:val="000000" w:themeColor="text1"/>
          <w:sz w:val="24"/>
          <w:szCs w:val="24"/>
          <w:highlight w:val="none"/>
          <w:lang w:val="en-US" w:eastAsia="zh-CN"/>
          <w14:textFill>
            <w14:solidFill>
              <w14:schemeClr w14:val="tx1"/>
            </w14:solidFill>
          </w14:textFill>
        </w:rPr>
        <w:t>工程项目设计文件、问题答疑等相关资料。</w:t>
      </w:r>
    </w:p>
    <w:p w14:paraId="10F05511">
      <w:pPr>
        <w:keepNext w:val="0"/>
        <w:keepLines w:val="0"/>
        <w:pageBreakBefore w:val="0"/>
        <w:widowControl w:val="0"/>
        <w:numPr>
          <w:ilvl w:val="0"/>
          <w:numId w:val="3"/>
        </w:numPr>
        <w:kinsoku/>
        <w:wordWrap/>
        <w:overflowPunct/>
        <w:topLinePunct w:val="0"/>
        <w:autoSpaceDE/>
        <w:autoSpaceDN/>
        <w:bidi w:val="0"/>
        <w:adjustRightInd w:val="0"/>
        <w:snapToGrid w:val="0"/>
        <w:spacing w:line="420" w:lineRule="atLeast"/>
        <w:ind w:left="0" w:leftChars="0" w:firstLine="480" w:firstLineChars="200"/>
        <w:textAlignment w:val="auto"/>
        <w:rPr>
          <w:rFonts w:hint="eastAsia" w:ascii="宋体" w:hAnsi="宋体" w:eastAsia="宋体" w:cs="Times New Roman"/>
          <w:color w:val="000000" w:themeColor="text1"/>
          <w:sz w:val="24"/>
          <w:szCs w:val="24"/>
          <w:highlight w:val="none"/>
          <w:lang w:val="en-US" w:eastAsia="zh-CN"/>
          <w14:textFill>
            <w14:solidFill>
              <w14:schemeClr w14:val="tx1"/>
            </w14:solidFill>
          </w14:textFill>
        </w:rPr>
      </w:pPr>
      <w:r>
        <w:rPr>
          <w:rFonts w:hint="eastAsia" w:ascii="宋体" w:hAnsi="宋体" w:eastAsia="宋体" w:cs="Times New Roman"/>
          <w:color w:val="000000" w:themeColor="text1"/>
          <w:sz w:val="24"/>
          <w:szCs w:val="24"/>
          <w:highlight w:val="none"/>
          <w:lang w:val="en-US" w:eastAsia="zh-CN"/>
          <w14:textFill>
            <w14:solidFill>
              <w14:schemeClr w14:val="tx1"/>
            </w14:solidFill>
          </w14:textFill>
        </w:rPr>
        <w:t>与工程项目相关的标准设计图集、规范、技术资料等。</w:t>
      </w:r>
    </w:p>
    <w:p w14:paraId="30BAF0E6">
      <w:pPr>
        <w:keepNext w:val="0"/>
        <w:keepLines w:val="0"/>
        <w:pageBreakBefore w:val="0"/>
        <w:widowControl w:val="0"/>
        <w:numPr>
          <w:ilvl w:val="0"/>
          <w:numId w:val="3"/>
        </w:numPr>
        <w:kinsoku/>
        <w:wordWrap/>
        <w:overflowPunct/>
        <w:topLinePunct w:val="0"/>
        <w:autoSpaceDE/>
        <w:autoSpaceDN/>
        <w:bidi w:val="0"/>
        <w:adjustRightInd w:val="0"/>
        <w:snapToGrid w:val="0"/>
        <w:spacing w:line="420" w:lineRule="atLeast"/>
        <w:ind w:left="0" w:leftChars="0" w:firstLine="480" w:firstLineChars="200"/>
        <w:textAlignment w:val="auto"/>
        <w:rPr>
          <w:rFonts w:hint="eastAsia" w:ascii="宋体" w:hAnsi="宋体" w:eastAsia="宋体" w:cs="Times New Roman"/>
          <w:color w:val="000000" w:themeColor="text1"/>
          <w:sz w:val="24"/>
          <w:szCs w:val="24"/>
          <w:highlight w:val="none"/>
          <w:lang w:val="en-US" w:eastAsia="zh-CN"/>
          <w14:textFill>
            <w14:solidFill>
              <w14:schemeClr w14:val="tx1"/>
            </w14:solidFill>
          </w14:textFill>
        </w:rPr>
      </w:pPr>
      <w:r>
        <w:rPr>
          <w:rFonts w:hint="eastAsia" w:ascii="宋体" w:hAnsi="宋体" w:eastAsia="宋体" w:cs="Times New Roman"/>
          <w:color w:val="000000" w:themeColor="text1"/>
          <w:sz w:val="24"/>
          <w:szCs w:val="24"/>
          <w:highlight w:val="none"/>
          <w:lang w:val="en-US" w:eastAsia="zh-CN"/>
          <w14:textFill>
            <w14:solidFill>
              <w14:schemeClr w14:val="tx1"/>
            </w14:solidFill>
          </w14:textFill>
        </w:rPr>
        <w:t>已拟定的招标文件资料等。</w:t>
      </w:r>
    </w:p>
    <w:p w14:paraId="25B3329D">
      <w:pPr>
        <w:keepNext w:val="0"/>
        <w:keepLines w:val="0"/>
        <w:pageBreakBefore w:val="0"/>
        <w:widowControl w:val="0"/>
        <w:numPr>
          <w:ilvl w:val="0"/>
          <w:numId w:val="3"/>
        </w:numPr>
        <w:kinsoku/>
        <w:wordWrap/>
        <w:overflowPunct/>
        <w:topLinePunct w:val="0"/>
        <w:autoSpaceDE/>
        <w:autoSpaceDN/>
        <w:bidi w:val="0"/>
        <w:adjustRightInd w:val="0"/>
        <w:snapToGrid w:val="0"/>
        <w:spacing w:line="420" w:lineRule="atLeast"/>
        <w:ind w:left="0" w:leftChars="0" w:firstLine="480" w:firstLineChars="200"/>
        <w:textAlignment w:val="auto"/>
        <w:rPr>
          <w:rFonts w:hint="eastAsia" w:ascii="宋体" w:hAnsi="宋体" w:eastAsia="宋体" w:cs="Times New Roman"/>
          <w:color w:val="000000" w:themeColor="text1"/>
          <w:sz w:val="24"/>
          <w:szCs w:val="24"/>
          <w:highlight w:val="none"/>
          <w:lang w:val="en-US" w:eastAsia="zh-CN"/>
          <w14:textFill>
            <w14:solidFill>
              <w14:schemeClr w14:val="tx1"/>
            </w14:solidFill>
          </w14:textFill>
        </w:rPr>
      </w:pPr>
      <w:r>
        <w:rPr>
          <w:rFonts w:hint="eastAsia" w:ascii="宋体" w:hAnsi="宋体" w:eastAsia="宋体" w:cs="Times New Roman"/>
          <w:color w:val="000000" w:themeColor="text1"/>
          <w:sz w:val="24"/>
          <w:szCs w:val="24"/>
          <w:highlight w:val="none"/>
          <w:lang w:val="en-US" w:eastAsia="zh-CN"/>
          <w14:textFill>
            <w14:solidFill>
              <w14:schemeClr w14:val="tx1"/>
            </w14:solidFill>
          </w14:textFill>
        </w:rPr>
        <w:t>项目现场情况、工程特点及常规施工方案等。</w:t>
      </w:r>
    </w:p>
    <w:p w14:paraId="36153197">
      <w:pPr>
        <w:keepNext w:val="0"/>
        <w:keepLines w:val="0"/>
        <w:pageBreakBefore w:val="0"/>
        <w:widowControl w:val="0"/>
        <w:numPr>
          <w:ilvl w:val="0"/>
          <w:numId w:val="4"/>
        </w:numPr>
        <w:kinsoku/>
        <w:wordWrap/>
        <w:overflowPunct/>
        <w:topLinePunct w:val="0"/>
        <w:autoSpaceDE/>
        <w:autoSpaceDN/>
        <w:bidi w:val="0"/>
        <w:adjustRightInd w:val="0"/>
        <w:snapToGrid w:val="0"/>
        <w:spacing w:line="420" w:lineRule="atLeast"/>
        <w:ind w:left="-60" w:leftChars="0" w:firstLine="480" w:firstLineChars="0"/>
        <w:textAlignment w:val="auto"/>
        <w:rPr>
          <w:rFonts w:hint="eastAsia" w:ascii="宋体" w:hAnsi="宋体" w:eastAsia="宋体"/>
          <w:color w:val="000000" w:themeColor="text1"/>
          <w:sz w:val="24"/>
          <w:szCs w:val="24"/>
          <w:highlight w:val="none"/>
          <w14:textFill>
            <w14:solidFill>
              <w14:schemeClr w14:val="tx1"/>
            </w14:solidFill>
          </w14:textFill>
        </w:rPr>
      </w:pPr>
      <w:r>
        <w:rPr>
          <w:rFonts w:hint="eastAsia" w:ascii="宋体" w:hAnsi="宋体" w:eastAsia="宋体"/>
          <w:color w:val="000000" w:themeColor="text1"/>
          <w:sz w:val="24"/>
          <w:szCs w:val="24"/>
          <w:highlight w:val="none"/>
          <w14:textFill>
            <w14:solidFill>
              <w14:schemeClr w14:val="tx1"/>
            </w14:solidFill>
          </w14:textFill>
        </w:rPr>
        <w:t>清单项目中凡注明“以下、以内、小于”字样者，均包括本身；注明“以上、以外、大于”字样者，均不包括本身。</w:t>
      </w:r>
    </w:p>
    <w:p w14:paraId="4F6A7FE9">
      <w:pPr>
        <w:keepNext w:val="0"/>
        <w:keepLines w:val="0"/>
        <w:pageBreakBefore w:val="0"/>
        <w:widowControl w:val="0"/>
        <w:numPr>
          <w:ilvl w:val="0"/>
          <w:numId w:val="4"/>
        </w:numPr>
        <w:kinsoku/>
        <w:wordWrap/>
        <w:overflowPunct/>
        <w:topLinePunct w:val="0"/>
        <w:autoSpaceDE/>
        <w:autoSpaceDN/>
        <w:bidi w:val="0"/>
        <w:adjustRightInd w:val="0"/>
        <w:snapToGrid w:val="0"/>
        <w:spacing w:line="400" w:lineRule="exact"/>
        <w:ind w:left="-60" w:leftChars="0" w:firstLine="480" w:firstLineChars="0"/>
        <w:jc w:val="left"/>
        <w:textAlignment w:val="auto"/>
        <w:rPr>
          <w:rFonts w:hint="eastAsia" w:ascii="宋体" w:hAnsi="宋体" w:eastAsia="宋体"/>
          <w:color w:val="000000" w:themeColor="text1"/>
          <w:sz w:val="24"/>
          <w:szCs w:val="24"/>
          <w:highlight w:val="none"/>
          <w14:textFill>
            <w14:solidFill>
              <w14:schemeClr w14:val="tx1"/>
            </w14:solidFill>
          </w14:textFill>
        </w:rPr>
      </w:pPr>
      <w:r>
        <w:rPr>
          <w:rFonts w:hint="eastAsia" w:ascii="宋体" w:hAnsi="宋体" w:eastAsia="宋体"/>
          <w:color w:val="000000" w:themeColor="text1"/>
          <w:sz w:val="24"/>
          <w:szCs w:val="24"/>
          <w:highlight w:val="none"/>
          <w14:textFill>
            <w14:solidFill>
              <w14:schemeClr w14:val="tx1"/>
            </w14:solidFill>
          </w14:textFill>
        </w:rPr>
        <w:t>投标单位参与投标视为已考察工程现场，对现场情况（包括工地位置情况、临设、道路、存贮空间、装运限制及任何其他影响报价的情况）已充分了解并预计，并能根据掌握的情况完成施工。现场原有工程的实际情况（包括与其他专业施工单位交接过程中的各种因素）视为在报价中已充分考虑，任何因忽视或误解工地情况而导致的索赔或工期延长将不被批准。</w:t>
      </w:r>
    </w:p>
    <w:p w14:paraId="1BA1627E">
      <w:pPr>
        <w:keepNext w:val="0"/>
        <w:keepLines w:val="0"/>
        <w:pageBreakBefore w:val="0"/>
        <w:widowControl w:val="0"/>
        <w:numPr>
          <w:ilvl w:val="0"/>
          <w:numId w:val="4"/>
        </w:numPr>
        <w:kinsoku/>
        <w:wordWrap/>
        <w:overflowPunct/>
        <w:topLinePunct w:val="0"/>
        <w:autoSpaceDE/>
        <w:autoSpaceDN/>
        <w:bidi w:val="0"/>
        <w:adjustRightInd w:val="0"/>
        <w:snapToGrid w:val="0"/>
        <w:spacing w:line="400" w:lineRule="exact"/>
        <w:ind w:left="-60" w:leftChars="0" w:firstLine="480" w:firstLineChars="0"/>
        <w:jc w:val="left"/>
        <w:textAlignment w:val="auto"/>
        <w:rPr>
          <w:rFonts w:hint="eastAsia" w:ascii="宋体" w:hAnsi="宋体" w:eastAsia="宋体"/>
          <w:color w:val="000000" w:themeColor="text1"/>
          <w:sz w:val="24"/>
          <w:szCs w:val="24"/>
          <w:highlight w:val="none"/>
          <w14:textFill>
            <w14:solidFill>
              <w14:schemeClr w14:val="tx1"/>
            </w14:solidFill>
          </w14:textFill>
        </w:rPr>
      </w:pPr>
      <w:r>
        <w:rPr>
          <w:rFonts w:hint="eastAsia" w:ascii="宋体" w:hAnsi="宋体" w:eastAsia="宋体"/>
          <w:color w:val="000000" w:themeColor="text1"/>
          <w:sz w:val="24"/>
          <w:szCs w:val="24"/>
          <w:highlight w:val="none"/>
          <w14:textFill>
            <w14:solidFill>
              <w14:schemeClr w14:val="tx1"/>
            </w14:solidFill>
          </w14:textFill>
        </w:rPr>
        <w:t>工程量清单中的项目特征描述为分部分项清单项目的</w:t>
      </w:r>
      <w:r>
        <w:rPr>
          <w:rFonts w:hint="eastAsia" w:ascii="宋体" w:hAnsi="宋体" w:eastAsia="宋体"/>
          <w:color w:val="000000" w:themeColor="text1"/>
          <w:sz w:val="24"/>
          <w:szCs w:val="24"/>
          <w:highlight w:val="none"/>
          <w:lang w:eastAsia="zh-CN"/>
          <w14:textFill>
            <w14:solidFill>
              <w14:schemeClr w14:val="tx1"/>
            </w14:solidFill>
          </w14:textFill>
        </w:rPr>
        <w:t>全部</w:t>
      </w:r>
      <w:r>
        <w:rPr>
          <w:rFonts w:hint="eastAsia" w:ascii="宋体" w:hAnsi="宋体" w:eastAsia="宋体"/>
          <w:color w:val="000000" w:themeColor="text1"/>
          <w:sz w:val="24"/>
          <w:szCs w:val="24"/>
          <w:highlight w:val="none"/>
          <w14:textFill>
            <w14:solidFill>
              <w14:schemeClr w14:val="tx1"/>
            </w14:solidFill>
          </w14:textFill>
        </w:rPr>
        <w:t>内容</w:t>
      </w:r>
      <w:r>
        <w:rPr>
          <w:rFonts w:hint="eastAsia" w:ascii="宋体" w:hAnsi="宋体" w:eastAsia="宋体"/>
          <w:color w:val="000000" w:themeColor="text1"/>
          <w:sz w:val="24"/>
          <w:szCs w:val="24"/>
          <w:highlight w:val="none"/>
          <w:lang w:eastAsia="zh-CN"/>
          <w14:textFill>
            <w14:solidFill>
              <w14:schemeClr w14:val="tx1"/>
            </w14:solidFill>
          </w14:textFill>
        </w:rPr>
        <w:t>，</w:t>
      </w:r>
      <w:r>
        <w:rPr>
          <w:rFonts w:hint="eastAsia" w:ascii="宋体" w:hAnsi="宋体" w:eastAsia="宋体"/>
          <w:color w:val="000000" w:themeColor="text1"/>
          <w:sz w:val="24"/>
          <w:szCs w:val="24"/>
          <w:highlight w:val="none"/>
          <w14:textFill>
            <w14:solidFill>
              <w14:schemeClr w14:val="tx1"/>
            </w14:solidFill>
          </w14:textFill>
        </w:rPr>
        <w:t>所有分部分项工程量清单均以完成该清单项目的所有内容为准考虑到综合报价中，若有未列全的其他内容由</w:t>
      </w:r>
      <w:r>
        <w:rPr>
          <w:rFonts w:hint="eastAsia" w:ascii="宋体" w:hAnsi="宋体" w:eastAsia="宋体"/>
          <w:color w:val="000000" w:themeColor="text1"/>
          <w:sz w:val="24"/>
          <w:szCs w:val="24"/>
          <w:highlight w:val="none"/>
          <w:lang w:eastAsia="zh-CN"/>
          <w14:textFill>
            <w14:solidFill>
              <w14:schemeClr w14:val="tx1"/>
            </w14:solidFill>
          </w14:textFill>
        </w:rPr>
        <w:t>投标单位</w:t>
      </w:r>
      <w:r>
        <w:rPr>
          <w:rFonts w:hint="eastAsia" w:ascii="宋体" w:hAnsi="宋体" w:eastAsia="宋体"/>
          <w:color w:val="000000" w:themeColor="text1"/>
          <w:sz w:val="24"/>
          <w:szCs w:val="24"/>
          <w:highlight w:val="none"/>
          <w14:textFill>
            <w14:solidFill>
              <w14:schemeClr w14:val="tx1"/>
            </w14:solidFill>
          </w14:textFill>
        </w:rPr>
        <w:t>按照招标文件、设计图纸、规范等资料要求综合考虑；设计及规范等资料未明确的由</w:t>
      </w:r>
      <w:r>
        <w:rPr>
          <w:rFonts w:hint="eastAsia" w:ascii="宋体" w:hAnsi="宋体" w:eastAsia="宋体"/>
          <w:color w:val="000000" w:themeColor="text1"/>
          <w:sz w:val="24"/>
          <w:szCs w:val="24"/>
          <w:highlight w:val="none"/>
          <w:lang w:eastAsia="zh-CN"/>
          <w14:textFill>
            <w14:solidFill>
              <w14:schemeClr w14:val="tx1"/>
            </w14:solidFill>
          </w14:textFill>
        </w:rPr>
        <w:t>投标单位</w:t>
      </w:r>
      <w:r>
        <w:rPr>
          <w:rFonts w:hint="eastAsia" w:ascii="宋体" w:hAnsi="宋体" w:eastAsia="宋体"/>
          <w:color w:val="000000" w:themeColor="text1"/>
          <w:sz w:val="24"/>
          <w:szCs w:val="24"/>
          <w:highlight w:val="none"/>
          <w14:textFill>
            <w14:solidFill>
              <w14:schemeClr w14:val="tx1"/>
            </w14:solidFill>
          </w14:textFill>
        </w:rPr>
        <w:t>书面提出</w:t>
      </w:r>
      <w:r>
        <w:rPr>
          <w:rFonts w:hint="eastAsia" w:ascii="宋体" w:hAnsi="宋体" w:eastAsia="宋体"/>
          <w:color w:val="000000" w:themeColor="text1"/>
          <w:sz w:val="24"/>
          <w:szCs w:val="24"/>
          <w:highlight w:val="none"/>
          <w:lang w:eastAsia="zh-CN"/>
          <w14:textFill>
            <w14:solidFill>
              <w14:schemeClr w14:val="tx1"/>
            </w14:solidFill>
          </w14:textFill>
        </w:rPr>
        <w:t>质疑</w:t>
      </w:r>
      <w:r>
        <w:rPr>
          <w:rFonts w:hint="eastAsia" w:ascii="宋体" w:hAnsi="宋体" w:eastAsia="宋体"/>
          <w:color w:val="000000" w:themeColor="text1"/>
          <w:sz w:val="24"/>
          <w:szCs w:val="24"/>
          <w:highlight w:val="none"/>
          <w14:textFill>
            <w14:solidFill>
              <w14:schemeClr w14:val="tx1"/>
            </w14:solidFill>
          </w14:textFill>
        </w:rPr>
        <w:t>，</w:t>
      </w:r>
      <w:r>
        <w:rPr>
          <w:rFonts w:hint="eastAsia" w:ascii="宋体" w:hAnsi="宋体" w:eastAsia="宋体"/>
          <w:color w:val="000000" w:themeColor="text1"/>
          <w:sz w:val="24"/>
          <w:szCs w:val="24"/>
          <w:highlight w:val="none"/>
          <w:lang w:eastAsia="zh-CN"/>
          <w14:textFill>
            <w14:solidFill>
              <w14:schemeClr w14:val="tx1"/>
            </w14:solidFill>
          </w14:textFill>
        </w:rPr>
        <w:t>以</w:t>
      </w:r>
      <w:r>
        <w:rPr>
          <w:rFonts w:hint="eastAsia" w:ascii="宋体" w:hAnsi="宋体" w:eastAsia="宋体"/>
          <w:color w:val="000000" w:themeColor="text1"/>
          <w:sz w:val="24"/>
          <w:szCs w:val="24"/>
          <w:highlight w:val="none"/>
          <w14:textFill>
            <w14:solidFill>
              <w14:schemeClr w14:val="tx1"/>
            </w14:solidFill>
          </w14:textFill>
        </w:rPr>
        <w:t>答疑</w:t>
      </w:r>
      <w:r>
        <w:rPr>
          <w:rFonts w:hint="eastAsia" w:ascii="宋体" w:hAnsi="宋体" w:eastAsia="宋体"/>
          <w:color w:val="000000" w:themeColor="text1"/>
          <w:sz w:val="24"/>
          <w:szCs w:val="24"/>
          <w:highlight w:val="none"/>
          <w:lang w:eastAsia="zh-CN"/>
          <w14:textFill>
            <w14:solidFill>
              <w14:schemeClr w14:val="tx1"/>
            </w14:solidFill>
          </w14:textFill>
        </w:rPr>
        <w:t>回复内容为准；认为清单或图纸描述不详、缺失或有误而未进行书面质疑的，结算时要求签证增加相应内容不予支持；现场未按照清单描述或图纸设计内容施工的，结算时扣减未施工部分的费用</w:t>
      </w:r>
      <w:r>
        <w:rPr>
          <w:rFonts w:hint="eastAsia" w:ascii="宋体" w:hAnsi="宋体" w:eastAsia="宋体"/>
          <w:color w:val="000000" w:themeColor="text1"/>
          <w:sz w:val="24"/>
          <w:szCs w:val="24"/>
          <w:highlight w:val="none"/>
          <w14:textFill>
            <w14:solidFill>
              <w14:schemeClr w14:val="tx1"/>
            </w14:solidFill>
          </w14:textFill>
        </w:rPr>
        <w:t>。</w:t>
      </w:r>
    </w:p>
    <w:p w14:paraId="588134E7">
      <w:pPr>
        <w:keepNext w:val="0"/>
        <w:keepLines w:val="0"/>
        <w:pageBreakBefore w:val="0"/>
        <w:widowControl w:val="0"/>
        <w:numPr>
          <w:ilvl w:val="0"/>
          <w:numId w:val="4"/>
        </w:numPr>
        <w:kinsoku/>
        <w:wordWrap/>
        <w:overflowPunct/>
        <w:topLinePunct w:val="0"/>
        <w:autoSpaceDE/>
        <w:autoSpaceDN/>
        <w:bidi w:val="0"/>
        <w:adjustRightInd w:val="0"/>
        <w:snapToGrid w:val="0"/>
        <w:spacing w:line="400" w:lineRule="exact"/>
        <w:ind w:left="-60" w:leftChars="0" w:firstLine="480" w:firstLineChars="0"/>
        <w:jc w:val="left"/>
        <w:textAlignment w:val="auto"/>
        <w:rPr>
          <w:rFonts w:hint="eastAsia" w:ascii="宋体" w:hAnsi="宋体" w:eastAsia="宋体" w:cs="Times New Roman"/>
          <w:color w:val="000000" w:themeColor="text1"/>
          <w:sz w:val="24"/>
          <w:szCs w:val="24"/>
          <w:highlight w:val="none"/>
          <w14:textFill>
            <w14:solidFill>
              <w14:schemeClr w14:val="tx1"/>
            </w14:solidFill>
          </w14:textFill>
        </w:rPr>
      </w:pPr>
      <w:r>
        <w:rPr>
          <w:rFonts w:hint="eastAsia" w:ascii="宋体" w:hAnsi="宋体" w:eastAsia="宋体"/>
          <w:color w:val="000000" w:themeColor="text1"/>
          <w:sz w:val="24"/>
          <w:szCs w:val="24"/>
          <w:highlight w:val="none"/>
          <w14:textFill>
            <w14:solidFill>
              <w14:schemeClr w14:val="tx1"/>
            </w14:solidFill>
          </w14:textFill>
        </w:rPr>
        <w:t>投标单位在投标报价时，应根据现场条件、招标文件要求、承包方式，参考《建设工程工程量清单计价规范》(GB50500-2013)清单说明及各专业工程计量规范的计算规则，在保证施工质量的前提下，综合考虑自身施工经验、技术能力、市场竞争因素、风险因素</w:t>
      </w:r>
      <w:r>
        <w:rPr>
          <w:rFonts w:hint="eastAsia" w:ascii="宋体" w:hAnsi="宋体" w:eastAsia="宋体"/>
          <w:color w:val="000000" w:themeColor="text1"/>
          <w:sz w:val="24"/>
          <w:szCs w:val="24"/>
          <w:highlight w:val="none"/>
          <w:lang w:val="en-US" w:eastAsia="zh-CN"/>
          <w14:textFill>
            <w14:solidFill>
              <w14:schemeClr w14:val="tx1"/>
            </w14:solidFill>
          </w14:textFill>
        </w:rPr>
        <w:t>以及不同专业交叉作业影响</w:t>
      </w:r>
      <w:r>
        <w:rPr>
          <w:rFonts w:hint="eastAsia" w:ascii="宋体" w:hAnsi="宋体" w:eastAsia="宋体"/>
          <w:color w:val="000000" w:themeColor="text1"/>
          <w:sz w:val="24"/>
          <w:szCs w:val="24"/>
          <w:highlight w:val="none"/>
          <w14:textFill>
            <w14:solidFill>
              <w14:schemeClr w14:val="tx1"/>
            </w14:solidFill>
          </w14:textFill>
        </w:rPr>
        <w:t>等，进行自主报价。除非合同另有约定，</w:t>
      </w:r>
      <w:r>
        <w:rPr>
          <w:rFonts w:hint="eastAsia" w:ascii="宋体" w:hAnsi="宋体" w:eastAsia="宋体"/>
          <w:color w:val="000000" w:themeColor="text1"/>
          <w:sz w:val="24"/>
          <w:szCs w:val="24"/>
          <w:highlight w:val="none"/>
          <w:lang w:val="en-US" w:eastAsia="zh-CN"/>
          <w14:textFill>
            <w14:solidFill>
              <w14:schemeClr w14:val="tx1"/>
            </w14:solidFill>
          </w14:textFill>
        </w:rPr>
        <w:t>清单与计价表中的全费用综合</w:t>
      </w:r>
      <w:r>
        <w:rPr>
          <w:rFonts w:hint="eastAsia" w:ascii="宋体" w:hAnsi="宋体" w:eastAsia="宋体"/>
          <w:color w:val="000000" w:themeColor="text1"/>
          <w:sz w:val="24"/>
          <w:szCs w:val="24"/>
          <w:highlight w:val="none"/>
          <w14:textFill>
            <w14:solidFill>
              <w14:schemeClr w14:val="tx1"/>
            </w14:solidFill>
          </w14:textFill>
        </w:rPr>
        <w:t>单价均包括了为实施和完成本项目（清单子目）内容所需的人工费、材料费、机械使用费、制作费、运输费、安装费、超高费、管理费、利润、检验试验费、采保费（包括自购、指定及甲供材料）、材料设备搬运费、二次倒运费、损耗、缺陷修复、保险</w:t>
      </w:r>
      <w:r>
        <w:rPr>
          <w:rFonts w:hint="eastAsia" w:ascii="宋体" w:hAnsi="宋体" w:eastAsia="宋体"/>
          <w:color w:val="000000" w:themeColor="text1"/>
          <w:sz w:val="24"/>
          <w:szCs w:val="24"/>
          <w:highlight w:val="none"/>
          <w:lang w:eastAsia="zh-CN"/>
          <w14:textFill>
            <w14:solidFill>
              <w14:schemeClr w14:val="tx1"/>
            </w14:solidFill>
          </w14:textFill>
        </w:rPr>
        <w:t>、</w:t>
      </w:r>
      <w:r>
        <w:rPr>
          <w:rFonts w:hint="eastAsia" w:ascii="宋体" w:hAnsi="宋体" w:eastAsia="宋体"/>
          <w:color w:val="000000" w:themeColor="text1"/>
          <w:sz w:val="24"/>
          <w:szCs w:val="24"/>
          <w:highlight w:val="none"/>
          <w:lang w:val="en-US" w:eastAsia="zh-CN"/>
          <w14:textFill>
            <w14:solidFill>
              <w14:schemeClr w14:val="tx1"/>
            </w14:solidFill>
          </w14:textFill>
        </w:rPr>
        <w:t>规费、税金</w:t>
      </w:r>
      <w:r>
        <w:rPr>
          <w:rFonts w:hint="eastAsia" w:ascii="宋体" w:hAnsi="宋体" w:eastAsia="宋体"/>
          <w:color w:val="000000" w:themeColor="text1"/>
          <w:sz w:val="24"/>
          <w:szCs w:val="24"/>
          <w:highlight w:val="none"/>
          <w14:textFill>
            <w14:solidFill>
              <w14:schemeClr w14:val="tx1"/>
            </w14:solidFill>
          </w14:textFill>
        </w:rPr>
        <w:t>等费用，以及为保证质量和方便施工采用的工艺措施和未形成工程实体的费用</w:t>
      </w:r>
      <w:r>
        <w:rPr>
          <w:rFonts w:hint="eastAsia" w:ascii="宋体" w:hAnsi="宋体" w:eastAsia="宋体"/>
          <w:color w:val="000000" w:themeColor="text1"/>
          <w:sz w:val="24"/>
          <w:szCs w:val="24"/>
          <w:highlight w:val="none"/>
          <w:lang w:eastAsia="zh-CN"/>
          <w14:textFill>
            <w14:solidFill>
              <w14:schemeClr w14:val="tx1"/>
            </w14:solidFill>
          </w14:textFill>
        </w:rPr>
        <w:t>、其他施工临时工程</w:t>
      </w:r>
      <w:r>
        <w:rPr>
          <w:rFonts w:hint="eastAsia" w:ascii="宋体" w:hAnsi="宋体" w:eastAsia="宋体"/>
          <w:color w:val="000000" w:themeColor="text1"/>
          <w:sz w:val="24"/>
          <w:szCs w:val="24"/>
          <w:highlight w:val="none"/>
          <w:lang w:val="en-US" w:eastAsia="zh-CN"/>
          <w14:textFill>
            <w14:solidFill>
              <w14:schemeClr w14:val="tx1"/>
            </w14:solidFill>
          </w14:textFill>
        </w:rPr>
        <w:t>费、保证施工安全文明的费用等</w:t>
      </w:r>
      <w:r>
        <w:rPr>
          <w:rFonts w:hint="eastAsia" w:ascii="宋体" w:hAnsi="宋体" w:eastAsia="宋体"/>
          <w:color w:val="000000" w:themeColor="text1"/>
          <w:sz w:val="24"/>
          <w:szCs w:val="24"/>
          <w:highlight w:val="none"/>
          <w14:textFill>
            <w14:solidFill>
              <w14:schemeClr w14:val="tx1"/>
            </w14:solidFill>
          </w14:textFill>
        </w:rPr>
        <w:t>，并包括招标文件和合同中明示或暗示所有责任、义务和一般风险。</w:t>
      </w:r>
      <w:r>
        <w:rPr>
          <w:rFonts w:hint="eastAsia" w:ascii="宋体" w:hAnsi="宋体" w:eastAsia="宋体" w:cs="Times New Roman"/>
          <w:color w:val="000000" w:themeColor="text1"/>
          <w:sz w:val="24"/>
          <w:szCs w:val="24"/>
          <w:highlight w:val="none"/>
          <w14:textFill>
            <w14:solidFill>
              <w14:schemeClr w14:val="tx1"/>
            </w14:solidFill>
          </w14:textFill>
        </w:rPr>
        <w:t>上述费用如在清单标价的单价外额外发生，由中标人自行承担，结算不予认可。</w:t>
      </w:r>
    </w:p>
    <w:p w14:paraId="30161FD4">
      <w:pPr>
        <w:keepNext w:val="0"/>
        <w:keepLines w:val="0"/>
        <w:pageBreakBefore w:val="0"/>
        <w:widowControl w:val="0"/>
        <w:numPr>
          <w:ilvl w:val="0"/>
          <w:numId w:val="4"/>
        </w:numPr>
        <w:kinsoku/>
        <w:wordWrap/>
        <w:overflowPunct/>
        <w:topLinePunct w:val="0"/>
        <w:autoSpaceDE/>
        <w:autoSpaceDN/>
        <w:bidi w:val="0"/>
        <w:adjustRightInd w:val="0"/>
        <w:snapToGrid w:val="0"/>
        <w:spacing w:line="400" w:lineRule="exact"/>
        <w:ind w:left="-60" w:leftChars="0" w:firstLine="480" w:firstLineChars="0"/>
        <w:jc w:val="left"/>
        <w:textAlignment w:val="auto"/>
        <w:rPr>
          <w:rFonts w:hint="eastAsia" w:ascii="宋体" w:hAnsi="宋体" w:eastAsia="宋体" w:cs="Times New Roman"/>
          <w:b/>
          <w:bCs/>
          <w:color w:val="000000" w:themeColor="text1"/>
          <w:sz w:val="24"/>
          <w:szCs w:val="24"/>
          <w:highlight w:val="none"/>
          <w14:textFill>
            <w14:solidFill>
              <w14:schemeClr w14:val="tx1"/>
            </w14:solidFill>
          </w14:textFill>
        </w:rPr>
      </w:pPr>
      <w:r>
        <w:rPr>
          <w:rFonts w:hint="eastAsia" w:ascii="宋体" w:hAnsi="宋体" w:eastAsia="宋体" w:cs="Times New Roman"/>
          <w:color w:val="000000" w:themeColor="text1"/>
          <w:sz w:val="24"/>
          <w:szCs w:val="24"/>
          <w:highlight w:val="none"/>
          <w14:textFill>
            <w14:solidFill>
              <w14:schemeClr w14:val="tx1"/>
            </w14:solidFill>
          </w14:textFill>
        </w:rPr>
        <w:t>投标时给定的统一格式样表，</w:t>
      </w:r>
      <w:r>
        <w:rPr>
          <w:rFonts w:hint="eastAsia" w:ascii="宋体" w:hAnsi="宋体" w:eastAsia="宋体" w:cs="Times New Roman"/>
          <w:color w:val="000000" w:themeColor="text1"/>
          <w:sz w:val="24"/>
          <w:szCs w:val="24"/>
          <w:highlight w:val="none"/>
          <w:lang w:eastAsia="zh-CN"/>
          <w14:textFill>
            <w14:solidFill>
              <w14:schemeClr w14:val="tx1"/>
            </w14:solidFill>
          </w14:textFill>
        </w:rPr>
        <w:t>投标单位均</w:t>
      </w:r>
      <w:r>
        <w:rPr>
          <w:rFonts w:hint="eastAsia" w:ascii="宋体" w:hAnsi="宋体" w:eastAsia="宋体" w:cs="Times New Roman"/>
          <w:color w:val="000000" w:themeColor="text1"/>
          <w:sz w:val="24"/>
          <w:szCs w:val="24"/>
          <w:highlight w:val="none"/>
          <w14:textFill>
            <w14:solidFill>
              <w14:schemeClr w14:val="tx1"/>
            </w14:solidFill>
          </w14:textFill>
        </w:rPr>
        <w:t>应按其规定内容填写。</w:t>
      </w:r>
      <w:r>
        <w:rPr>
          <w:rFonts w:hint="eastAsia" w:ascii="宋体" w:hAnsi="宋体" w:eastAsia="宋体" w:cs="Times New Roman"/>
          <w:b/>
          <w:bCs/>
          <w:color w:val="000000" w:themeColor="text1"/>
          <w:sz w:val="24"/>
          <w:szCs w:val="24"/>
          <w:highlight w:val="none"/>
          <w14:textFill>
            <w14:solidFill>
              <w14:schemeClr w14:val="tx1"/>
            </w14:solidFill>
          </w14:textFill>
        </w:rPr>
        <w:t>投标单位必须严格按照投标报价样表顺序逐一填报</w:t>
      </w:r>
      <w:r>
        <w:rPr>
          <w:rFonts w:hint="eastAsia" w:ascii="宋体" w:hAnsi="宋体" w:eastAsia="宋体" w:cs="Times New Roman"/>
          <w:b/>
          <w:bCs/>
          <w:color w:val="000000" w:themeColor="text1"/>
          <w:sz w:val="24"/>
          <w:szCs w:val="24"/>
          <w:highlight w:val="none"/>
          <w:lang w:eastAsia="zh-CN"/>
          <w14:textFill>
            <w14:solidFill>
              <w14:schemeClr w14:val="tx1"/>
            </w14:solidFill>
          </w14:textFill>
        </w:rPr>
        <w:t>，如</w:t>
      </w:r>
      <w:r>
        <w:rPr>
          <w:rFonts w:hint="eastAsia" w:ascii="宋体" w:hAnsi="宋体" w:eastAsia="宋体" w:cs="Times New Roman"/>
          <w:b/>
          <w:bCs/>
          <w:color w:val="000000" w:themeColor="text1"/>
          <w:sz w:val="24"/>
          <w:szCs w:val="24"/>
          <w:highlight w:val="none"/>
          <w14:textFill>
            <w14:solidFill>
              <w14:schemeClr w14:val="tx1"/>
            </w14:solidFill>
          </w14:textFill>
        </w:rPr>
        <w:t>有疑问</w:t>
      </w:r>
      <w:r>
        <w:rPr>
          <w:rFonts w:hint="eastAsia" w:ascii="宋体" w:hAnsi="宋体" w:eastAsia="宋体" w:cs="Times New Roman"/>
          <w:b/>
          <w:bCs/>
          <w:color w:val="000000" w:themeColor="text1"/>
          <w:sz w:val="24"/>
          <w:szCs w:val="24"/>
          <w:highlight w:val="none"/>
          <w:lang w:eastAsia="zh-CN"/>
          <w14:textFill>
            <w14:solidFill>
              <w14:schemeClr w14:val="tx1"/>
            </w14:solidFill>
          </w14:textFill>
        </w:rPr>
        <w:t>可</w:t>
      </w:r>
      <w:r>
        <w:rPr>
          <w:rFonts w:hint="eastAsia" w:ascii="宋体" w:hAnsi="宋体" w:eastAsia="宋体" w:cs="Times New Roman"/>
          <w:b/>
          <w:bCs/>
          <w:color w:val="000000" w:themeColor="text1"/>
          <w:sz w:val="24"/>
          <w:szCs w:val="24"/>
          <w:highlight w:val="none"/>
          <w14:textFill>
            <w14:solidFill>
              <w14:schemeClr w14:val="tx1"/>
            </w14:solidFill>
          </w14:textFill>
        </w:rPr>
        <w:t>按规定提出答疑。</w:t>
      </w:r>
    </w:p>
    <w:p w14:paraId="71CEC6D4">
      <w:pPr>
        <w:keepNext w:val="0"/>
        <w:keepLines w:val="0"/>
        <w:pageBreakBefore w:val="0"/>
        <w:widowControl w:val="0"/>
        <w:numPr>
          <w:ilvl w:val="0"/>
          <w:numId w:val="4"/>
        </w:numPr>
        <w:suppressLineNumbers w:val="0"/>
        <w:kinsoku/>
        <w:wordWrap/>
        <w:overflowPunct/>
        <w:topLinePunct w:val="0"/>
        <w:autoSpaceDE w:val="0"/>
        <w:autoSpaceDN/>
        <w:bidi w:val="0"/>
        <w:adjustRightInd w:val="0"/>
        <w:snapToGrid w:val="0"/>
        <w:spacing w:before="0" w:beforeAutospacing="0" w:after="0" w:afterAutospacing="0" w:line="400" w:lineRule="exact"/>
        <w:ind w:left="-60" w:leftChars="0" w:right="0" w:firstLine="480" w:firstLineChars="0"/>
        <w:jc w:val="both"/>
        <w:textAlignment w:val="auto"/>
        <w:rPr>
          <w:rFonts w:hint="eastAsia" w:eastAsia="宋体"/>
          <w:color w:val="000000" w:themeColor="text1"/>
          <w:sz w:val="24"/>
          <w:szCs w:val="24"/>
          <w:highlight w:val="none"/>
          <w14:textFill>
            <w14:solidFill>
              <w14:schemeClr w14:val="tx1"/>
            </w14:solidFill>
          </w14:textFill>
        </w:rPr>
      </w:pPr>
      <w:r>
        <w:rPr>
          <w:rFonts w:hint="eastAsia" w:ascii="宋体" w:hAnsi="宋体" w:eastAsia="宋体"/>
          <w:color w:val="000000" w:themeColor="text1"/>
          <w:sz w:val="24"/>
          <w:szCs w:val="24"/>
          <w:highlight w:val="none"/>
          <w:lang w:eastAsia="zh-CN"/>
          <w14:textFill>
            <w14:solidFill>
              <w14:schemeClr w14:val="tx1"/>
            </w14:solidFill>
          </w14:textFill>
        </w:rPr>
        <w:t>投标单位</w:t>
      </w:r>
      <w:r>
        <w:rPr>
          <w:rFonts w:hint="eastAsia" w:ascii="宋体" w:hAnsi="宋体" w:eastAsia="宋体"/>
          <w:color w:val="000000" w:themeColor="text1"/>
          <w:sz w:val="24"/>
          <w:szCs w:val="24"/>
          <w:highlight w:val="none"/>
          <w14:textFill>
            <w14:solidFill>
              <w14:schemeClr w14:val="tx1"/>
            </w14:solidFill>
          </w14:textFill>
        </w:rPr>
        <w:t>按照本清单填报单价，严禁不平衡报价，不得恶意降低</w:t>
      </w:r>
      <w:r>
        <w:rPr>
          <w:rFonts w:hint="eastAsia" w:ascii="宋体" w:hAnsi="宋体" w:eastAsia="宋体"/>
          <w:color w:val="000000" w:themeColor="text1"/>
          <w:sz w:val="24"/>
          <w:szCs w:val="24"/>
          <w:highlight w:val="none"/>
          <w:lang w:eastAsia="zh-CN"/>
          <w14:textFill>
            <w14:solidFill>
              <w14:schemeClr w14:val="tx1"/>
            </w14:solidFill>
          </w14:textFill>
        </w:rPr>
        <w:t>或抬高</w:t>
      </w:r>
      <w:r>
        <w:rPr>
          <w:rFonts w:hint="eastAsia" w:ascii="宋体" w:hAnsi="宋体" w:eastAsia="宋体"/>
          <w:color w:val="000000" w:themeColor="text1"/>
          <w:sz w:val="24"/>
          <w:szCs w:val="24"/>
          <w:highlight w:val="none"/>
          <w14:textFill>
            <w14:solidFill>
              <w14:schemeClr w14:val="tx1"/>
            </w14:solidFill>
          </w14:textFill>
        </w:rPr>
        <w:t>报价扰乱市场，评标委员会有权对不合理报价进行质疑，投标单位应给予合理的答复。否则，</w:t>
      </w:r>
      <w:r>
        <w:rPr>
          <w:rFonts w:hint="eastAsia" w:ascii="宋体" w:hAnsi="宋体" w:eastAsia="宋体"/>
          <w:b/>
          <w:bCs/>
          <w:color w:val="000000" w:themeColor="text1"/>
          <w:sz w:val="24"/>
          <w:szCs w:val="24"/>
          <w:highlight w:val="none"/>
          <w14:textFill>
            <w14:solidFill>
              <w14:schemeClr w14:val="tx1"/>
            </w14:solidFill>
          </w14:textFill>
        </w:rPr>
        <w:t>经评标委员会评定为不合理报价的投标文件将</w:t>
      </w:r>
      <w:r>
        <w:rPr>
          <w:rFonts w:hint="eastAsia" w:ascii="宋体" w:hAnsi="宋体" w:eastAsia="宋体"/>
          <w:b/>
          <w:bCs/>
          <w:color w:val="000000" w:themeColor="text1"/>
          <w:sz w:val="24"/>
          <w:szCs w:val="24"/>
          <w:highlight w:val="none"/>
          <w:lang w:eastAsia="zh-CN"/>
          <w14:textFill>
            <w14:solidFill>
              <w14:schemeClr w14:val="tx1"/>
            </w14:solidFill>
          </w14:textFill>
        </w:rPr>
        <w:t>被</w:t>
      </w:r>
      <w:r>
        <w:rPr>
          <w:rFonts w:hint="eastAsia" w:ascii="宋体" w:hAnsi="宋体" w:eastAsia="宋体"/>
          <w:b/>
          <w:bCs/>
          <w:color w:val="000000" w:themeColor="text1"/>
          <w:sz w:val="24"/>
          <w:szCs w:val="24"/>
          <w:highlight w:val="none"/>
          <w14:textFill>
            <w14:solidFill>
              <w14:schemeClr w14:val="tx1"/>
            </w14:solidFill>
          </w14:textFill>
        </w:rPr>
        <w:t>否决</w:t>
      </w:r>
      <w:r>
        <w:rPr>
          <w:rFonts w:hint="eastAsia" w:ascii="宋体" w:hAnsi="宋体" w:eastAsia="宋体"/>
          <w:color w:val="000000" w:themeColor="text1"/>
          <w:sz w:val="24"/>
          <w:szCs w:val="24"/>
          <w:highlight w:val="none"/>
          <w14:textFill>
            <w14:solidFill>
              <w14:schemeClr w14:val="tx1"/>
            </w14:solidFill>
          </w14:textFill>
        </w:rPr>
        <w:t>。</w:t>
      </w:r>
    </w:p>
    <w:p w14:paraId="603AC480">
      <w:pPr>
        <w:keepNext w:val="0"/>
        <w:keepLines w:val="0"/>
        <w:pageBreakBefore w:val="0"/>
        <w:widowControl w:val="0"/>
        <w:numPr>
          <w:ilvl w:val="0"/>
          <w:numId w:val="4"/>
        </w:numPr>
        <w:suppressLineNumbers w:val="0"/>
        <w:kinsoku/>
        <w:wordWrap/>
        <w:overflowPunct/>
        <w:topLinePunct w:val="0"/>
        <w:autoSpaceDE w:val="0"/>
        <w:autoSpaceDN/>
        <w:bidi w:val="0"/>
        <w:adjustRightInd w:val="0"/>
        <w:snapToGrid w:val="0"/>
        <w:spacing w:before="0" w:beforeAutospacing="0" w:after="0" w:afterAutospacing="0" w:line="400" w:lineRule="exact"/>
        <w:ind w:left="-60" w:leftChars="0" w:right="0" w:firstLine="480" w:firstLineChars="0"/>
        <w:jc w:val="both"/>
        <w:textAlignment w:val="auto"/>
        <w:rPr>
          <w:rFonts w:hint="eastAsia" w:ascii="宋体" w:hAnsi="宋体" w:eastAsia="宋体" w:cs="宋体"/>
          <w:color w:val="000000" w:themeColor="text1"/>
          <w:kern w:val="2"/>
          <w:sz w:val="24"/>
          <w:szCs w:val="24"/>
          <w:highlight w:val="none"/>
          <w:lang w:val="en-US" w:eastAsia="zh-CN" w:bidi="ar"/>
          <w14:textFill>
            <w14:solidFill>
              <w14:schemeClr w14:val="tx1"/>
            </w14:solidFill>
          </w14:textFill>
        </w:rPr>
      </w:pPr>
      <w:r>
        <w:rPr>
          <w:rFonts w:hint="eastAsia" w:ascii="宋体" w:hAnsi="宋体" w:eastAsia="宋体" w:cs="宋体"/>
          <w:color w:val="000000" w:themeColor="text1"/>
          <w:kern w:val="2"/>
          <w:sz w:val="24"/>
          <w:szCs w:val="24"/>
          <w:highlight w:val="none"/>
          <w:lang w:val="en-US" w:eastAsia="zh-CN" w:bidi="ar"/>
          <w14:textFill>
            <w14:solidFill>
              <w14:schemeClr w14:val="tx1"/>
            </w14:solidFill>
          </w14:textFill>
        </w:rPr>
        <w:t>本项目所用材料均应符合国标，中标单位须严格按照图纸中的技术要求进行采购。除特殊要求，均采用中等偏上品质材料，如在投标报价时以明显低于市场价格投报材料价格，招标人有权要求中标人使用约定品牌型号中等以上品质的材料；若中标单位提供质量档次明显低于设计或招标文件要求的材料招标人有权指定供应商，一切费用由中标单位承担。招标人因特殊原因主张更换材料导致产生材料差价的，结算时给予计取材料差价，并计取规费与税金，其他费用不予计取。</w:t>
      </w:r>
    </w:p>
    <w:p w14:paraId="6B615D26">
      <w:pPr>
        <w:keepNext w:val="0"/>
        <w:keepLines w:val="0"/>
        <w:pageBreakBefore w:val="0"/>
        <w:widowControl w:val="0"/>
        <w:numPr>
          <w:ilvl w:val="0"/>
          <w:numId w:val="4"/>
        </w:numPr>
        <w:suppressLineNumbers w:val="0"/>
        <w:kinsoku/>
        <w:wordWrap/>
        <w:overflowPunct/>
        <w:topLinePunct w:val="0"/>
        <w:autoSpaceDE w:val="0"/>
        <w:autoSpaceDN/>
        <w:bidi w:val="0"/>
        <w:adjustRightInd w:val="0"/>
        <w:snapToGrid w:val="0"/>
        <w:spacing w:before="0" w:beforeAutospacing="0" w:after="0" w:afterAutospacing="0" w:line="400" w:lineRule="exact"/>
        <w:ind w:left="-60" w:leftChars="0" w:right="0" w:firstLine="480" w:firstLineChars="0"/>
        <w:jc w:val="both"/>
        <w:textAlignment w:val="auto"/>
        <w:rPr>
          <w:rFonts w:hint="eastAsia" w:ascii="宋体" w:hAnsi="宋体" w:eastAsia="宋体" w:cs="宋体"/>
          <w:color w:val="000000" w:themeColor="text1"/>
          <w:kern w:val="2"/>
          <w:sz w:val="24"/>
          <w:szCs w:val="24"/>
          <w:highlight w:val="none"/>
          <w:lang w:val="en-US" w:eastAsia="zh-CN" w:bidi="ar"/>
          <w14:textFill>
            <w14:solidFill>
              <w14:schemeClr w14:val="tx1"/>
            </w14:solidFill>
          </w14:textFill>
        </w:rPr>
      </w:pPr>
      <w:r>
        <w:rPr>
          <w:rFonts w:hint="eastAsia" w:ascii="宋体" w:hAnsi="宋体" w:eastAsia="宋体" w:cs="宋体"/>
          <w:color w:val="000000" w:themeColor="text1"/>
          <w:kern w:val="2"/>
          <w:sz w:val="24"/>
          <w:szCs w:val="24"/>
          <w:highlight w:val="none"/>
          <w:lang w:val="en-US" w:eastAsia="zh-CN" w:bidi="ar"/>
          <w14:textFill>
            <w14:solidFill>
              <w14:schemeClr w14:val="tx1"/>
            </w14:solidFill>
          </w14:textFill>
        </w:rPr>
        <w:t>纳入暂估价格的设备、材料由招标人按程序采购；未纳入暂估价格的材料、设备，中标单位不得随意更换，招标人确需更换须有充足的理由，且须由设计、现场监理及建设单位党组出具同意意见后更换。</w:t>
      </w:r>
    </w:p>
    <w:p w14:paraId="56A45926">
      <w:pPr>
        <w:keepNext w:val="0"/>
        <w:keepLines w:val="0"/>
        <w:pageBreakBefore w:val="0"/>
        <w:widowControl w:val="0"/>
        <w:numPr>
          <w:ilvl w:val="0"/>
          <w:numId w:val="4"/>
        </w:numPr>
        <w:kinsoku/>
        <w:wordWrap/>
        <w:overflowPunct/>
        <w:topLinePunct w:val="0"/>
        <w:autoSpaceDE/>
        <w:autoSpaceDN/>
        <w:bidi w:val="0"/>
        <w:adjustRightInd w:val="0"/>
        <w:snapToGrid w:val="0"/>
        <w:spacing w:line="400" w:lineRule="exact"/>
        <w:ind w:left="-60" w:leftChars="0" w:firstLine="480" w:firstLineChars="0"/>
        <w:textAlignment w:val="auto"/>
        <w:rPr>
          <w:rFonts w:hint="eastAsia" w:ascii="宋体" w:hAnsi="宋体" w:eastAsia="宋体"/>
          <w:color w:val="000000" w:themeColor="text1"/>
          <w:sz w:val="24"/>
          <w:szCs w:val="24"/>
          <w:highlight w:val="none"/>
          <w:lang w:eastAsia="zh-CN"/>
          <w14:textFill>
            <w14:solidFill>
              <w14:schemeClr w14:val="tx1"/>
            </w14:solidFill>
          </w14:textFill>
        </w:rPr>
      </w:pPr>
      <w:r>
        <w:rPr>
          <w:rFonts w:hint="eastAsia" w:ascii="宋体" w:hAnsi="宋体" w:eastAsia="宋体"/>
          <w:color w:val="000000" w:themeColor="text1"/>
          <w:sz w:val="24"/>
          <w:szCs w:val="24"/>
          <w:highlight w:val="none"/>
          <w14:textFill>
            <w14:solidFill>
              <w14:schemeClr w14:val="tx1"/>
            </w14:solidFill>
          </w14:textFill>
        </w:rPr>
        <w:t>施工现场临时场地、临时水电及施工过程中用水(包括施工单位利用地下水）</w:t>
      </w:r>
      <w:r>
        <w:rPr>
          <w:rFonts w:hint="eastAsia" w:ascii="宋体" w:hAnsi="宋体" w:eastAsia="宋体"/>
          <w:color w:val="000000" w:themeColor="text1"/>
          <w:sz w:val="24"/>
          <w:szCs w:val="24"/>
          <w:highlight w:val="none"/>
          <w:lang w:eastAsia="zh-CN"/>
          <w14:textFill>
            <w14:solidFill>
              <w14:schemeClr w14:val="tx1"/>
            </w14:solidFill>
          </w14:textFill>
        </w:rPr>
        <w:t>、</w:t>
      </w:r>
      <w:r>
        <w:rPr>
          <w:rFonts w:hint="eastAsia" w:ascii="宋体" w:hAnsi="宋体" w:eastAsia="宋体"/>
          <w:color w:val="000000" w:themeColor="text1"/>
          <w:sz w:val="24"/>
          <w:szCs w:val="24"/>
          <w:highlight w:val="none"/>
          <w14:textFill>
            <w14:solidFill>
              <w14:schemeClr w14:val="tx1"/>
            </w14:solidFill>
          </w14:textFill>
        </w:rPr>
        <w:t>用电由投标单位自行解决，</w:t>
      </w:r>
      <w:r>
        <w:rPr>
          <w:rFonts w:hint="eastAsia" w:eastAsia="宋体"/>
          <w:color w:val="000000" w:themeColor="text1"/>
          <w:sz w:val="24"/>
          <w:szCs w:val="24"/>
          <w:highlight w:val="none"/>
          <w14:textFill>
            <w14:solidFill>
              <w14:schemeClr w14:val="tx1"/>
            </w14:solidFill>
          </w14:textFill>
        </w:rPr>
        <w:t>并且根据水源接入点及平面布置，不到位的管线等所需费用应包含在相应的投标报价中，</w:t>
      </w:r>
      <w:r>
        <w:rPr>
          <w:rFonts w:hint="eastAsia" w:ascii="宋体" w:hAnsi="宋体" w:eastAsia="宋体"/>
          <w:color w:val="000000" w:themeColor="text1"/>
          <w:sz w:val="24"/>
          <w:szCs w:val="24"/>
          <w:highlight w:val="none"/>
          <w14:textFill>
            <w14:solidFill>
              <w14:schemeClr w14:val="tx1"/>
            </w14:solidFill>
          </w14:textFill>
        </w:rPr>
        <w:t>结算时不增加此部分费用</w:t>
      </w:r>
      <w:r>
        <w:rPr>
          <w:rFonts w:hint="eastAsia" w:ascii="宋体" w:hAnsi="宋体" w:eastAsia="宋体"/>
          <w:color w:val="000000" w:themeColor="text1"/>
          <w:sz w:val="24"/>
          <w:szCs w:val="24"/>
          <w:highlight w:val="none"/>
          <w:lang w:eastAsia="zh-CN"/>
          <w14:textFill>
            <w14:solidFill>
              <w14:schemeClr w14:val="tx1"/>
            </w14:solidFill>
          </w14:textFill>
        </w:rPr>
        <w:t>；因临时设施</w:t>
      </w:r>
      <w:r>
        <w:rPr>
          <w:rFonts w:hint="eastAsia" w:ascii="宋体" w:hAnsi="宋体" w:eastAsia="宋体"/>
          <w:color w:val="000000" w:themeColor="text1"/>
          <w:sz w:val="24"/>
          <w:szCs w:val="24"/>
          <w:highlight w:val="none"/>
          <w14:textFill>
            <w14:solidFill>
              <w14:schemeClr w14:val="tx1"/>
            </w14:solidFill>
          </w14:textFill>
        </w:rPr>
        <w:t>的搭设位置</w:t>
      </w:r>
      <w:r>
        <w:rPr>
          <w:rFonts w:hint="eastAsia" w:ascii="宋体" w:hAnsi="宋体" w:eastAsia="宋体"/>
          <w:color w:val="000000" w:themeColor="text1"/>
          <w:sz w:val="24"/>
          <w:szCs w:val="24"/>
          <w:highlight w:val="none"/>
          <w:lang w:eastAsia="zh-CN"/>
          <w14:textFill>
            <w14:solidFill>
              <w14:schemeClr w14:val="tx1"/>
            </w14:solidFill>
          </w14:textFill>
        </w:rPr>
        <w:t>的变化导致的费用增加，在结算时不予考虑。</w:t>
      </w:r>
    </w:p>
    <w:p w14:paraId="0D7E3392">
      <w:pPr>
        <w:keepNext w:val="0"/>
        <w:keepLines w:val="0"/>
        <w:pageBreakBefore w:val="0"/>
        <w:widowControl w:val="0"/>
        <w:numPr>
          <w:ilvl w:val="0"/>
          <w:numId w:val="4"/>
        </w:numPr>
        <w:kinsoku/>
        <w:wordWrap/>
        <w:overflowPunct/>
        <w:topLinePunct w:val="0"/>
        <w:autoSpaceDE/>
        <w:autoSpaceDN/>
        <w:bidi w:val="0"/>
        <w:adjustRightInd w:val="0"/>
        <w:snapToGrid w:val="0"/>
        <w:spacing w:line="400" w:lineRule="exact"/>
        <w:ind w:left="-60" w:leftChars="0" w:firstLine="482" w:firstLineChars="0"/>
        <w:textAlignment w:val="auto"/>
        <w:rPr>
          <w:rFonts w:hint="eastAsia" w:ascii="宋体" w:hAnsi="宋体" w:eastAsia="宋体"/>
          <w:b/>
          <w:bCs/>
          <w:color w:val="000000" w:themeColor="text1"/>
          <w:sz w:val="24"/>
          <w:szCs w:val="24"/>
          <w:highlight w:val="none"/>
          <w14:textFill>
            <w14:solidFill>
              <w14:schemeClr w14:val="tx1"/>
            </w14:solidFill>
          </w14:textFill>
        </w:rPr>
      </w:pPr>
      <w:r>
        <w:rPr>
          <w:rFonts w:hint="eastAsia" w:ascii="宋体" w:hAnsi="宋体" w:eastAsia="宋体"/>
          <w:b/>
          <w:bCs/>
          <w:color w:val="000000" w:themeColor="text1"/>
          <w:sz w:val="24"/>
          <w:szCs w:val="24"/>
          <w:highlight w:val="none"/>
          <w14:textFill>
            <w14:solidFill>
              <w14:schemeClr w14:val="tx1"/>
            </w14:solidFill>
          </w14:textFill>
        </w:rPr>
        <w:t>投标报价中的规费、税金为不可竞争费用，应按相应规定足额计取；</w:t>
      </w:r>
      <w:r>
        <w:rPr>
          <w:rFonts w:hint="eastAsia" w:ascii="宋体" w:hAnsi="宋体" w:eastAsia="宋体"/>
          <w:b/>
          <w:bCs/>
          <w:color w:val="000000" w:themeColor="text1"/>
          <w:sz w:val="24"/>
          <w:szCs w:val="24"/>
          <w:highlight w:val="none"/>
          <w:lang w:eastAsia="zh-CN"/>
          <w14:textFill>
            <w14:solidFill>
              <w14:schemeClr w14:val="tx1"/>
            </w14:solidFill>
          </w14:textFill>
        </w:rPr>
        <w:t>投标单位</w:t>
      </w:r>
      <w:r>
        <w:rPr>
          <w:rFonts w:hint="eastAsia" w:ascii="宋体" w:hAnsi="宋体" w:eastAsia="宋体"/>
          <w:b/>
          <w:bCs/>
          <w:color w:val="000000" w:themeColor="text1"/>
          <w:sz w:val="24"/>
          <w:szCs w:val="24"/>
          <w:highlight w:val="none"/>
          <w14:textFill>
            <w14:solidFill>
              <w14:schemeClr w14:val="tx1"/>
            </w14:solidFill>
          </w14:textFill>
        </w:rPr>
        <w:t>在投标报价中，对上述费用进行让利或者优惠的，按否决投标处理。</w:t>
      </w:r>
    </w:p>
    <w:p w14:paraId="45BF19FE">
      <w:pPr>
        <w:keepNext w:val="0"/>
        <w:keepLines w:val="0"/>
        <w:pageBreakBefore w:val="0"/>
        <w:widowControl w:val="0"/>
        <w:numPr>
          <w:ilvl w:val="0"/>
          <w:numId w:val="4"/>
        </w:numPr>
        <w:kinsoku/>
        <w:wordWrap/>
        <w:overflowPunct/>
        <w:topLinePunct w:val="0"/>
        <w:autoSpaceDE/>
        <w:autoSpaceDN/>
        <w:bidi w:val="0"/>
        <w:adjustRightInd w:val="0"/>
        <w:snapToGrid w:val="0"/>
        <w:spacing w:line="400" w:lineRule="exact"/>
        <w:ind w:left="-60" w:leftChars="0" w:firstLine="480" w:firstLineChars="0"/>
        <w:textAlignment w:val="auto"/>
        <w:rPr>
          <w:rFonts w:ascii="宋体" w:hAnsi="宋体" w:eastAsia="宋体"/>
          <w:color w:val="000000" w:themeColor="text1"/>
          <w:sz w:val="24"/>
          <w:szCs w:val="24"/>
          <w:highlight w:val="none"/>
          <w14:textFill>
            <w14:solidFill>
              <w14:schemeClr w14:val="tx1"/>
            </w14:solidFill>
          </w14:textFill>
        </w:rPr>
      </w:pPr>
      <w:r>
        <w:rPr>
          <w:rFonts w:ascii="宋体" w:hAnsi="宋体" w:eastAsia="宋体"/>
          <w:color w:val="000000" w:themeColor="text1"/>
          <w:sz w:val="24"/>
          <w:szCs w:val="24"/>
          <w:highlight w:val="none"/>
          <w14:textFill>
            <w14:solidFill>
              <w14:schemeClr w14:val="tx1"/>
            </w14:solidFill>
          </w14:textFill>
        </w:rPr>
        <w:t>投标税</w:t>
      </w:r>
      <w:r>
        <w:rPr>
          <w:rFonts w:hint="eastAsia" w:ascii="宋体" w:hAnsi="宋体" w:eastAsia="宋体"/>
          <w:color w:val="000000" w:themeColor="text1"/>
          <w:sz w:val="24"/>
          <w:szCs w:val="24"/>
          <w:highlight w:val="none"/>
          <w14:textFill>
            <w14:solidFill>
              <w14:schemeClr w14:val="tx1"/>
            </w14:solidFill>
          </w14:textFill>
        </w:rPr>
        <w:t>率</w:t>
      </w:r>
      <w:r>
        <w:rPr>
          <w:rFonts w:ascii="宋体" w:hAnsi="宋体" w:eastAsia="宋体"/>
          <w:color w:val="000000" w:themeColor="text1"/>
          <w:sz w:val="24"/>
          <w:szCs w:val="24"/>
          <w:highlight w:val="none"/>
          <w14:textFill>
            <w14:solidFill>
              <w14:schemeClr w14:val="tx1"/>
            </w14:solidFill>
          </w14:textFill>
        </w:rPr>
        <w:t>执行</w:t>
      </w:r>
      <w:r>
        <w:rPr>
          <w:rFonts w:hint="eastAsia" w:ascii="宋体" w:hAnsi="宋体" w:eastAsia="宋体"/>
          <w:color w:val="000000" w:themeColor="text1"/>
          <w:sz w:val="24"/>
          <w:szCs w:val="24"/>
          <w:highlight w:val="none"/>
          <w:lang w:eastAsia="zh-CN"/>
          <w14:textFill>
            <w14:solidFill>
              <w14:schemeClr w14:val="tx1"/>
            </w14:solidFill>
          </w14:textFill>
        </w:rPr>
        <w:t>投标时点山东省的相关规定，</w:t>
      </w:r>
      <w:r>
        <w:rPr>
          <w:rFonts w:ascii="宋体" w:hAnsi="宋体" w:eastAsia="宋体"/>
          <w:color w:val="000000" w:themeColor="text1"/>
          <w:sz w:val="24"/>
          <w:szCs w:val="24"/>
          <w:highlight w:val="none"/>
          <w14:textFill>
            <w14:solidFill>
              <w14:schemeClr w14:val="tx1"/>
            </w14:solidFill>
          </w14:textFill>
        </w:rPr>
        <w:t>中标后需按</w:t>
      </w:r>
      <w:r>
        <w:rPr>
          <w:rFonts w:hint="eastAsia" w:ascii="宋体" w:hAnsi="宋体" w:eastAsia="宋体"/>
          <w:color w:val="000000" w:themeColor="text1"/>
          <w:sz w:val="24"/>
          <w:szCs w:val="24"/>
          <w:highlight w:val="none"/>
          <w:lang w:eastAsia="zh-CN"/>
          <w14:textFill>
            <w14:solidFill>
              <w14:schemeClr w14:val="tx1"/>
            </w14:solidFill>
          </w14:textFill>
        </w:rPr>
        <w:t>规定</w:t>
      </w:r>
      <w:r>
        <w:rPr>
          <w:rFonts w:ascii="宋体" w:hAnsi="宋体" w:eastAsia="宋体"/>
          <w:color w:val="000000" w:themeColor="text1"/>
          <w:sz w:val="24"/>
          <w:szCs w:val="24"/>
          <w:highlight w:val="none"/>
          <w14:textFill>
            <w14:solidFill>
              <w14:schemeClr w14:val="tx1"/>
            </w14:solidFill>
          </w14:textFill>
        </w:rPr>
        <w:t>税率开具发票。</w:t>
      </w:r>
      <w:r>
        <w:rPr>
          <w:rFonts w:hint="eastAsia" w:ascii="宋体" w:hAnsi="宋体" w:eastAsia="宋体"/>
          <w:color w:val="000000" w:themeColor="text1"/>
          <w:sz w:val="24"/>
          <w:szCs w:val="24"/>
          <w:highlight w:val="none"/>
          <w14:textFill>
            <w14:solidFill>
              <w14:schemeClr w14:val="tx1"/>
            </w14:solidFill>
          </w14:textFill>
        </w:rPr>
        <w:t>若后期出现政策性税率调整，或</w:t>
      </w:r>
      <w:r>
        <w:rPr>
          <w:rFonts w:ascii="宋体" w:hAnsi="宋体" w:eastAsia="宋体"/>
          <w:color w:val="000000" w:themeColor="text1"/>
          <w:sz w:val="24"/>
          <w:szCs w:val="24"/>
          <w:highlight w:val="none"/>
          <w14:textFill>
            <w14:solidFill>
              <w14:schemeClr w14:val="tx1"/>
            </w14:solidFill>
          </w14:textFill>
        </w:rPr>
        <w:t>出现中标单位所开具的发票税率与投标税率不一致的情况，最终结算时税率按照中标单位实际开具的增值税发票税率计取</w:t>
      </w:r>
      <w:r>
        <w:rPr>
          <w:rFonts w:hint="eastAsia" w:ascii="宋体" w:hAnsi="宋体" w:eastAsia="宋体"/>
          <w:color w:val="000000" w:themeColor="text1"/>
          <w:sz w:val="24"/>
          <w:szCs w:val="24"/>
          <w:highlight w:val="none"/>
          <w14:textFill>
            <w14:solidFill>
              <w14:schemeClr w14:val="tx1"/>
            </w14:solidFill>
          </w14:textFill>
        </w:rPr>
        <w:t>。</w:t>
      </w:r>
    </w:p>
    <w:p w14:paraId="6A55BF76">
      <w:pPr>
        <w:keepNext w:val="0"/>
        <w:keepLines w:val="0"/>
        <w:pageBreakBefore w:val="0"/>
        <w:widowControl w:val="0"/>
        <w:numPr>
          <w:ilvl w:val="0"/>
          <w:numId w:val="4"/>
        </w:numPr>
        <w:kinsoku/>
        <w:wordWrap/>
        <w:overflowPunct/>
        <w:topLinePunct w:val="0"/>
        <w:autoSpaceDE/>
        <w:autoSpaceDN/>
        <w:bidi w:val="0"/>
        <w:adjustRightInd w:val="0"/>
        <w:snapToGrid w:val="0"/>
        <w:spacing w:line="400" w:lineRule="exact"/>
        <w:ind w:left="-60" w:leftChars="0" w:firstLine="480" w:firstLineChars="0"/>
        <w:textAlignment w:val="auto"/>
        <w:rPr>
          <w:rFonts w:hint="eastAsia" w:ascii="宋体" w:hAnsi="宋体" w:eastAsia="宋体" w:cs="Times New Roman"/>
          <w:color w:val="000000" w:themeColor="text1"/>
          <w:sz w:val="24"/>
          <w:szCs w:val="24"/>
          <w:highlight w:val="none"/>
          <w14:textFill>
            <w14:solidFill>
              <w14:schemeClr w14:val="tx1"/>
            </w14:solidFill>
          </w14:textFill>
        </w:rPr>
      </w:pPr>
      <w:r>
        <w:rPr>
          <w:rFonts w:hint="eastAsia" w:ascii="宋体" w:hAnsi="宋体" w:eastAsia="宋体"/>
          <w:color w:val="000000" w:themeColor="text1"/>
          <w:sz w:val="24"/>
          <w:szCs w:val="24"/>
          <w:highlight w:val="none"/>
          <w14:textFill>
            <w14:solidFill>
              <w14:schemeClr w14:val="tx1"/>
            </w14:solidFill>
          </w14:textFill>
        </w:rPr>
        <w:t>本次报价应包含建设过程中发生诸如物价</w:t>
      </w:r>
      <w:r>
        <w:rPr>
          <w:rFonts w:hint="eastAsia" w:ascii="宋体" w:hAnsi="宋体" w:eastAsia="宋体"/>
          <w:color w:val="000000" w:themeColor="text1"/>
          <w:sz w:val="24"/>
          <w:szCs w:val="24"/>
          <w:highlight w:val="none"/>
          <w:lang w:eastAsia="zh-CN"/>
          <w14:textFill>
            <w14:solidFill>
              <w14:schemeClr w14:val="tx1"/>
            </w14:solidFill>
          </w14:textFill>
        </w:rPr>
        <w:t>涨跌</w:t>
      </w:r>
      <w:r>
        <w:rPr>
          <w:rFonts w:hint="eastAsia" w:ascii="宋体" w:hAnsi="宋体" w:eastAsia="宋体"/>
          <w:color w:val="000000" w:themeColor="text1"/>
          <w:sz w:val="24"/>
          <w:szCs w:val="24"/>
          <w:highlight w:val="none"/>
          <w14:textFill>
            <w14:solidFill>
              <w14:schemeClr w14:val="tx1"/>
            </w14:solidFill>
          </w14:textFill>
        </w:rPr>
        <w:t>和政策性调价等因素，结算时</w:t>
      </w:r>
      <w:r>
        <w:rPr>
          <w:rFonts w:hint="eastAsia" w:ascii="宋体" w:hAnsi="宋体" w:eastAsia="宋体"/>
          <w:color w:val="000000" w:themeColor="text1"/>
          <w:sz w:val="24"/>
          <w:szCs w:val="24"/>
          <w:highlight w:val="none"/>
          <w:lang w:val="en-US" w:eastAsia="zh-CN"/>
          <w14:textFill>
            <w14:solidFill>
              <w14:schemeClr w14:val="tx1"/>
            </w14:solidFill>
          </w14:textFill>
        </w:rPr>
        <w:t>全费用</w:t>
      </w:r>
      <w:r>
        <w:rPr>
          <w:rFonts w:hint="eastAsia" w:ascii="宋体" w:hAnsi="宋体" w:eastAsia="宋体"/>
          <w:color w:val="000000" w:themeColor="text1"/>
          <w:sz w:val="24"/>
          <w:szCs w:val="24"/>
          <w:highlight w:val="none"/>
          <w14:textFill>
            <w14:solidFill>
              <w14:schemeClr w14:val="tx1"/>
            </w14:solidFill>
          </w14:textFill>
        </w:rPr>
        <w:t>综合单价不调整</w:t>
      </w:r>
      <w:r>
        <w:rPr>
          <w:rFonts w:hint="eastAsia" w:ascii="宋体" w:hAnsi="宋体" w:eastAsia="宋体"/>
          <w:color w:val="000000" w:themeColor="text1"/>
          <w:sz w:val="24"/>
          <w:szCs w:val="24"/>
          <w:highlight w:val="none"/>
          <w:lang w:eastAsia="zh-CN"/>
          <w14:textFill>
            <w14:solidFill>
              <w14:schemeClr w14:val="tx1"/>
            </w14:solidFill>
          </w14:textFill>
        </w:rPr>
        <w:t>（</w:t>
      </w:r>
      <w:r>
        <w:rPr>
          <w:rFonts w:hint="eastAsia" w:ascii="宋体" w:hAnsi="宋体" w:eastAsia="宋体"/>
          <w:color w:val="000000" w:themeColor="text1"/>
          <w:sz w:val="24"/>
          <w:szCs w:val="24"/>
          <w:highlight w:val="none"/>
          <w14:textFill>
            <w14:solidFill>
              <w14:schemeClr w14:val="tx1"/>
            </w14:solidFill>
          </w14:textFill>
        </w:rPr>
        <w:t>招标文件另有约定的除外）。</w:t>
      </w:r>
      <w:r>
        <w:rPr>
          <w:rFonts w:hint="eastAsia" w:ascii="宋体" w:hAnsi="宋体" w:eastAsia="宋体" w:cs="Times New Roman"/>
          <w:color w:val="000000" w:themeColor="text1"/>
          <w:sz w:val="24"/>
          <w:szCs w:val="24"/>
          <w:highlight w:val="none"/>
          <w14:textFill>
            <w14:solidFill>
              <w14:schemeClr w14:val="tx1"/>
            </w14:solidFill>
          </w14:textFill>
        </w:rPr>
        <w:t>在施工过程中可能产生的扬尘、噪音、车辆进出等因素,不得对周围居民的安全、财产及正常生活等造成影响,需采取的措施及费用均需考虑在投标报价当中；若因此引起纠纷及损失,均由投标单位自行解决</w:t>
      </w:r>
      <w:r>
        <w:rPr>
          <w:rFonts w:hint="eastAsia" w:ascii="宋体" w:hAnsi="宋体" w:eastAsia="宋体" w:cs="Times New Roman"/>
          <w:color w:val="000000" w:themeColor="text1"/>
          <w:sz w:val="24"/>
          <w:szCs w:val="24"/>
          <w:highlight w:val="none"/>
          <w:lang w:eastAsia="zh-CN"/>
          <w14:textFill>
            <w14:solidFill>
              <w14:schemeClr w14:val="tx1"/>
            </w14:solidFill>
          </w14:textFill>
        </w:rPr>
        <w:t>。</w:t>
      </w:r>
    </w:p>
    <w:p w14:paraId="60D2F27A">
      <w:pPr>
        <w:keepNext w:val="0"/>
        <w:keepLines w:val="0"/>
        <w:pageBreakBefore w:val="0"/>
        <w:widowControl w:val="0"/>
        <w:numPr>
          <w:ilvl w:val="0"/>
          <w:numId w:val="4"/>
        </w:numPr>
        <w:kinsoku/>
        <w:wordWrap/>
        <w:overflowPunct/>
        <w:topLinePunct w:val="0"/>
        <w:autoSpaceDE/>
        <w:autoSpaceDN/>
        <w:bidi w:val="0"/>
        <w:adjustRightInd w:val="0"/>
        <w:snapToGrid w:val="0"/>
        <w:spacing w:line="400" w:lineRule="exact"/>
        <w:ind w:left="-60" w:leftChars="0" w:firstLine="480" w:firstLineChars="0"/>
        <w:textAlignment w:val="auto"/>
        <w:rPr>
          <w:rFonts w:hint="eastAsia" w:ascii="宋体" w:hAnsi="宋体" w:eastAsia="宋体" w:cs="Times New Roman"/>
          <w:color w:val="000000" w:themeColor="text1"/>
          <w:sz w:val="24"/>
          <w:szCs w:val="24"/>
          <w:highlight w:val="none"/>
          <w14:textFill>
            <w14:solidFill>
              <w14:schemeClr w14:val="tx1"/>
            </w14:solidFill>
          </w14:textFill>
        </w:rPr>
      </w:pPr>
      <w:r>
        <w:rPr>
          <w:rFonts w:hint="eastAsia" w:ascii="宋体" w:hAnsi="宋体" w:eastAsia="宋体" w:cs="Times New Roman"/>
          <w:color w:val="000000" w:themeColor="text1"/>
          <w:sz w:val="24"/>
          <w:szCs w:val="24"/>
          <w:highlight w:val="none"/>
          <w14:textFill>
            <w14:solidFill>
              <w14:schemeClr w14:val="tx1"/>
            </w14:solidFill>
          </w14:textFill>
        </w:rPr>
        <w:t>投标单位</w:t>
      </w:r>
      <w:r>
        <w:rPr>
          <w:rFonts w:hint="eastAsia" w:ascii="宋体" w:hAnsi="宋体" w:eastAsia="宋体" w:cs="Times New Roman"/>
          <w:color w:val="000000" w:themeColor="text1"/>
          <w:sz w:val="24"/>
          <w:szCs w:val="24"/>
          <w:highlight w:val="none"/>
          <w:lang w:val="en-US" w:eastAsia="zh-CN"/>
          <w14:textFill>
            <w14:solidFill>
              <w14:schemeClr w14:val="tx1"/>
            </w14:solidFill>
          </w14:textFill>
        </w:rPr>
        <w:t>需</w:t>
      </w:r>
      <w:r>
        <w:rPr>
          <w:rFonts w:hint="eastAsia" w:ascii="宋体" w:hAnsi="宋体" w:eastAsia="宋体" w:cs="Times New Roman"/>
          <w:color w:val="000000" w:themeColor="text1"/>
          <w:sz w:val="24"/>
          <w:szCs w:val="24"/>
          <w:highlight w:val="none"/>
          <w14:textFill>
            <w14:solidFill>
              <w14:schemeClr w14:val="tx1"/>
            </w14:solidFill>
          </w14:textFill>
        </w:rPr>
        <w:t>为本工程提供的各类机械设备费用,包括机械设备的进出场、装卸、拼装、交通标示牌、警示牌等所有费用,应包括在清单报价中,投标单位应充分考虑施工过程中发生的各种机械的多次进出场和机械停滞的费用及风险费用,结算时不增加此部分费用</w:t>
      </w:r>
      <w:r>
        <w:rPr>
          <w:rFonts w:hint="eastAsia" w:ascii="宋体" w:hAnsi="宋体" w:eastAsia="宋体" w:cs="Times New Roman"/>
          <w:color w:val="000000" w:themeColor="text1"/>
          <w:sz w:val="24"/>
          <w:szCs w:val="24"/>
          <w:highlight w:val="none"/>
          <w:lang w:eastAsia="zh-CN"/>
          <w14:textFill>
            <w14:solidFill>
              <w14:schemeClr w14:val="tx1"/>
            </w14:solidFill>
          </w14:textFill>
        </w:rPr>
        <w:t>。</w:t>
      </w:r>
    </w:p>
    <w:p w14:paraId="136BF2D6">
      <w:pPr>
        <w:keepNext w:val="0"/>
        <w:keepLines w:val="0"/>
        <w:pageBreakBefore w:val="0"/>
        <w:widowControl w:val="0"/>
        <w:numPr>
          <w:ilvl w:val="0"/>
          <w:numId w:val="4"/>
        </w:numPr>
        <w:kinsoku/>
        <w:wordWrap/>
        <w:overflowPunct/>
        <w:topLinePunct w:val="0"/>
        <w:autoSpaceDE/>
        <w:autoSpaceDN/>
        <w:bidi w:val="0"/>
        <w:adjustRightInd w:val="0"/>
        <w:snapToGrid w:val="0"/>
        <w:spacing w:line="400" w:lineRule="exact"/>
        <w:ind w:left="-60" w:leftChars="0" w:firstLine="480" w:firstLineChars="0"/>
        <w:textAlignment w:val="auto"/>
        <w:rPr>
          <w:rFonts w:hint="eastAsia" w:eastAsia="宋体"/>
          <w:color w:val="000000" w:themeColor="text1"/>
          <w:sz w:val="24"/>
          <w:szCs w:val="24"/>
          <w:highlight w:val="none"/>
          <w14:textFill>
            <w14:solidFill>
              <w14:schemeClr w14:val="tx1"/>
            </w14:solidFill>
          </w14:textFill>
        </w:rPr>
      </w:pPr>
      <w:r>
        <w:rPr>
          <w:rFonts w:hint="eastAsia" w:ascii="宋体" w:hAnsi="宋体" w:eastAsia="宋体" w:cs="Times New Roman"/>
          <w:color w:val="000000" w:themeColor="text1"/>
          <w:sz w:val="24"/>
          <w:szCs w:val="24"/>
          <w:highlight w:val="none"/>
          <w14:textFill>
            <w14:solidFill>
              <w14:schemeClr w14:val="tx1"/>
            </w14:solidFill>
          </w14:textFill>
        </w:rPr>
        <w:t>投标报价要充分考虑施工过程中不可避免的赶工期增加费,结算时不增加此部分费用</w:t>
      </w:r>
      <w:r>
        <w:rPr>
          <w:rFonts w:hint="eastAsia" w:ascii="宋体" w:hAnsi="宋体" w:eastAsia="宋体"/>
          <w:color w:val="000000" w:themeColor="text1"/>
          <w:sz w:val="24"/>
          <w:szCs w:val="24"/>
          <w:highlight w:val="none"/>
          <w14:textFill>
            <w14:solidFill>
              <w14:schemeClr w14:val="tx1"/>
            </w14:solidFill>
          </w14:textFill>
        </w:rPr>
        <w:t>。</w:t>
      </w:r>
    </w:p>
    <w:p w14:paraId="706EFC9F">
      <w:pPr>
        <w:keepNext w:val="0"/>
        <w:keepLines w:val="0"/>
        <w:pageBreakBefore w:val="0"/>
        <w:widowControl w:val="0"/>
        <w:numPr>
          <w:ilvl w:val="0"/>
          <w:numId w:val="4"/>
        </w:numPr>
        <w:kinsoku/>
        <w:wordWrap/>
        <w:overflowPunct/>
        <w:topLinePunct w:val="0"/>
        <w:autoSpaceDE/>
        <w:autoSpaceDN/>
        <w:bidi w:val="0"/>
        <w:adjustRightInd w:val="0"/>
        <w:snapToGrid w:val="0"/>
        <w:spacing w:line="400" w:lineRule="exact"/>
        <w:ind w:left="-60" w:leftChars="0" w:firstLine="480" w:firstLineChars="0"/>
        <w:jc w:val="left"/>
        <w:textAlignment w:val="auto"/>
        <w:rPr>
          <w:rFonts w:hint="eastAsia" w:ascii="宋体" w:hAnsi="宋体" w:eastAsia="宋体" w:cs="Times New Roman"/>
          <w:color w:val="000000" w:themeColor="text1"/>
          <w:sz w:val="24"/>
          <w:szCs w:val="24"/>
          <w:highlight w:val="none"/>
          <w:lang w:val="en-US" w:eastAsia="zh-CN"/>
          <w14:textFill>
            <w14:solidFill>
              <w14:schemeClr w14:val="tx1"/>
            </w14:solidFill>
          </w14:textFill>
        </w:rPr>
      </w:pPr>
      <w:r>
        <w:rPr>
          <w:rFonts w:hint="eastAsia" w:ascii="宋体" w:hAnsi="宋体" w:eastAsia="宋体" w:cs="Times New Roman"/>
          <w:color w:val="000000" w:themeColor="text1"/>
          <w:sz w:val="24"/>
          <w:szCs w:val="24"/>
          <w:highlight w:val="none"/>
          <w:lang w:val="en-US" w:eastAsia="zh-CN"/>
          <w14:textFill>
            <w14:solidFill>
              <w14:schemeClr w14:val="tx1"/>
            </w14:solidFill>
          </w14:textFill>
        </w:rPr>
        <w:t>清单报价时，投标单位应注意：</w:t>
      </w:r>
    </w:p>
    <w:p w14:paraId="2B528532">
      <w:pPr>
        <w:keepNext w:val="0"/>
        <w:keepLines w:val="0"/>
        <w:pageBreakBefore w:val="0"/>
        <w:widowControl w:val="0"/>
        <w:numPr>
          <w:ilvl w:val="0"/>
          <w:numId w:val="5"/>
        </w:numPr>
        <w:kinsoku/>
        <w:wordWrap/>
        <w:overflowPunct/>
        <w:topLinePunct w:val="0"/>
        <w:autoSpaceDE/>
        <w:autoSpaceDN/>
        <w:bidi w:val="0"/>
        <w:adjustRightInd w:val="0"/>
        <w:snapToGrid w:val="0"/>
        <w:spacing w:line="400" w:lineRule="exact"/>
        <w:ind w:left="0" w:leftChars="0" w:firstLine="480" w:firstLineChars="200"/>
        <w:textAlignment w:val="auto"/>
        <w:rPr>
          <w:rFonts w:hint="eastAsia" w:ascii="宋体" w:hAnsi="宋体" w:eastAsia="宋体" w:cs="Times New Roman"/>
          <w:color w:val="000000" w:themeColor="text1"/>
          <w:sz w:val="24"/>
          <w:szCs w:val="24"/>
          <w:highlight w:val="none"/>
          <w:lang w:val="en-US" w:eastAsia="zh-CN"/>
          <w14:textFill>
            <w14:solidFill>
              <w14:schemeClr w14:val="tx1"/>
            </w14:solidFill>
          </w14:textFill>
        </w:rPr>
      </w:pPr>
      <w:r>
        <w:rPr>
          <w:rFonts w:hint="eastAsia" w:ascii="宋体" w:hAnsi="宋体" w:eastAsia="宋体" w:cs="Times New Roman"/>
          <w:color w:val="000000" w:themeColor="text1"/>
          <w:sz w:val="24"/>
          <w:szCs w:val="24"/>
          <w:highlight w:val="none"/>
          <w:lang w:val="en-US" w:eastAsia="zh-CN"/>
          <w14:textFill>
            <w14:solidFill>
              <w14:schemeClr w14:val="tx1"/>
            </w14:solidFill>
          </w14:textFill>
        </w:rPr>
        <w:t>土石方的挖、运、弃相关子目报价时须考虑省、市对扬尘和散流物体运输控制的相关文件要求，结算时除出现与地质勘察报告不同且有经验的承包商难以预见的地质条件外，不得因任何原因调整与土石方相关子目的单价。</w:t>
      </w:r>
    </w:p>
    <w:p w14:paraId="24608939">
      <w:pPr>
        <w:keepNext w:val="0"/>
        <w:keepLines w:val="0"/>
        <w:pageBreakBefore w:val="0"/>
        <w:widowControl w:val="0"/>
        <w:numPr>
          <w:ilvl w:val="0"/>
          <w:numId w:val="5"/>
        </w:numPr>
        <w:kinsoku/>
        <w:wordWrap/>
        <w:overflowPunct/>
        <w:topLinePunct w:val="0"/>
        <w:autoSpaceDE/>
        <w:autoSpaceDN/>
        <w:bidi w:val="0"/>
        <w:adjustRightInd w:val="0"/>
        <w:snapToGrid w:val="0"/>
        <w:spacing w:line="400" w:lineRule="exact"/>
        <w:ind w:left="0" w:leftChars="0" w:firstLine="480" w:firstLineChars="200"/>
        <w:textAlignment w:val="auto"/>
        <w:rPr>
          <w:rFonts w:ascii="宋体" w:hAnsi="宋体" w:eastAsia="宋体" w:cs="宋体"/>
          <w:color w:val="000000" w:themeColor="text1"/>
          <w:sz w:val="24"/>
          <w:szCs w:val="24"/>
          <w:highlight w:val="none"/>
          <w14:textFill>
            <w14:solidFill>
              <w14:schemeClr w14:val="tx1"/>
            </w14:solidFill>
          </w14:textFill>
        </w:rPr>
      </w:pPr>
      <w:r>
        <w:rPr>
          <w:rFonts w:hint="eastAsia" w:ascii="宋体" w:hAnsi="宋体" w:eastAsia="宋体" w:cs="Times New Roman"/>
          <w:color w:val="000000" w:themeColor="text1"/>
          <w:sz w:val="24"/>
          <w:szCs w:val="24"/>
          <w:highlight w:val="none"/>
          <w:lang w:val="en-US" w:eastAsia="zh-CN"/>
          <w14:textFill>
            <w14:solidFill>
              <w14:schemeClr w14:val="tx1"/>
            </w14:solidFill>
          </w14:textFill>
        </w:rPr>
        <w:t>投标单位须考虑本工程所处地理位置、周边居民及学校要求和交通管制等影响因素，结算时不另计相关费用。</w:t>
      </w:r>
    </w:p>
    <w:p w14:paraId="2E5C39F6">
      <w:pPr>
        <w:keepNext w:val="0"/>
        <w:keepLines w:val="0"/>
        <w:pageBreakBefore w:val="0"/>
        <w:widowControl w:val="0"/>
        <w:numPr>
          <w:ilvl w:val="0"/>
          <w:numId w:val="5"/>
        </w:numPr>
        <w:kinsoku/>
        <w:wordWrap/>
        <w:overflowPunct/>
        <w:topLinePunct w:val="0"/>
        <w:autoSpaceDE/>
        <w:autoSpaceDN/>
        <w:bidi w:val="0"/>
        <w:adjustRightInd w:val="0"/>
        <w:snapToGrid w:val="0"/>
        <w:spacing w:line="400" w:lineRule="exact"/>
        <w:ind w:left="0" w:leftChars="0" w:firstLine="480" w:firstLineChars="200"/>
        <w:textAlignment w:val="auto"/>
        <w:rPr>
          <w:rFonts w:hint="eastAsia" w:ascii="宋体" w:hAnsi="宋体" w:eastAsia="宋体" w:cs="Times New Roman"/>
          <w:color w:val="000000" w:themeColor="text1"/>
          <w:sz w:val="24"/>
          <w:szCs w:val="24"/>
          <w:highlight w:val="none"/>
          <w:lang w:val="en-US" w:eastAsia="zh-CN"/>
          <w14:textFill>
            <w14:solidFill>
              <w14:schemeClr w14:val="tx1"/>
            </w14:solidFill>
          </w14:textFill>
        </w:rPr>
      </w:pPr>
      <w:r>
        <w:rPr>
          <w:rFonts w:hint="eastAsia" w:ascii="宋体" w:hAnsi="宋体" w:eastAsia="宋体" w:cs="Times New Roman"/>
          <w:color w:val="000000" w:themeColor="text1"/>
          <w:sz w:val="24"/>
          <w:szCs w:val="24"/>
          <w:highlight w:val="none"/>
          <w:lang w:val="en-US" w:eastAsia="zh-CN"/>
          <w14:textFill>
            <w14:solidFill>
              <w14:schemeClr w14:val="tx1"/>
            </w14:solidFill>
          </w14:textFill>
        </w:rPr>
        <w:t>混凝土子目报价须考虑混凝土材料费、运输费（含垂直运输）、各种方式的泵送费、泵送剂费用、养护费用等；须考虑商品砼泵送时产生的组管、洗管、配合泵送的材料费、人工费、机械费及各种泵的电费、燃料费等；须考虑模板（砖胎膜）、模板超高、止水螺栓、对拉螺栓、螺栓端头处理、螺栓孔及施工缝的防水处理、支撑方式、模板摊销次数等影响因素，结算时不另计相关费用。</w:t>
      </w:r>
    </w:p>
    <w:p w14:paraId="7900D281">
      <w:pPr>
        <w:keepNext w:val="0"/>
        <w:keepLines w:val="0"/>
        <w:pageBreakBefore w:val="0"/>
        <w:widowControl w:val="0"/>
        <w:numPr>
          <w:ilvl w:val="0"/>
          <w:numId w:val="5"/>
        </w:numPr>
        <w:kinsoku/>
        <w:wordWrap/>
        <w:overflowPunct/>
        <w:topLinePunct w:val="0"/>
        <w:autoSpaceDE/>
        <w:autoSpaceDN/>
        <w:bidi w:val="0"/>
        <w:adjustRightInd w:val="0"/>
        <w:snapToGrid w:val="0"/>
        <w:spacing w:line="400" w:lineRule="exact"/>
        <w:ind w:left="0" w:leftChars="0" w:firstLine="480" w:firstLineChars="200"/>
        <w:textAlignment w:val="auto"/>
        <w:rPr>
          <w:rFonts w:hint="eastAsia" w:ascii="宋体" w:hAnsi="宋体" w:eastAsia="宋体" w:cs="Times New Roman"/>
          <w:color w:val="000000" w:themeColor="text1"/>
          <w:sz w:val="24"/>
          <w:szCs w:val="24"/>
          <w:highlight w:val="none"/>
          <w:lang w:val="en-US" w:eastAsia="zh-CN"/>
          <w14:textFill>
            <w14:solidFill>
              <w14:schemeClr w14:val="tx1"/>
            </w14:solidFill>
          </w14:textFill>
        </w:rPr>
      </w:pPr>
      <w:r>
        <w:rPr>
          <w:rFonts w:hint="eastAsia" w:ascii="宋体" w:hAnsi="宋体" w:eastAsia="宋体" w:cs="Times New Roman"/>
          <w:color w:val="000000" w:themeColor="text1"/>
          <w:sz w:val="24"/>
          <w:szCs w:val="24"/>
          <w:highlight w:val="none"/>
          <w:lang w:val="en-US" w:eastAsia="zh-CN"/>
          <w14:textFill>
            <w14:solidFill>
              <w14:schemeClr w14:val="tx1"/>
            </w14:solidFill>
          </w14:textFill>
        </w:rPr>
        <w:t>钢筋子目报价须考虑损耗、钢筋定尺长度引起价格差异等因素，结算时不另计相关费用。</w:t>
      </w:r>
    </w:p>
    <w:p w14:paraId="3860E27F">
      <w:pPr>
        <w:keepNext w:val="0"/>
        <w:keepLines w:val="0"/>
        <w:pageBreakBefore w:val="0"/>
        <w:widowControl w:val="0"/>
        <w:numPr>
          <w:ilvl w:val="0"/>
          <w:numId w:val="5"/>
        </w:numPr>
        <w:kinsoku/>
        <w:wordWrap/>
        <w:overflowPunct/>
        <w:topLinePunct w:val="0"/>
        <w:autoSpaceDE/>
        <w:autoSpaceDN/>
        <w:bidi w:val="0"/>
        <w:adjustRightInd w:val="0"/>
        <w:snapToGrid w:val="0"/>
        <w:spacing w:line="400" w:lineRule="exact"/>
        <w:ind w:left="0" w:leftChars="0" w:firstLine="480" w:firstLineChars="200"/>
        <w:textAlignment w:val="auto"/>
        <w:rPr>
          <w:rFonts w:hint="eastAsia" w:ascii="宋体" w:hAnsi="宋体" w:eastAsia="宋体" w:cs="Times New Roman"/>
          <w:color w:val="000000" w:themeColor="text1"/>
          <w:sz w:val="24"/>
          <w:szCs w:val="24"/>
          <w:highlight w:val="none"/>
          <w:lang w:val="en-US" w:eastAsia="zh-CN"/>
          <w14:textFill>
            <w14:solidFill>
              <w14:schemeClr w14:val="tx1"/>
            </w14:solidFill>
          </w14:textFill>
        </w:rPr>
      </w:pPr>
      <w:r>
        <w:rPr>
          <w:rFonts w:hint="eastAsia" w:ascii="宋体" w:hAnsi="宋体" w:eastAsia="宋体" w:cs="Times New Roman"/>
          <w:color w:val="000000" w:themeColor="text1"/>
          <w:sz w:val="24"/>
          <w:szCs w:val="24"/>
          <w:highlight w:val="none"/>
          <w:lang w:val="en-US" w:eastAsia="zh-CN"/>
          <w14:textFill>
            <w14:solidFill>
              <w14:schemeClr w14:val="tx1"/>
            </w14:solidFill>
          </w14:textFill>
        </w:rPr>
        <w:t>块料、石材子目报价须考虑基层清理、素水泥浆、伸缩缝等，结合层厚度无设计变更时不调增，厚度减少则据实调减；块料、石材规格、排布须考虑在损耗中，结算时不另计相关费用。</w:t>
      </w:r>
    </w:p>
    <w:p w14:paraId="6E7F4BFC">
      <w:pPr>
        <w:keepNext w:val="0"/>
        <w:keepLines w:val="0"/>
        <w:pageBreakBefore w:val="0"/>
        <w:widowControl w:val="0"/>
        <w:numPr>
          <w:ilvl w:val="0"/>
          <w:numId w:val="5"/>
        </w:numPr>
        <w:kinsoku/>
        <w:wordWrap/>
        <w:overflowPunct/>
        <w:topLinePunct w:val="0"/>
        <w:autoSpaceDE/>
        <w:autoSpaceDN/>
        <w:bidi w:val="0"/>
        <w:adjustRightInd w:val="0"/>
        <w:snapToGrid w:val="0"/>
        <w:spacing w:line="400" w:lineRule="exact"/>
        <w:ind w:left="0" w:leftChars="0" w:firstLine="480" w:firstLineChars="200"/>
        <w:textAlignment w:val="auto"/>
        <w:rPr>
          <w:rFonts w:hint="eastAsia" w:ascii="宋体" w:hAnsi="宋体" w:eastAsia="宋体" w:cs="Times New Roman"/>
          <w:color w:val="000000" w:themeColor="text1"/>
          <w:sz w:val="24"/>
          <w:szCs w:val="24"/>
          <w:highlight w:val="none"/>
          <w:lang w:val="en-US" w:eastAsia="zh-CN"/>
          <w14:textFill>
            <w14:solidFill>
              <w14:schemeClr w14:val="tx1"/>
            </w14:solidFill>
          </w14:textFill>
        </w:rPr>
      </w:pPr>
      <w:r>
        <w:rPr>
          <w:rFonts w:hint="eastAsia" w:ascii="宋体" w:hAnsi="宋体" w:eastAsia="宋体" w:cs="Times New Roman"/>
          <w:color w:val="000000" w:themeColor="text1"/>
          <w:sz w:val="24"/>
          <w:szCs w:val="24"/>
          <w:highlight w:val="none"/>
          <w:lang w:val="en-US" w:eastAsia="zh-CN"/>
          <w14:textFill>
            <w14:solidFill>
              <w14:schemeClr w14:val="tx1"/>
            </w14:solidFill>
          </w14:textFill>
        </w:rPr>
        <w:t>土石方工程挖填、外运项目的计算体积，均按开挖前的天然密实体积计算。</w:t>
      </w:r>
    </w:p>
    <w:p w14:paraId="2379B497">
      <w:pPr>
        <w:keepNext w:val="0"/>
        <w:keepLines w:val="0"/>
        <w:pageBreakBefore w:val="0"/>
        <w:widowControl w:val="0"/>
        <w:numPr>
          <w:ilvl w:val="0"/>
          <w:numId w:val="5"/>
        </w:numPr>
        <w:kinsoku/>
        <w:wordWrap/>
        <w:overflowPunct/>
        <w:topLinePunct w:val="0"/>
        <w:autoSpaceDE/>
        <w:autoSpaceDN/>
        <w:bidi w:val="0"/>
        <w:adjustRightInd w:val="0"/>
        <w:snapToGrid w:val="0"/>
        <w:spacing w:line="400" w:lineRule="exact"/>
        <w:ind w:left="0" w:leftChars="0" w:firstLine="480" w:firstLineChars="200"/>
        <w:textAlignment w:val="auto"/>
        <w:rPr>
          <w:rFonts w:hint="eastAsia" w:ascii="宋体" w:hAnsi="宋体" w:eastAsia="宋体" w:cs="Times New Roman"/>
          <w:color w:val="000000" w:themeColor="text1"/>
          <w:sz w:val="24"/>
          <w:szCs w:val="24"/>
          <w:highlight w:val="none"/>
          <w:lang w:val="en-US" w:eastAsia="zh-CN"/>
          <w14:textFill>
            <w14:solidFill>
              <w14:schemeClr w14:val="tx1"/>
            </w14:solidFill>
          </w14:textFill>
        </w:rPr>
      </w:pPr>
      <w:r>
        <w:rPr>
          <w:rFonts w:hint="eastAsia" w:ascii="宋体" w:hAnsi="宋体" w:eastAsia="宋体" w:cs="Times New Roman"/>
          <w:color w:val="000000" w:themeColor="text1"/>
          <w:sz w:val="24"/>
          <w:szCs w:val="24"/>
          <w:highlight w:val="none"/>
          <w:lang w:val="en-US" w:eastAsia="zh-CN"/>
          <w14:textFill>
            <w14:solidFill>
              <w14:schemeClr w14:val="tx1"/>
            </w14:solidFill>
          </w14:textFill>
        </w:rPr>
        <w:t>土工布铺设项目，均按实际成活面积计算，搭接面积综合考虑，不另计算。</w:t>
      </w:r>
    </w:p>
    <w:p w14:paraId="46EEFA6D">
      <w:pPr>
        <w:keepNext w:val="0"/>
        <w:keepLines w:val="0"/>
        <w:pageBreakBefore w:val="0"/>
        <w:widowControl w:val="0"/>
        <w:numPr>
          <w:ilvl w:val="0"/>
          <w:numId w:val="5"/>
        </w:numPr>
        <w:kinsoku/>
        <w:wordWrap/>
        <w:overflowPunct/>
        <w:topLinePunct w:val="0"/>
        <w:autoSpaceDE/>
        <w:autoSpaceDN/>
        <w:bidi w:val="0"/>
        <w:adjustRightInd w:val="0"/>
        <w:snapToGrid w:val="0"/>
        <w:spacing w:line="400" w:lineRule="exact"/>
        <w:ind w:left="0" w:leftChars="0" w:firstLine="480" w:firstLineChars="200"/>
        <w:textAlignment w:val="auto"/>
        <w:rPr>
          <w:rFonts w:hint="eastAsia" w:ascii="宋体" w:hAnsi="宋体" w:eastAsia="宋体" w:cs="Times New Roman"/>
          <w:color w:val="000000" w:themeColor="text1"/>
          <w:sz w:val="24"/>
          <w:szCs w:val="24"/>
          <w:highlight w:val="none"/>
          <w:lang w:val="en-US" w:eastAsia="zh-CN"/>
          <w14:textFill>
            <w14:solidFill>
              <w14:schemeClr w14:val="tx1"/>
            </w14:solidFill>
          </w14:textFill>
        </w:rPr>
      </w:pPr>
      <w:r>
        <w:rPr>
          <w:rFonts w:hint="eastAsia" w:ascii="宋体" w:hAnsi="宋体" w:eastAsia="宋体" w:cs="Times New Roman"/>
          <w:color w:val="000000" w:themeColor="text1"/>
          <w:sz w:val="24"/>
          <w:szCs w:val="24"/>
          <w:highlight w:val="none"/>
          <w:lang w:val="en-US" w:eastAsia="zh-CN"/>
          <w14:textFill>
            <w14:solidFill>
              <w14:schemeClr w14:val="tx1"/>
            </w14:solidFill>
          </w14:textFill>
        </w:rPr>
        <w:t>拆除钢筋混凝土、拆除砌石及其外运等项目的计算体积，按拆除前的实体体积计算，扣除结构空洞处，不扣除其中埋设的管道、钢筋等体积。</w:t>
      </w:r>
    </w:p>
    <w:p w14:paraId="6AD5475D">
      <w:pPr>
        <w:keepNext w:val="0"/>
        <w:keepLines w:val="0"/>
        <w:pageBreakBefore w:val="0"/>
        <w:widowControl w:val="0"/>
        <w:numPr>
          <w:ilvl w:val="0"/>
          <w:numId w:val="5"/>
        </w:numPr>
        <w:kinsoku/>
        <w:wordWrap/>
        <w:overflowPunct/>
        <w:topLinePunct w:val="0"/>
        <w:autoSpaceDE/>
        <w:autoSpaceDN/>
        <w:bidi w:val="0"/>
        <w:adjustRightInd w:val="0"/>
        <w:snapToGrid w:val="0"/>
        <w:spacing w:line="400" w:lineRule="exact"/>
        <w:ind w:left="0" w:leftChars="0" w:firstLine="480" w:firstLineChars="200"/>
        <w:textAlignment w:val="auto"/>
        <w:rPr>
          <w:rFonts w:hint="eastAsia" w:ascii="宋体" w:hAnsi="宋体" w:eastAsia="宋体" w:cs="Times New Roman"/>
          <w:color w:val="000000" w:themeColor="text1"/>
          <w:sz w:val="24"/>
          <w:szCs w:val="24"/>
          <w:highlight w:val="none"/>
          <w:lang w:val="en-US" w:eastAsia="zh-CN"/>
          <w14:textFill>
            <w14:solidFill>
              <w14:schemeClr w14:val="tx1"/>
            </w14:solidFill>
          </w14:textFill>
        </w:rPr>
      </w:pPr>
      <w:r>
        <w:rPr>
          <w:rFonts w:hint="eastAsia" w:ascii="宋体" w:hAnsi="宋体" w:eastAsia="宋体" w:cs="Times New Roman"/>
          <w:color w:val="000000" w:themeColor="text1"/>
          <w:sz w:val="24"/>
          <w:szCs w:val="24"/>
          <w:highlight w:val="none"/>
          <w:lang w:val="en-US" w:eastAsia="zh-CN"/>
          <w14:textFill>
            <w14:solidFill>
              <w14:schemeClr w14:val="tx1"/>
            </w14:solidFill>
          </w14:textFill>
        </w:rPr>
        <w:t>各类砌石项目的计算体积，按实际砌筑成活体积计算，扣除结构空洞、埋设的管道等体积。</w:t>
      </w:r>
    </w:p>
    <w:p w14:paraId="6F7B4699">
      <w:pPr>
        <w:keepNext w:val="0"/>
        <w:keepLines w:val="0"/>
        <w:pageBreakBefore w:val="0"/>
        <w:widowControl w:val="0"/>
        <w:numPr>
          <w:ilvl w:val="0"/>
          <w:numId w:val="5"/>
        </w:numPr>
        <w:kinsoku/>
        <w:wordWrap/>
        <w:overflowPunct/>
        <w:topLinePunct w:val="0"/>
        <w:autoSpaceDE/>
        <w:autoSpaceDN/>
        <w:bidi w:val="0"/>
        <w:adjustRightInd w:val="0"/>
        <w:snapToGrid w:val="0"/>
        <w:spacing w:line="400" w:lineRule="exact"/>
        <w:ind w:left="0" w:leftChars="0" w:firstLine="480" w:firstLineChars="200"/>
        <w:textAlignment w:val="auto"/>
        <w:rPr>
          <w:rFonts w:hint="eastAsia" w:ascii="宋体" w:hAnsi="宋体" w:eastAsia="宋体" w:cs="Times New Roman"/>
          <w:color w:val="000000" w:themeColor="text1"/>
          <w:sz w:val="24"/>
          <w:szCs w:val="24"/>
          <w:highlight w:val="none"/>
          <w:lang w:val="en-US" w:eastAsia="zh-CN"/>
          <w14:textFill>
            <w14:solidFill>
              <w14:schemeClr w14:val="tx1"/>
            </w14:solidFill>
          </w14:textFill>
        </w:rPr>
      </w:pPr>
      <w:r>
        <w:rPr>
          <w:rFonts w:hint="eastAsia" w:ascii="宋体" w:hAnsi="宋体" w:eastAsia="宋体" w:cs="Times New Roman"/>
          <w:color w:val="000000" w:themeColor="text1"/>
          <w:sz w:val="24"/>
          <w:szCs w:val="24"/>
          <w:highlight w:val="none"/>
          <w:lang w:val="en-US" w:eastAsia="zh-CN"/>
          <w14:textFill>
            <w14:solidFill>
              <w14:schemeClr w14:val="tx1"/>
            </w14:solidFill>
          </w14:textFill>
        </w:rPr>
        <w:t>本工程“水库降排水导流”、“闸阀室内施工排水”、“吊车跨溢洪道运输”所使用的排水、吊装设备，规格型号综合考虑，需满足使用要求。报价时综合考虑设备进出场、燃料及动力费、机械折旧维修费用、操作人员及司机工资等全部费用，结算时不再调整。</w:t>
      </w:r>
    </w:p>
    <w:p w14:paraId="6866D91C">
      <w:pPr>
        <w:keepNext w:val="0"/>
        <w:keepLines w:val="0"/>
        <w:pageBreakBefore w:val="0"/>
        <w:widowControl w:val="0"/>
        <w:numPr>
          <w:ilvl w:val="0"/>
          <w:numId w:val="5"/>
        </w:numPr>
        <w:kinsoku/>
        <w:wordWrap/>
        <w:overflowPunct/>
        <w:topLinePunct w:val="0"/>
        <w:autoSpaceDE/>
        <w:autoSpaceDN/>
        <w:bidi w:val="0"/>
        <w:adjustRightInd w:val="0"/>
        <w:snapToGrid w:val="0"/>
        <w:spacing w:line="400" w:lineRule="exact"/>
        <w:ind w:left="0" w:leftChars="0" w:firstLine="480" w:firstLineChars="200"/>
        <w:textAlignment w:val="auto"/>
        <w:rPr>
          <w:rFonts w:hint="default" w:ascii="宋体" w:hAnsi="宋体" w:eastAsia="宋体" w:cs="Times New Roman"/>
          <w:color w:val="000000" w:themeColor="text1"/>
          <w:sz w:val="24"/>
          <w:szCs w:val="24"/>
          <w:highlight w:val="none"/>
          <w:lang w:val="en-US" w:eastAsia="zh-CN"/>
          <w14:textFill>
            <w14:solidFill>
              <w14:schemeClr w14:val="tx1"/>
            </w14:solidFill>
          </w14:textFill>
        </w:rPr>
      </w:pPr>
      <w:r>
        <w:rPr>
          <w:rFonts w:hint="eastAsia" w:ascii="宋体" w:hAnsi="宋体" w:eastAsia="宋体" w:cs="Times New Roman"/>
          <w:color w:val="000000" w:themeColor="text1"/>
          <w:kern w:val="2"/>
          <w:sz w:val="24"/>
          <w:szCs w:val="24"/>
          <w:highlight w:val="none"/>
          <w:lang w:val="en-US" w:eastAsia="zh-CN" w:bidi="ar-SA"/>
          <w14:textFill>
            <w14:solidFill>
              <w14:schemeClr w14:val="tx1"/>
            </w14:solidFill>
          </w14:textFill>
        </w:rPr>
        <w:t>清单中“小型机具材料倒运”是指由于道路条件限制，混凝土罐车、自卸车等运输工具不能到达的地点，改用小型机具二次运输的情况；“材料倒运”是指材料运输到现场后，小型机具行驶不到的区域，改用人力运输方式运至施工地点的情况。结算时按经甲方、监理认可的运输材料的实体体积计算</w:t>
      </w:r>
      <w:r>
        <w:rPr>
          <w:rFonts w:hint="eastAsia" w:ascii="宋体" w:hAnsi="宋体" w:eastAsia="宋体" w:cs="Times New Roman"/>
          <w:color w:val="000000" w:themeColor="text1"/>
          <w:sz w:val="24"/>
          <w:szCs w:val="24"/>
          <w:highlight w:val="none"/>
          <w:lang w:val="en-US" w:eastAsia="zh-CN"/>
          <w14:textFill>
            <w14:solidFill>
              <w14:schemeClr w14:val="tx1"/>
            </w14:solidFill>
          </w14:textFill>
        </w:rPr>
        <w:t>。</w:t>
      </w:r>
    </w:p>
    <w:p w14:paraId="2FCA54B4">
      <w:pPr>
        <w:keepNext w:val="0"/>
        <w:keepLines w:val="0"/>
        <w:pageBreakBefore w:val="0"/>
        <w:widowControl w:val="0"/>
        <w:numPr>
          <w:ilvl w:val="0"/>
          <w:numId w:val="5"/>
        </w:numPr>
        <w:kinsoku/>
        <w:wordWrap/>
        <w:overflowPunct/>
        <w:topLinePunct w:val="0"/>
        <w:autoSpaceDE/>
        <w:autoSpaceDN/>
        <w:bidi w:val="0"/>
        <w:adjustRightInd w:val="0"/>
        <w:snapToGrid w:val="0"/>
        <w:spacing w:line="400" w:lineRule="exact"/>
        <w:ind w:left="0" w:leftChars="0" w:firstLine="480" w:firstLineChars="200"/>
        <w:textAlignment w:val="auto"/>
        <w:rPr>
          <w:rFonts w:hint="default" w:ascii="宋体" w:hAnsi="宋体" w:eastAsia="宋体" w:cs="Times New Roman"/>
          <w:color w:val="000000" w:themeColor="text1"/>
          <w:sz w:val="24"/>
          <w:szCs w:val="24"/>
          <w:highlight w:val="none"/>
          <w:lang w:val="en-US" w:eastAsia="zh-CN"/>
          <w14:textFill>
            <w14:solidFill>
              <w14:schemeClr w14:val="tx1"/>
            </w14:solidFill>
          </w14:textFill>
        </w:rPr>
      </w:pPr>
      <w:r>
        <w:rPr>
          <w:rFonts w:hint="eastAsia" w:ascii="宋体" w:hAnsi="宋体" w:eastAsia="宋体" w:cs="Times New Roman"/>
          <w:color w:val="000000" w:themeColor="text1"/>
          <w:sz w:val="24"/>
          <w:szCs w:val="24"/>
          <w:highlight w:val="none"/>
          <w:lang w:val="en-US" w:eastAsia="zh-CN"/>
          <w14:textFill>
            <w14:solidFill>
              <w14:schemeClr w14:val="tx1"/>
            </w14:solidFill>
          </w14:textFill>
        </w:rPr>
        <w:t>清单中“临时道路修建”指通往施工地点的山路达不到小型机具通行标准时，需要对山路进行平整、高挖低填的情况，包括道路平整、高挖低填、施工期间道路维护等内容。“放水洞迎水面临时道路”指在迎水面斜坡施工时，由于坡度过大，导致施工车辆无法正常行驶至施工地点，需要在坡面采取铺设好土等措施以达到通行条件的情况。</w:t>
      </w:r>
      <w:r>
        <w:rPr>
          <w:rFonts w:hint="eastAsia" w:ascii="宋体" w:hAnsi="宋体" w:eastAsia="宋体" w:cs="Times New Roman"/>
          <w:color w:val="000000" w:themeColor="text1"/>
          <w:kern w:val="2"/>
          <w:sz w:val="24"/>
          <w:szCs w:val="24"/>
          <w:highlight w:val="none"/>
          <w:lang w:val="en-US" w:eastAsia="zh-CN" w:bidi="ar-SA"/>
          <w14:textFill>
            <w14:solidFill>
              <w14:schemeClr w14:val="tx1"/>
            </w14:solidFill>
          </w14:textFill>
        </w:rPr>
        <w:t>结算时按经甲方、监理认可的临时道路的修建面积计算</w:t>
      </w:r>
      <w:r>
        <w:rPr>
          <w:rFonts w:hint="eastAsia" w:ascii="宋体" w:hAnsi="宋体" w:eastAsia="宋体" w:cs="Times New Roman"/>
          <w:color w:val="000000" w:themeColor="text1"/>
          <w:sz w:val="24"/>
          <w:szCs w:val="24"/>
          <w:highlight w:val="none"/>
          <w:lang w:val="en-US" w:eastAsia="zh-CN"/>
          <w14:textFill>
            <w14:solidFill>
              <w14:schemeClr w14:val="tx1"/>
            </w14:solidFill>
          </w14:textFill>
        </w:rPr>
        <w:t>。</w:t>
      </w:r>
    </w:p>
    <w:p w14:paraId="1247A001">
      <w:pPr>
        <w:numPr>
          <w:ilvl w:val="0"/>
          <w:numId w:val="0"/>
        </w:numPr>
        <w:spacing w:line="400" w:lineRule="exact"/>
        <w:ind w:firstLine="0" w:firstLineChars="0"/>
        <w:rPr>
          <w:rFonts w:hint="eastAsia" w:ascii="宋体" w:hAnsi="宋体" w:eastAsia="宋体" w:cs="宋体"/>
          <w:color w:val="000000" w:themeColor="text1"/>
          <w:sz w:val="24"/>
          <w:szCs w:val="24"/>
          <w:highlight w:val="none"/>
          <w:lang w:val="en-US" w:eastAsia="zh-CN"/>
          <w14:textFill>
            <w14:solidFill>
              <w14:schemeClr w14:val="tx1"/>
            </w14:solidFill>
          </w14:textFill>
        </w:rPr>
      </w:pPr>
      <w:r>
        <w:rPr>
          <w:rFonts w:hint="eastAsia" w:ascii="宋体" w:hAnsi="宋体" w:eastAsia="宋体" w:cs="宋体"/>
          <w:color w:val="000000" w:themeColor="text1"/>
          <w:sz w:val="24"/>
          <w:szCs w:val="24"/>
          <w:highlight w:val="none"/>
          <w:lang w:val="en-US" w:eastAsia="zh-CN"/>
          <w14:textFill>
            <w14:solidFill>
              <w14:schemeClr w14:val="tx1"/>
            </w14:solidFill>
          </w14:textFill>
        </w:rPr>
        <w:t>二十二、特别说明：</w:t>
      </w:r>
    </w:p>
    <w:p w14:paraId="468B2686">
      <w:pPr>
        <w:keepNext w:val="0"/>
        <w:keepLines w:val="0"/>
        <w:pageBreakBefore w:val="0"/>
        <w:widowControl w:val="0"/>
        <w:numPr>
          <w:ilvl w:val="0"/>
          <w:numId w:val="6"/>
        </w:numPr>
        <w:kinsoku/>
        <w:wordWrap/>
        <w:overflowPunct/>
        <w:topLinePunct w:val="0"/>
        <w:autoSpaceDE/>
        <w:autoSpaceDN/>
        <w:bidi w:val="0"/>
        <w:adjustRightInd w:val="0"/>
        <w:snapToGrid w:val="0"/>
        <w:spacing w:line="400" w:lineRule="exact"/>
        <w:ind w:left="0" w:leftChars="0" w:firstLine="480" w:firstLineChars="200"/>
        <w:textAlignment w:val="auto"/>
        <w:rPr>
          <w:rFonts w:hint="default" w:ascii="宋体" w:hAnsi="宋体" w:eastAsia="宋体" w:cs="Times New Roman"/>
          <w:color w:val="000000" w:themeColor="text1"/>
          <w:sz w:val="24"/>
          <w:szCs w:val="24"/>
          <w:highlight w:val="none"/>
          <w:lang w:val="en-US" w:eastAsia="zh-CN"/>
          <w14:textFill>
            <w14:solidFill>
              <w14:schemeClr w14:val="tx1"/>
            </w14:solidFill>
          </w14:textFill>
        </w:rPr>
      </w:pPr>
      <w:r>
        <w:rPr>
          <w:rFonts w:hint="eastAsia" w:ascii="宋体" w:hAnsi="宋体" w:eastAsia="宋体" w:cs="Times New Roman"/>
          <w:color w:val="000000" w:themeColor="text1"/>
          <w:sz w:val="24"/>
          <w:szCs w:val="24"/>
          <w:highlight w:val="none"/>
          <w:lang w:val="en-US" w:eastAsia="zh-CN"/>
          <w14:textFill>
            <w14:solidFill>
              <w14:schemeClr w14:val="tx1"/>
            </w14:solidFill>
          </w14:textFill>
        </w:rPr>
        <w:t xml:space="preserve">本次招标列有安全生产费，投标单位应按照造价总额（不含暂列金额）的2.5%计入投标总价中。  </w:t>
      </w:r>
    </w:p>
    <w:p w14:paraId="20876E35">
      <w:pPr>
        <w:pStyle w:val="2"/>
        <w:ind w:left="0" w:leftChars="0" w:firstLine="480" w:firstLineChars="200"/>
        <w:rPr>
          <w:rFonts w:hint="eastAsia"/>
          <w:color w:val="000000" w:themeColor="text1"/>
          <w:lang w:val="en-US" w:eastAsia="zh-CN"/>
          <w14:textFill>
            <w14:solidFill>
              <w14:schemeClr w14:val="tx1"/>
            </w14:solidFill>
          </w14:textFill>
        </w:rPr>
      </w:pPr>
      <w:r>
        <w:rPr>
          <w:rFonts w:hint="eastAsia" w:ascii="宋体" w:hAnsi="宋体" w:eastAsia="宋体" w:cs="Times New Roman"/>
          <w:color w:val="000000" w:themeColor="text1"/>
          <w:sz w:val="24"/>
          <w:szCs w:val="24"/>
          <w:highlight w:val="none"/>
          <w:lang w:val="en-US" w:eastAsia="zh-CN"/>
          <w14:textFill>
            <w14:solidFill>
              <w14:schemeClr w14:val="tx1"/>
            </w14:solidFill>
          </w14:textFill>
        </w:rPr>
        <w:t xml:space="preserve">本次招标列有暂列金额，投标单位应按照给定的金额计入投标总价中，不能随意删除、改动。 </w:t>
      </w:r>
    </w:p>
    <w:p w14:paraId="04C07AA3">
      <w:pPr>
        <w:pStyle w:val="21"/>
        <w:ind w:left="560"/>
        <w:rPr>
          <w:color w:val="000000" w:themeColor="text1"/>
          <w14:textFill>
            <w14:solidFill>
              <w14:schemeClr w14:val="tx1"/>
            </w14:solidFill>
          </w14:textFill>
        </w:rPr>
      </w:pPr>
    </w:p>
    <w:p w14:paraId="6372C1AC">
      <w:pPr>
        <w:spacing w:line="560" w:lineRule="exact"/>
        <w:ind w:firstLine="560"/>
        <w:rPr>
          <w:color w:val="000000" w:themeColor="text1"/>
          <w14:textFill>
            <w14:solidFill>
              <w14:schemeClr w14:val="tx1"/>
            </w14:solidFill>
          </w14:textFill>
        </w:rPr>
      </w:pPr>
    </w:p>
    <w:p w14:paraId="21D8C8D5">
      <w:pPr>
        <w:pStyle w:val="21"/>
        <w:ind w:left="560"/>
        <w:rPr>
          <w:color w:val="000000" w:themeColor="text1"/>
          <w14:textFill>
            <w14:solidFill>
              <w14:schemeClr w14:val="tx1"/>
            </w14:solidFill>
          </w14:textFill>
        </w:rPr>
      </w:pPr>
      <w:r>
        <w:rPr>
          <w:color w:val="000000" w:themeColor="text1"/>
          <w14:textFill>
            <w14:solidFill>
              <w14:schemeClr w14:val="tx1"/>
            </w14:solidFill>
          </w14:textFill>
        </w:rPr>
        <w:br w:type="page"/>
      </w:r>
    </w:p>
    <w:p w14:paraId="6C2C9DD5">
      <w:pPr>
        <w:pStyle w:val="43"/>
        <w:spacing w:before="100" w:beforeAutospacing="1" w:after="100" w:afterAutospacing="1" w:line="415" w:lineRule="auto"/>
        <w:ind w:left="1440" w:firstLine="883"/>
        <w:jc w:val="both"/>
        <w:rPr>
          <w:rFonts w:ascii="宋体" w:hAnsi="宋体" w:cs="宋体"/>
          <w:color w:val="000000" w:themeColor="text1"/>
          <w:sz w:val="44"/>
          <w:szCs w:val="44"/>
          <w14:textFill>
            <w14:solidFill>
              <w14:schemeClr w14:val="tx1"/>
            </w14:solidFill>
          </w14:textFill>
        </w:rPr>
      </w:pPr>
      <w:r>
        <w:rPr>
          <w:rFonts w:hint="eastAsia" w:ascii="宋体" w:hAnsi="宋体" w:cs="宋体"/>
          <w:color w:val="000000" w:themeColor="text1"/>
          <w:sz w:val="44"/>
          <w:szCs w:val="44"/>
          <w14:textFill>
            <w14:solidFill>
              <w14:schemeClr w14:val="tx1"/>
            </w14:solidFill>
          </w14:textFill>
        </w:rPr>
        <w:t>第四章</w:t>
      </w:r>
      <w:r>
        <w:rPr>
          <w:rFonts w:hint="eastAsia" w:ascii="楷体_GB2312" w:hAnsi="宋体" w:eastAsia="楷体_GB2312" w:cs="宋体"/>
          <w:color w:val="000000" w:themeColor="text1"/>
          <w:sz w:val="44"/>
          <w:szCs w:val="44"/>
          <w14:textFill>
            <w14:solidFill>
              <w14:schemeClr w14:val="tx1"/>
            </w14:solidFill>
          </w14:textFill>
        </w:rPr>
        <w:t>磋商原则、程序和方法</w:t>
      </w:r>
    </w:p>
    <w:p w14:paraId="3DA28B4F">
      <w:pPr>
        <w:spacing w:line="720" w:lineRule="auto"/>
        <w:ind w:firstLine="562"/>
        <w:rPr>
          <w:rFonts w:ascii="楷体_GB2312" w:eastAsia="楷体_GB2312"/>
          <w:b/>
          <w:color w:val="000000" w:themeColor="text1"/>
          <w:szCs w:val="28"/>
          <w14:textFill>
            <w14:solidFill>
              <w14:schemeClr w14:val="tx1"/>
            </w14:solidFill>
          </w14:textFill>
        </w:rPr>
      </w:pPr>
      <w:r>
        <w:rPr>
          <w:rFonts w:hint="eastAsia" w:ascii="楷体_GB2312" w:eastAsia="楷体_GB2312"/>
          <w:b/>
          <w:color w:val="000000" w:themeColor="text1"/>
          <w:szCs w:val="28"/>
          <w14:textFill>
            <w14:solidFill>
              <w14:schemeClr w14:val="tx1"/>
            </w14:solidFill>
          </w14:textFill>
        </w:rPr>
        <w:t>一、评审原则</w:t>
      </w:r>
    </w:p>
    <w:p w14:paraId="516AF85E">
      <w:pPr>
        <w:spacing w:line="52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“客观、公正、审慎”为本次评审的基本原则，磋商小组将按照这一原则的要求，公正、平等地对待各报价供应商，同时，在评审时恪守以下原则：</w:t>
      </w:r>
    </w:p>
    <w:p w14:paraId="283124C6">
      <w:pPr>
        <w:spacing w:line="52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1.客观性原则：磋商小组将严格按照竞争性磋商文件的要求，对报价供应商的响应文件进行认真评审，磋商小组对响应文件的评审仅依据响应文件本身，而不依靠响应文件以外的任何因素。</w:t>
      </w:r>
    </w:p>
    <w:p w14:paraId="5FE8DDD3">
      <w:pPr>
        <w:spacing w:line="52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2.统一性原则：磋商小组将按照统一的评审原则和评审方法，采用统一标准进行评审。</w:t>
      </w:r>
    </w:p>
    <w:p w14:paraId="30264290">
      <w:pPr>
        <w:spacing w:line="52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3.独立性原则：评审工作在磋商小组内部独立进行，不受外界任何因素的干扰和影响。</w:t>
      </w:r>
    </w:p>
    <w:p w14:paraId="43238F80">
      <w:pPr>
        <w:spacing w:line="52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4.保密性原则：磋商小组及熟知情况的有关工作人员必须对每位评委的评审意见和报价供应商的商业秘密严格保密。</w:t>
      </w:r>
    </w:p>
    <w:p w14:paraId="0A248BDE">
      <w:pPr>
        <w:spacing w:line="52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5.综合性原则：磋商小组将综合分析、评审报价供应商的各项指标。</w:t>
      </w:r>
    </w:p>
    <w:p w14:paraId="4CF00727">
      <w:pPr>
        <w:spacing w:line="720" w:lineRule="auto"/>
        <w:ind w:firstLine="562"/>
        <w:rPr>
          <w:rFonts w:ascii="楷体_GB2312" w:eastAsia="楷体_GB2312"/>
          <w:b/>
          <w:color w:val="000000" w:themeColor="text1"/>
          <w:szCs w:val="28"/>
          <w14:textFill>
            <w14:solidFill>
              <w14:schemeClr w14:val="tx1"/>
            </w14:solidFill>
          </w14:textFill>
        </w:rPr>
      </w:pPr>
      <w:r>
        <w:rPr>
          <w:rFonts w:hint="eastAsia" w:ascii="楷体_GB2312" w:eastAsia="楷体_GB2312"/>
          <w:b/>
          <w:color w:val="000000" w:themeColor="text1"/>
          <w:szCs w:val="28"/>
          <w14:textFill>
            <w14:solidFill>
              <w14:schemeClr w14:val="tx1"/>
            </w14:solidFill>
          </w14:textFill>
        </w:rPr>
        <w:t>二、评审程序</w:t>
      </w:r>
    </w:p>
    <w:p w14:paraId="04353B0E">
      <w:pPr>
        <w:spacing w:before="156" w:beforeLines="50" w:line="520" w:lineRule="exact"/>
        <w:ind w:firstLine="562"/>
        <w:rPr>
          <w:rFonts w:ascii="仿宋_GB2312" w:hAnsi="宋体"/>
          <w:b/>
          <w:color w:val="000000" w:themeColor="text1"/>
          <w:szCs w:val="21"/>
          <w14:textFill>
            <w14:solidFill>
              <w14:schemeClr w14:val="tx1"/>
            </w14:solidFill>
          </w14:textFill>
        </w:rPr>
      </w:pPr>
      <w:r>
        <w:rPr>
          <w:rFonts w:hint="eastAsia" w:ascii="仿宋_GB2312" w:hAnsi="宋体"/>
          <w:b/>
          <w:color w:val="000000" w:themeColor="text1"/>
          <w:szCs w:val="21"/>
          <w14:textFill>
            <w14:solidFill>
              <w14:schemeClr w14:val="tx1"/>
            </w14:solidFill>
          </w14:textFill>
        </w:rPr>
        <w:t>（一）磋商程序</w:t>
      </w:r>
    </w:p>
    <w:p w14:paraId="4CB69ADC">
      <w:pPr>
        <w:spacing w:line="52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1.磋商小组将按照竞争性磋商文件的规定对响应文件进行有效性、完整性和响应程度审查，以确定响应文件的实质性响应。</w:t>
      </w:r>
    </w:p>
    <w:p w14:paraId="6FE38250">
      <w:pPr>
        <w:spacing w:line="52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2.出现下列情形之一的，视为对竞争性磋商文件未做出实质性响应，按照无效报价处理。</w:t>
      </w:r>
    </w:p>
    <w:p w14:paraId="2656E0B0">
      <w:pPr>
        <w:spacing w:line="52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详见《响应须知前附表》-《实质性条款一览表》</w:t>
      </w:r>
    </w:p>
    <w:p w14:paraId="3BCB8486">
      <w:pPr>
        <w:spacing w:line="52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3.属于无效报价的，报价供应商不能通过修正或撤消响应文件中不符合之处而成为实质性响应的报价，采购代理将通知报价供应商，并说明无效报价理由。属于有效响应文件的，将进行下一轮此的询标和澄清。</w:t>
      </w:r>
    </w:p>
    <w:p w14:paraId="5ED298F3">
      <w:pPr>
        <w:spacing w:line="52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4.澄清、说明或者补正</w:t>
      </w:r>
    </w:p>
    <w:p w14:paraId="25A2829E">
      <w:pPr>
        <w:spacing w:line="52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1）对有效响应文件中含义不明确、同类问题前后表述不一致或者有明显文字和计算错误的内容，磋商小组可以书面形式要求报价供应商在规定的时间内做出必要的澄清、说明或者纠正，报价供应商应在要求的时间内以书面形式澄清、说明或者补正,并由其法定代表人或被授权人签字，且不得超出响应文件的范围或者改变响应文件的实质性内容。</w:t>
      </w:r>
    </w:p>
    <w:p w14:paraId="111FAA31">
      <w:pPr>
        <w:spacing w:line="520" w:lineRule="exact"/>
        <w:ind w:firstLine="560"/>
        <w:rPr>
          <w:rFonts w:ascii="宋体" w:hAnsi="宋体"/>
          <w:color w:val="000000" w:themeColor="text1"/>
          <w:sz w:val="24"/>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（2）报价供应商依据评审要求进行澄清、说明或者补正的内容构成响应文件的组成部分。</w:t>
      </w:r>
    </w:p>
    <w:p w14:paraId="6516E1A0">
      <w:pPr>
        <w:spacing w:before="156" w:beforeLines="50" w:line="520" w:lineRule="exact"/>
        <w:ind w:firstLine="562"/>
        <w:rPr>
          <w:rFonts w:ascii="仿宋_GB2312" w:hAnsi="宋体"/>
          <w:b/>
          <w:color w:val="000000" w:themeColor="text1"/>
          <w:szCs w:val="21"/>
          <w14:textFill>
            <w14:solidFill>
              <w14:schemeClr w14:val="tx1"/>
            </w14:solidFill>
          </w14:textFill>
        </w:rPr>
      </w:pPr>
      <w:r>
        <w:rPr>
          <w:rFonts w:hint="eastAsia" w:ascii="仿宋_GB2312" w:hAnsi="宋体"/>
          <w:b/>
          <w:color w:val="000000" w:themeColor="text1"/>
          <w:szCs w:val="21"/>
          <w14:textFill>
            <w14:solidFill>
              <w14:schemeClr w14:val="tx1"/>
            </w14:solidFill>
          </w14:textFill>
        </w:rPr>
        <w:t>（二）磋商、优化方案</w:t>
      </w:r>
    </w:p>
    <w:p w14:paraId="6670E98E">
      <w:pPr>
        <w:spacing w:line="52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（1）磋商小组所有成员应当集中与单一供应商分别进行磋商，并给予所有参加磋商的供应商平等的磋商机会。</w:t>
      </w:r>
    </w:p>
    <w:p w14:paraId="6F3F2606">
      <w:pPr>
        <w:spacing w:line="52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（2）磋商小组可以根据磋商文件和磋商情况实质性变动采购需求中的技术、服务要求以及合同草案条款，但不得变动磋商文件中的其他内容。实质性变动的内容，须经采购人代表确认。</w:t>
      </w:r>
    </w:p>
    <w:p w14:paraId="746C196D">
      <w:pPr>
        <w:spacing w:line="52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（3）对磋商文件做出的实质性变动是磋商文件的有效组成部分，磋商小组应当及时以书面形式同时通知所有参加磋商的供应商。</w:t>
      </w:r>
    </w:p>
    <w:p w14:paraId="0EE6B332">
      <w:pPr>
        <w:spacing w:line="52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（4）供应商应当按照磋商文件的变动情况和磋商小组的要求重新提交响应文件，并由其法定代表人或被授权人签字或者加盖公章。</w:t>
      </w:r>
    </w:p>
    <w:p w14:paraId="5476B792">
      <w:pPr>
        <w:spacing w:before="156" w:beforeLines="50" w:line="520" w:lineRule="exact"/>
        <w:ind w:firstLine="562"/>
        <w:rPr>
          <w:rFonts w:ascii="仿宋_GB2312" w:hAnsi="宋体"/>
          <w:b/>
          <w:color w:val="000000" w:themeColor="text1"/>
          <w:szCs w:val="21"/>
          <w14:textFill>
            <w14:solidFill>
              <w14:schemeClr w14:val="tx1"/>
            </w14:solidFill>
          </w14:textFill>
        </w:rPr>
      </w:pPr>
      <w:r>
        <w:rPr>
          <w:rFonts w:hint="eastAsia" w:ascii="仿宋_GB2312" w:hAnsi="宋体"/>
          <w:b/>
          <w:color w:val="000000" w:themeColor="text1"/>
          <w:szCs w:val="21"/>
          <w14:textFill>
            <w14:solidFill>
              <w14:schemeClr w14:val="tx1"/>
            </w14:solidFill>
          </w14:textFill>
        </w:rPr>
        <w:t>（三）最后报价</w:t>
      </w:r>
    </w:p>
    <w:p w14:paraId="35011909">
      <w:pPr>
        <w:spacing w:line="52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（1）磋商文件能够详细列明采购标的的技术、服务要求的，磋商结束后，磋商小组应当要求所有实质性响应的报价供应商在规定时间内提交最终报价。</w:t>
      </w:r>
    </w:p>
    <w:p w14:paraId="79228A40">
      <w:pPr>
        <w:spacing w:line="52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（2）最终报价是报价供应商响应文件的有效组成部分。</w:t>
      </w:r>
    </w:p>
    <w:p w14:paraId="24C34294">
      <w:pPr>
        <w:spacing w:line="720" w:lineRule="auto"/>
        <w:ind w:firstLine="562"/>
        <w:rPr>
          <w:rFonts w:ascii="楷体_GB2312" w:eastAsia="楷体_GB2312"/>
          <w:b/>
          <w:color w:val="000000" w:themeColor="text1"/>
          <w:szCs w:val="28"/>
          <w14:textFill>
            <w14:solidFill>
              <w14:schemeClr w14:val="tx1"/>
            </w14:solidFill>
          </w14:textFill>
        </w:rPr>
      </w:pPr>
      <w:r>
        <w:rPr>
          <w:rFonts w:hint="eastAsia" w:ascii="楷体_GB2312" w:eastAsia="楷体_GB2312"/>
          <w:b/>
          <w:color w:val="000000" w:themeColor="text1"/>
          <w:szCs w:val="28"/>
          <w14:textFill>
            <w14:solidFill>
              <w14:schemeClr w14:val="tx1"/>
            </w14:solidFill>
          </w14:textFill>
        </w:rPr>
        <w:t>三、评审方法</w:t>
      </w:r>
    </w:p>
    <w:p w14:paraId="01A1255C">
      <w:pPr>
        <w:spacing w:line="52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（1）评审方法：综合评分法，即报价供应商的响应文件满足磋商文件全部实质性要求，且按评审因素的量化指标评审得分最高的供应商为成交候选供应商的评审方法。</w:t>
      </w:r>
    </w:p>
    <w:p w14:paraId="7996AA93">
      <w:pPr>
        <w:spacing w:line="520" w:lineRule="exact"/>
        <w:ind w:firstLine="560"/>
        <w:rPr>
          <w:rFonts w:ascii="仿宋_GB2312" w:hAnsi="宋体"/>
          <w:color w:val="000000" w:themeColor="text1"/>
          <w:szCs w:val="21"/>
          <w14:textFill>
            <w14:solidFill>
              <w14:schemeClr w14:val="tx1"/>
            </w14:solidFill>
          </w14:textFill>
        </w:rPr>
      </w:pPr>
      <w:r>
        <w:rPr>
          <w:rFonts w:hint="eastAsia" w:ascii="仿宋_GB2312" w:hAnsi="宋体"/>
          <w:color w:val="000000" w:themeColor="text1"/>
          <w:szCs w:val="21"/>
          <w14:textFill>
            <w14:solidFill>
              <w14:schemeClr w14:val="tx1"/>
            </w14:solidFill>
          </w14:textFill>
        </w:rPr>
        <w:t>（2）评审细则：</w:t>
      </w:r>
    </w:p>
    <w:p w14:paraId="2BEC45D6">
      <w:pPr>
        <w:widowControl/>
        <w:ind w:firstLine="480"/>
        <w:rPr>
          <w:rFonts w:ascii="宋体" w:hAnsi="宋体"/>
          <w:color w:val="000000" w:themeColor="text1"/>
          <w:sz w:val="24"/>
          <w14:textFill>
            <w14:solidFill>
              <w14:schemeClr w14:val="tx1"/>
            </w14:solidFill>
          </w14:textFill>
        </w:rPr>
      </w:pPr>
    </w:p>
    <w:tbl>
      <w:tblPr>
        <w:tblStyle w:val="45"/>
        <w:tblW w:w="9752"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57" w:type="dxa"/>
          <w:bottom w:w="0" w:type="dxa"/>
          <w:right w:w="57" w:type="dxa"/>
        </w:tblCellMar>
      </w:tblPr>
      <w:tblGrid>
        <w:gridCol w:w="826"/>
        <w:gridCol w:w="773"/>
        <w:gridCol w:w="1665"/>
        <w:gridCol w:w="4689"/>
        <w:gridCol w:w="1026"/>
        <w:gridCol w:w="773"/>
      </w:tblGrid>
      <w:tr w14:paraId="177A07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shd w:val="clear" w:color="auto" w:fill="D9D9D9"/>
            <w:vAlign w:val="center"/>
          </w:tcPr>
          <w:p w14:paraId="1C9475A9">
            <w:pPr>
              <w:widowControl w:val="0"/>
              <w:spacing w:line="360" w:lineRule="auto"/>
              <w:ind w:firstLine="0" w:firstLineChars="0"/>
              <w:jc w:val="center"/>
              <w:rPr>
                <w:rFonts w:ascii="仿宋_GB2312" w:hAnsi="宋体" w:eastAsia="仿宋_GB2312" w:cs="Times New Roman"/>
                <w:b/>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b/>
                <w:color w:val="000000" w:themeColor="text1"/>
                <w:kern w:val="2"/>
                <w:sz w:val="24"/>
                <w:szCs w:val="24"/>
                <w:lang w:val="en-US" w:eastAsia="zh-CN" w:bidi="ar-SA"/>
                <w14:textFill>
                  <w14:solidFill>
                    <w14:schemeClr w14:val="tx1"/>
                  </w14:solidFill>
                </w14:textFill>
              </w:rPr>
              <w:t>编号</w:t>
            </w:r>
          </w:p>
        </w:tc>
        <w:tc>
          <w:tcPr>
            <w:tcW w:w="773" w:type="dxa"/>
            <w:shd w:val="clear" w:color="auto" w:fill="D9D9D9"/>
            <w:vAlign w:val="center"/>
          </w:tcPr>
          <w:p w14:paraId="3C039980">
            <w:pPr>
              <w:widowControl w:val="0"/>
              <w:spacing w:line="360" w:lineRule="auto"/>
              <w:ind w:firstLine="0" w:firstLineChars="0"/>
              <w:jc w:val="center"/>
              <w:rPr>
                <w:rFonts w:ascii="仿宋_GB2312" w:hAnsi="宋体" w:eastAsia="仿宋_GB2312" w:cs="Times New Roman"/>
                <w:b/>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b/>
                <w:color w:val="000000" w:themeColor="text1"/>
                <w:kern w:val="2"/>
                <w:sz w:val="24"/>
                <w:szCs w:val="24"/>
                <w:lang w:val="en-US" w:eastAsia="zh-CN" w:bidi="ar-SA"/>
                <w14:textFill>
                  <w14:solidFill>
                    <w14:schemeClr w14:val="tx1"/>
                  </w14:solidFill>
                </w14:textFill>
              </w:rPr>
              <w:t>类型</w:t>
            </w:r>
          </w:p>
        </w:tc>
        <w:tc>
          <w:tcPr>
            <w:tcW w:w="1665" w:type="dxa"/>
            <w:shd w:val="clear" w:color="auto" w:fill="D9D9D9"/>
            <w:vAlign w:val="center"/>
          </w:tcPr>
          <w:p w14:paraId="4919CDD5">
            <w:pPr>
              <w:widowControl w:val="0"/>
              <w:spacing w:line="360" w:lineRule="auto"/>
              <w:ind w:firstLine="0" w:firstLineChars="0"/>
              <w:jc w:val="center"/>
              <w:rPr>
                <w:rFonts w:ascii="仿宋_GB2312" w:hAnsi="宋体" w:eastAsia="仿宋_GB2312" w:cs="Times New Roman"/>
                <w:b/>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b/>
                <w:color w:val="000000" w:themeColor="text1"/>
                <w:kern w:val="2"/>
                <w:sz w:val="24"/>
                <w:szCs w:val="24"/>
                <w:lang w:val="en-US" w:eastAsia="zh-CN" w:bidi="ar-SA"/>
                <w14:textFill>
                  <w14:solidFill>
                    <w14:schemeClr w14:val="tx1"/>
                  </w14:solidFill>
                </w14:textFill>
              </w:rPr>
              <w:t>评分标题</w:t>
            </w:r>
          </w:p>
        </w:tc>
        <w:tc>
          <w:tcPr>
            <w:tcW w:w="4689" w:type="dxa"/>
            <w:shd w:val="clear" w:color="auto" w:fill="D9D9D9"/>
            <w:vAlign w:val="center"/>
          </w:tcPr>
          <w:p w14:paraId="1009432D">
            <w:pPr>
              <w:widowControl w:val="0"/>
              <w:spacing w:line="360" w:lineRule="auto"/>
              <w:ind w:firstLine="0" w:firstLineChars="0"/>
              <w:jc w:val="center"/>
              <w:rPr>
                <w:rFonts w:ascii="仿宋_GB2312" w:hAnsi="宋体" w:eastAsia="仿宋_GB2312" w:cs="Times New Roman"/>
                <w:b/>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b/>
                <w:color w:val="000000" w:themeColor="text1"/>
                <w:kern w:val="2"/>
                <w:sz w:val="24"/>
                <w:szCs w:val="24"/>
                <w:lang w:val="en-US" w:eastAsia="zh-CN" w:bidi="ar-SA"/>
                <w14:textFill>
                  <w14:solidFill>
                    <w14:schemeClr w14:val="tx1"/>
                  </w14:solidFill>
                </w14:textFill>
              </w:rPr>
              <w:t>评分标准</w:t>
            </w:r>
          </w:p>
        </w:tc>
        <w:tc>
          <w:tcPr>
            <w:tcW w:w="1026" w:type="dxa"/>
            <w:shd w:val="clear" w:color="auto" w:fill="D9D9D9"/>
            <w:vAlign w:val="center"/>
          </w:tcPr>
          <w:p w14:paraId="732A2BBA">
            <w:pPr>
              <w:widowControl w:val="0"/>
              <w:spacing w:line="360" w:lineRule="auto"/>
              <w:ind w:firstLine="0" w:firstLineChars="0"/>
              <w:jc w:val="center"/>
              <w:rPr>
                <w:rFonts w:ascii="仿宋_GB2312" w:hAnsi="宋体" w:eastAsia="仿宋_GB2312" w:cs="Times New Roman"/>
                <w:b/>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b/>
                <w:color w:val="000000" w:themeColor="text1"/>
                <w:kern w:val="2"/>
                <w:sz w:val="24"/>
                <w:szCs w:val="24"/>
                <w:lang w:val="en-US" w:eastAsia="zh-CN" w:bidi="ar-SA"/>
                <w14:textFill>
                  <w14:solidFill>
                    <w14:schemeClr w14:val="tx1"/>
                  </w14:solidFill>
                </w14:textFill>
              </w:rPr>
              <w:t>性质</w:t>
            </w:r>
          </w:p>
        </w:tc>
        <w:tc>
          <w:tcPr>
            <w:tcW w:w="773" w:type="dxa"/>
            <w:shd w:val="clear" w:color="auto" w:fill="D9D9D9"/>
            <w:vAlign w:val="center"/>
          </w:tcPr>
          <w:p w14:paraId="322CD1DE">
            <w:pPr>
              <w:widowControl w:val="0"/>
              <w:spacing w:line="360" w:lineRule="auto"/>
              <w:ind w:firstLine="0" w:firstLineChars="0"/>
              <w:jc w:val="center"/>
              <w:rPr>
                <w:rFonts w:ascii="仿宋_GB2312" w:hAnsi="宋体" w:eastAsia="仿宋_GB2312" w:cs="Times New Roman"/>
                <w:b/>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b/>
                <w:color w:val="000000" w:themeColor="text1"/>
                <w:kern w:val="2"/>
                <w:sz w:val="24"/>
                <w:szCs w:val="24"/>
                <w:lang w:val="en-US" w:eastAsia="zh-CN" w:bidi="ar-SA"/>
                <w14:textFill>
                  <w14:solidFill>
                    <w14:schemeClr w14:val="tx1"/>
                  </w14:solidFill>
                </w14:textFill>
              </w:rPr>
              <w:t>分数</w:t>
            </w:r>
          </w:p>
        </w:tc>
      </w:tr>
      <w:tr w14:paraId="1AC786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5B9DE6A1">
            <w:pPr>
              <w:widowControl w:val="0"/>
              <w:spacing w:line="360" w:lineRule="auto"/>
              <w:ind w:firstLine="0" w:firstLineChars="0"/>
              <w:jc w:val="center"/>
              <w:rPr>
                <w:rFonts w:hint="default"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1.01</w:t>
            </w:r>
          </w:p>
        </w:tc>
        <w:tc>
          <w:tcPr>
            <w:tcW w:w="773" w:type="dxa"/>
            <w:vAlign w:val="center"/>
          </w:tcPr>
          <w:p w14:paraId="3CAAFF38">
            <w:pPr>
              <w:widowControl w:val="0"/>
              <w:spacing w:line="360" w:lineRule="auto"/>
              <w:ind w:firstLine="0" w:firstLineChars="0"/>
              <w:jc w:val="cente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价格</w:t>
            </w:r>
          </w:p>
        </w:tc>
        <w:tc>
          <w:tcPr>
            <w:tcW w:w="1665" w:type="dxa"/>
            <w:vAlign w:val="center"/>
          </w:tcPr>
          <w:p w14:paraId="718C6DC4">
            <w:pPr>
              <w:widowControl w:val="0"/>
              <w:spacing w:line="360" w:lineRule="auto"/>
              <w:ind w:firstLine="0" w:firstLineChars="0"/>
              <w:jc w:val="cente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报价</w:t>
            </w:r>
          </w:p>
        </w:tc>
        <w:tc>
          <w:tcPr>
            <w:tcW w:w="4689" w:type="dxa"/>
            <w:vAlign w:val="center"/>
          </w:tcPr>
          <w:p w14:paraId="40888569">
            <w:pPr>
              <w:widowControl w:val="0"/>
              <w:spacing w:line="360" w:lineRule="auto"/>
              <w:ind w:firstLine="0" w:firstLineChars="0"/>
              <w:jc w:val="both"/>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系统价格分为0分</w:t>
            </w:r>
          </w:p>
        </w:tc>
        <w:tc>
          <w:tcPr>
            <w:tcW w:w="1026" w:type="dxa"/>
            <w:vAlign w:val="center"/>
          </w:tcPr>
          <w:p w14:paraId="0C347554">
            <w:pPr>
              <w:widowControl w:val="0"/>
              <w:spacing w:line="360" w:lineRule="auto"/>
              <w:ind w:firstLine="0" w:firstLineChars="0"/>
              <w:jc w:val="cente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系统分</w:t>
            </w:r>
          </w:p>
        </w:tc>
        <w:tc>
          <w:tcPr>
            <w:tcW w:w="773" w:type="dxa"/>
            <w:vAlign w:val="center"/>
          </w:tcPr>
          <w:p w14:paraId="12E92CD4">
            <w:pPr>
              <w:widowControl w:val="0"/>
              <w:spacing w:line="360" w:lineRule="auto"/>
              <w:ind w:firstLine="0" w:firstLineChars="0"/>
              <w:jc w:val="center"/>
              <w:rPr>
                <w:rFonts w:hint="default"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0</w:t>
            </w:r>
          </w:p>
        </w:tc>
      </w:tr>
      <w:tr w14:paraId="52F34D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6E824C1E">
            <w:pPr>
              <w:widowControl w:val="0"/>
              <w:spacing w:line="360" w:lineRule="auto"/>
              <w:ind w:firstLine="0" w:firstLineChars="0"/>
              <w:jc w:val="cente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ascii="仿宋_GB2312" w:hAnsi="宋体" w:eastAsia="仿宋_GB2312" w:cs="Times New Roman"/>
                <w:color w:val="000000" w:themeColor="text1"/>
                <w:kern w:val="2"/>
                <w:sz w:val="24"/>
                <w:szCs w:val="24"/>
                <w:lang w:val="en-US" w:eastAsia="zh-CN" w:bidi="ar-SA"/>
                <w14:textFill>
                  <w14:solidFill>
                    <w14:schemeClr w14:val="tx1"/>
                  </w14:solidFill>
                </w14:textFill>
              </w:rPr>
              <w:t>1.0</w:t>
            </w: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2</w:t>
            </w:r>
          </w:p>
        </w:tc>
        <w:tc>
          <w:tcPr>
            <w:tcW w:w="773" w:type="dxa"/>
            <w:vAlign w:val="center"/>
          </w:tcPr>
          <w:p w14:paraId="46CC2123">
            <w:pPr>
              <w:widowControl w:val="0"/>
              <w:spacing w:line="360" w:lineRule="auto"/>
              <w:ind w:firstLine="0" w:firstLineChars="0"/>
              <w:jc w:val="cente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商务</w:t>
            </w:r>
          </w:p>
        </w:tc>
        <w:tc>
          <w:tcPr>
            <w:tcW w:w="1665" w:type="dxa"/>
            <w:vAlign w:val="center"/>
          </w:tcPr>
          <w:p w14:paraId="749B3F59">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报价</w:t>
            </w:r>
          </w:p>
        </w:tc>
        <w:tc>
          <w:tcPr>
            <w:tcW w:w="4689" w:type="dxa"/>
            <w:vAlign w:val="center"/>
          </w:tcPr>
          <w:p w14:paraId="502794C7">
            <w:pPr>
              <w:widowControl w:val="0"/>
              <w:spacing w:line="360" w:lineRule="auto"/>
              <w:ind w:firstLine="0" w:firstLineChars="0"/>
              <w:jc w:val="both"/>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报价供应商投标报价等于投标报价评标基准价的，得满分40分。投标报价每高于评标基准价1％扣0.1分，每低于1％扣0.1分，最低计至0分，偏离不足1%的，按照插入法计算得分，得分精确到小数点后2位。</w:t>
            </w:r>
          </w:p>
          <w:p w14:paraId="69EBA813">
            <w:pPr>
              <w:widowControl w:val="0"/>
              <w:spacing w:line="360" w:lineRule="auto"/>
              <w:ind w:firstLine="0" w:firstLineChars="0"/>
              <w:jc w:val="both"/>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评标基准价确定方法：</w:t>
            </w:r>
          </w:p>
          <w:p w14:paraId="1A468E08">
            <w:pPr>
              <w:widowControl w:val="0"/>
              <w:spacing w:line="360" w:lineRule="auto"/>
              <w:ind w:firstLine="0" w:firstLineChars="0"/>
              <w:jc w:val="both"/>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当有效报价单位家数＞8家</w:t>
            </w:r>
          </w:p>
          <w:p w14:paraId="1C8DE3FE">
            <w:pPr>
              <w:widowControl w:val="0"/>
              <w:spacing w:line="360" w:lineRule="auto"/>
              <w:ind w:firstLine="0" w:firstLineChars="0"/>
              <w:jc w:val="both"/>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评标基准价=（所有报价单位的有效报价之和-有效报价的最高值及次高值-有效报价的最低值）的算术平均值；</w:t>
            </w:r>
          </w:p>
          <w:p w14:paraId="4BA145BB">
            <w:pPr>
              <w:widowControl w:val="0"/>
              <w:spacing w:line="360" w:lineRule="auto"/>
              <w:ind w:firstLine="0" w:firstLineChars="0"/>
              <w:jc w:val="both"/>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当5家≤有效报价单位家数≤8家</w:t>
            </w:r>
          </w:p>
          <w:p w14:paraId="189C2755">
            <w:pPr>
              <w:widowControl w:val="0"/>
              <w:spacing w:line="360" w:lineRule="auto"/>
              <w:ind w:firstLine="0" w:firstLineChars="0"/>
              <w:jc w:val="both"/>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评标基准价=（所有报价单位的有效报价之和-有效报价的最高值-有效报价的最低值）的算术平均值；</w:t>
            </w:r>
          </w:p>
          <w:p w14:paraId="7F2D5726">
            <w:pPr>
              <w:widowControl w:val="0"/>
              <w:spacing w:line="360" w:lineRule="auto"/>
              <w:ind w:firstLine="0" w:firstLineChars="0"/>
              <w:jc w:val="both"/>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当有效报价单位家数＜5家</w:t>
            </w:r>
          </w:p>
          <w:p w14:paraId="596C7B03">
            <w:pPr>
              <w:widowControl w:val="0"/>
              <w:spacing w:line="360" w:lineRule="auto"/>
              <w:ind w:firstLine="0" w:firstLineChars="0"/>
              <w:jc w:val="both"/>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评标基准价=所有报价单位的有效报价的算术平均值。</w:t>
            </w:r>
          </w:p>
        </w:tc>
        <w:tc>
          <w:tcPr>
            <w:tcW w:w="1026" w:type="dxa"/>
            <w:vAlign w:val="center"/>
          </w:tcPr>
          <w:p w14:paraId="5995A18F">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系统分</w:t>
            </w:r>
          </w:p>
        </w:tc>
        <w:tc>
          <w:tcPr>
            <w:tcW w:w="773" w:type="dxa"/>
            <w:vAlign w:val="center"/>
          </w:tcPr>
          <w:p w14:paraId="0957193E">
            <w:pPr>
              <w:widowControl w:val="0"/>
              <w:spacing w:line="360" w:lineRule="auto"/>
              <w:ind w:firstLine="0" w:firstLineChars="0"/>
              <w:jc w:val="center"/>
              <w:rPr>
                <w:rFonts w:hint="default"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40</w:t>
            </w:r>
          </w:p>
        </w:tc>
      </w:tr>
      <w:tr w14:paraId="5D0A4F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1555" w:hRule="atLeast"/>
          <w:jc w:val="center"/>
        </w:trPr>
        <w:tc>
          <w:tcPr>
            <w:tcW w:w="826" w:type="dxa"/>
            <w:vAlign w:val="center"/>
          </w:tcPr>
          <w:p w14:paraId="526E967C">
            <w:pPr>
              <w:widowControl w:val="0"/>
              <w:spacing w:line="360" w:lineRule="auto"/>
              <w:ind w:firstLine="0" w:firstLineChars="0"/>
              <w:jc w:val="cente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ascii="仿宋_GB2312" w:hAnsi="宋体" w:eastAsia="仿宋_GB2312" w:cs="Times New Roman"/>
                <w:color w:val="000000" w:themeColor="text1"/>
                <w:kern w:val="2"/>
                <w:sz w:val="24"/>
                <w:szCs w:val="24"/>
                <w:lang w:val="en-US" w:eastAsia="zh-CN" w:bidi="ar-SA"/>
                <w14:textFill>
                  <w14:solidFill>
                    <w14:schemeClr w14:val="tx1"/>
                  </w14:solidFill>
                </w14:textFill>
              </w:rPr>
              <w:t>1.0</w:t>
            </w: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3</w:t>
            </w:r>
          </w:p>
        </w:tc>
        <w:tc>
          <w:tcPr>
            <w:tcW w:w="773" w:type="dxa"/>
            <w:vAlign w:val="center"/>
          </w:tcPr>
          <w:p w14:paraId="6C2D5F2F">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商务</w:t>
            </w:r>
          </w:p>
        </w:tc>
        <w:tc>
          <w:tcPr>
            <w:tcW w:w="1665" w:type="dxa"/>
            <w:vAlign w:val="center"/>
          </w:tcPr>
          <w:p w14:paraId="57E96684">
            <w:pPr>
              <w:widowControl w:val="0"/>
              <w:spacing w:line="360" w:lineRule="auto"/>
              <w:ind w:firstLine="0" w:firstLineChars="0"/>
              <w:jc w:val="cente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业绩</w:t>
            </w:r>
          </w:p>
        </w:tc>
        <w:tc>
          <w:tcPr>
            <w:tcW w:w="4689" w:type="dxa"/>
            <w:vAlign w:val="center"/>
          </w:tcPr>
          <w:p w14:paraId="7F921127">
            <w:pPr>
              <w:widowControl w:val="0"/>
              <w:spacing w:line="360" w:lineRule="auto"/>
              <w:ind w:firstLine="0" w:firstLineChars="0"/>
              <w:jc w:val="both"/>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近五年（指从开标日向前推算，精确到日，以此类推，以合同签订时间为准），报价供应商承揽的类似项目业绩）；每有一个得1分，最高得5分。</w:t>
            </w:r>
          </w:p>
          <w:p w14:paraId="6D7F045A">
            <w:pPr>
              <w:widowControl w:val="0"/>
              <w:spacing w:line="360" w:lineRule="auto"/>
              <w:ind w:firstLine="0" w:firstLineChars="0"/>
              <w:jc w:val="both"/>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【投标文件附合同扫描件，否则不得分。】</w:t>
            </w:r>
          </w:p>
        </w:tc>
        <w:tc>
          <w:tcPr>
            <w:tcW w:w="1026" w:type="dxa"/>
            <w:vAlign w:val="center"/>
          </w:tcPr>
          <w:p w14:paraId="6F5614A2">
            <w:pPr>
              <w:widowControl w:val="0"/>
              <w:spacing w:line="360" w:lineRule="auto"/>
              <w:ind w:firstLine="0" w:firstLineChars="0"/>
              <w:jc w:val="cente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客观分</w:t>
            </w:r>
          </w:p>
        </w:tc>
        <w:tc>
          <w:tcPr>
            <w:tcW w:w="773" w:type="dxa"/>
            <w:vAlign w:val="center"/>
          </w:tcPr>
          <w:p w14:paraId="3C03F322">
            <w:pPr>
              <w:widowControl w:val="0"/>
              <w:spacing w:line="360" w:lineRule="auto"/>
              <w:ind w:firstLine="0" w:firstLineChars="0"/>
              <w:jc w:val="cente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5</w:t>
            </w:r>
          </w:p>
        </w:tc>
      </w:tr>
      <w:tr w14:paraId="5CD6AF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23094DE1">
            <w:pPr>
              <w:widowControl w:val="0"/>
              <w:spacing w:line="360" w:lineRule="auto"/>
              <w:ind w:firstLine="0" w:firstLineChars="0"/>
              <w:jc w:val="cente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ascii="仿宋_GB2312" w:hAnsi="宋体" w:eastAsia="仿宋_GB2312" w:cs="Times New Roman"/>
                <w:color w:val="000000" w:themeColor="text1"/>
                <w:kern w:val="2"/>
                <w:sz w:val="24"/>
                <w:szCs w:val="24"/>
                <w:lang w:val="en-US" w:eastAsia="zh-CN" w:bidi="ar-SA"/>
                <w14:textFill>
                  <w14:solidFill>
                    <w14:schemeClr w14:val="tx1"/>
                  </w14:solidFill>
                </w14:textFill>
              </w:rPr>
              <w:t>1.0</w:t>
            </w: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4</w:t>
            </w:r>
          </w:p>
        </w:tc>
        <w:tc>
          <w:tcPr>
            <w:tcW w:w="773" w:type="dxa"/>
            <w:vAlign w:val="center"/>
          </w:tcPr>
          <w:p w14:paraId="7B3C17C0">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商务</w:t>
            </w:r>
          </w:p>
        </w:tc>
        <w:tc>
          <w:tcPr>
            <w:tcW w:w="1665" w:type="dxa"/>
            <w:vAlign w:val="center"/>
          </w:tcPr>
          <w:p w14:paraId="36C48E57">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项目管理机构</w:t>
            </w:r>
          </w:p>
        </w:tc>
        <w:tc>
          <w:tcPr>
            <w:tcW w:w="4689" w:type="dxa"/>
            <w:vAlign w:val="center"/>
          </w:tcPr>
          <w:p w14:paraId="4FE51F30">
            <w:pPr>
              <w:widowControl w:val="0"/>
              <w:spacing w:line="360" w:lineRule="auto"/>
              <w:ind w:firstLine="0" w:firstLineChars="0"/>
              <w:jc w:val="both"/>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项目经理配备必须符合注册建造师项目规模标准和专业要求；技术负责人必须持相关工程系列中级以上职称或建设类注册证书；其他关键岗位管理人员（包括施工员、质检员、材料员、专职安全员、资料员）配备齐全，分工明确，得5</w:t>
            </w:r>
            <w:r>
              <w:rPr>
                <w:rFonts w:ascii="仿宋_GB2312" w:hAnsi="宋体" w:eastAsia="仿宋_GB2312" w:cs="Times New Roman"/>
                <w:color w:val="000000" w:themeColor="text1"/>
                <w:kern w:val="2"/>
                <w:sz w:val="24"/>
                <w:szCs w:val="24"/>
                <w:lang w:val="en-US" w:eastAsia="zh-CN" w:bidi="ar-SA"/>
                <w14:textFill>
                  <w14:solidFill>
                    <w14:schemeClr w14:val="tx1"/>
                  </w14:solidFill>
                </w14:textFill>
              </w:rPr>
              <w:t>分。响应文件中需附上述人员近三个月的社保证明扫描件及项目经理、技术负责人和专职安全员证书扫描件，否则不得分。</w:t>
            </w:r>
          </w:p>
        </w:tc>
        <w:tc>
          <w:tcPr>
            <w:tcW w:w="1026" w:type="dxa"/>
            <w:vAlign w:val="center"/>
          </w:tcPr>
          <w:p w14:paraId="122A527C">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客观分</w:t>
            </w:r>
          </w:p>
        </w:tc>
        <w:tc>
          <w:tcPr>
            <w:tcW w:w="773" w:type="dxa"/>
            <w:vAlign w:val="center"/>
          </w:tcPr>
          <w:p w14:paraId="4841150B">
            <w:pPr>
              <w:widowControl w:val="0"/>
              <w:spacing w:line="360" w:lineRule="auto"/>
              <w:ind w:firstLine="0" w:firstLineChars="0"/>
              <w:jc w:val="cente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5</w:t>
            </w:r>
          </w:p>
        </w:tc>
      </w:tr>
      <w:tr w14:paraId="4B1AA1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4D167104">
            <w:pPr>
              <w:widowControl w:val="0"/>
              <w:spacing w:line="360" w:lineRule="auto"/>
              <w:ind w:firstLine="0" w:firstLineChars="0"/>
              <w:jc w:val="cente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ascii="仿宋_GB2312" w:hAnsi="宋体" w:eastAsia="仿宋_GB2312" w:cs="Times New Roman"/>
                <w:color w:val="000000" w:themeColor="text1"/>
                <w:kern w:val="2"/>
                <w:sz w:val="24"/>
                <w:szCs w:val="24"/>
                <w:lang w:val="en-US" w:eastAsia="zh-CN" w:bidi="ar-SA"/>
                <w14:textFill>
                  <w14:solidFill>
                    <w14:schemeClr w14:val="tx1"/>
                  </w14:solidFill>
                </w14:textFill>
              </w:rPr>
              <w:t>1.0</w:t>
            </w: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5</w:t>
            </w:r>
          </w:p>
        </w:tc>
        <w:tc>
          <w:tcPr>
            <w:tcW w:w="773" w:type="dxa"/>
            <w:vAlign w:val="center"/>
          </w:tcPr>
          <w:p w14:paraId="48B1556A">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技术</w:t>
            </w:r>
          </w:p>
        </w:tc>
        <w:tc>
          <w:tcPr>
            <w:tcW w:w="1665" w:type="dxa"/>
            <w:vAlign w:val="center"/>
          </w:tcPr>
          <w:p w14:paraId="33486932">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施工总平面图布置设计合理</w:t>
            </w:r>
          </w:p>
        </w:tc>
        <w:tc>
          <w:tcPr>
            <w:tcW w:w="4689" w:type="dxa"/>
            <w:vAlign w:val="center"/>
          </w:tcPr>
          <w:p w14:paraId="3E713072">
            <w:pPr>
              <w:widowControl w:val="0"/>
              <w:spacing w:line="360" w:lineRule="auto"/>
              <w:ind w:firstLine="0" w:firstLineChars="0"/>
              <w:jc w:val="both"/>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对工程整体有深刻认识，表述清晰完整，施工段划分、临时设施、临时道路、施工总平面图布置设计合理。</w:t>
            </w:r>
          </w:p>
          <w:p w14:paraId="17FF0493">
            <w:pPr>
              <w:widowControl w:val="0"/>
              <w:spacing w:line="360" w:lineRule="auto"/>
              <w:ind w:firstLine="0" w:firstLineChars="0"/>
              <w:jc w:val="both"/>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评委根据投标人本项编制情况以0.1分为单位在0-5分之间进行打分。</w:t>
            </w:r>
          </w:p>
        </w:tc>
        <w:tc>
          <w:tcPr>
            <w:tcW w:w="1026" w:type="dxa"/>
            <w:vAlign w:val="center"/>
          </w:tcPr>
          <w:p w14:paraId="435AF67C">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主观分</w:t>
            </w:r>
          </w:p>
        </w:tc>
        <w:tc>
          <w:tcPr>
            <w:tcW w:w="773" w:type="dxa"/>
            <w:vAlign w:val="center"/>
          </w:tcPr>
          <w:p w14:paraId="3005B342">
            <w:pPr>
              <w:widowControl w:val="0"/>
              <w:spacing w:line="360" w:lineRule="auto"/>
              <w:ind w:firstLine="0" w:firstLineChars="0"/>
              <w:jc w:val="center"/>
              <w:rPr>
                <w:rFonts w:hint="default"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5</w:t>
            </w:r>
          </w:p>
        </w:tc>
      </w:tr>
      <w:tr w14:paraId="110CE0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583E4FB3">
            <w:pPr>
              <w:widowControl w:val="0"/>
              <w:spacing w:line="360" w:lineRule="auto"/>
              <w:ind w:firstLine="0" w:firstLineChars="0"/>
              <w:jc w:val="cente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ascii="仿宋_GB2312" w:hAnsi="宋体" w:eastAsia="仿宋_GB2312" w:cs="Times New Roman"/>
                <w:color w:val="000000" w:themeColor="text1"/>
                <w:kern w:val="2"/>
                <w:sz w:val="24"/>
                <w:szCs w:val="24"/>
                <w:lang w:val="en-US" w:eastAsia="zh-CN" w:bidi="ar-SA"/>
                <w14:textFill>
                  <w14:solidFill>
                    <w14:schemeClr w14:val="tx1"/>
                  </w14:solidFill>
                </w14:textFill>
              </w:rPr>
              <w:t>1.0</w:t>
            </w: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6</w:t>
            </w:r>
          </w:p>
        </w:tc>
        <w:tc>
          <w:tcPr>
            <w:tcW w:w="773" w:type="dxa"/>
            <w:vAlign w:val="center"/>
          </w:tcPr>
          <w:p w14:paraId="7601200E">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技术</w:t>
            </w:r>
          </w:p>
        </w:tc>
        <w:tc>
          <w:tcPr>
            <w:tcW w:w="1665" w:type="dxa"/>
            <w:vAlign w:val="center"/>
          </w:tcPr>
          <w:p w14:paraId="6B585612">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施工方案和技术措施合理，对关键工序有针对性等</w:t>
            </w:r>
          </w:p>
        </w:tc>
        <w:tc>
          <w:tcPr>
            <w:tcW w:w="4689" w:type="dxa"/>
            <w:vAlign w:val="center"/>
          </w:tcPr>
          <w:p w14:paraId="44E671DE">
            <w:pPr>
              <w:widowControl w:val="0"/>
              <w:spacing w:line="360" w:lineRule="auto"/>
              <w:ind w:firstLine="0" w:firstLineChars="0"/>
              <w:jc w:val="both"/>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施工方案和技术措施合理，对关键工序和关键部位施工具有针对性，措施得力、经济、安全、可行。</w:t>
            </w:r>
          </w:p>
          <w:p w14:paraId="1BDD0D65">
            <w:pPr>
              <w:widowControl w:val="0"/>
              <w:spacing w:line="360" w:lineRule="auto"/>
              <w:ind w:firstLine="0" w:firstLineChars="0"/>
              <w:jc w:val="both"/>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评委根据投标人本项编制情况以0.1分为单位在0-5分之间进行打分。</w:t>
            </w:r>
          </w:p>
        </w:tc>
        <w:tc>
          <w:tcPr>
            <w:tcW w:w="1026" w:type="dxa"/>
            <w:vAlign w:val="center"/>
          </w:tcPr>
          <w:p w14:paraId="358C7ACA">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主观分</w:t>
            </w:r>
          </w:p>
        </w:tc>
        <w:tc>
          <w:tcPr>
            <w:tcW w:w="773" w:type="dxa"/>
            <w:vAlign w:val="center"/>
          </w:tcPr>
          <w:p w14:paraId="58BA7BA2">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5</w:t>
            </w:r>
          </w:p>
        </w:tc>
      </w:tr>
      <w:tr w14:paraId="59C34C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50153113">
            <w:pPr>
              <w:widowControl w:val="0"/>
              <w:spacing w:line="360" w:lineRule="auto"/>
              <w:ind w:firstLine="0" w:firstLineChars="0"/>
              <w:jc w:val="cente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ascii="仿宋_GB2312" w:hAnsi="宋体" w:eastAsia="仿宋_GB2312" w:cs="Times New Roman"/>
                <w:color w:val="000000" w:themeColor="text1"/>
                <w:kern w:val="2"/>
                <w:sz w:val="24"/>
                <w:szCs w:val="24"/>
                <w:lang w:val="en-US" w:eastAsia="zh-CN" w:bidi="ar-SA"/>
                <w14:textFill>
                  <w14:solidFill>
                    <w14:schemeClr w14:val="tx1"/>
                  </w14:solidFill>
                </w14:textFill>
              </w:rPr>
              <w:t>1.0</w:t>
            </w: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7</w:t>
            </w:r>
          </w:p>
        </w:tc>
        <w:tc>
          <w:tcPr>
            <w:tcW w:w="773" w:type="dxa"/>
            <w:vAlign w:val="center"/>
          </w:tcPr>
          <w:p w14:paraId="73029615">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技术</w:t>
            </w:r>
          </w:p>
        </w:tc>
        <w:tc>
          <w:tcPr>
            <w:tcW w:w="1665" w:type="dxa"/>
            <w:vAlign w:val="center"/>
          </w:tcPr>
          <w:p w14:paraId="0FFCC3D4">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针对本工程的通病治理措施</w:t>
            </w:r>
          </w:p>
        </w:tc>
        <w:tc>
          <w:tcPr>
            <w:tcW w:w="4689" w:type="dxa"/>
            <w:vAlign w:val="center"/>
          </w:tcPr>
          <w:p w14:paraId="46E15F1F">
            <w:pPr>
              <w:widowControl w:val="0"/>
              <w:spacing w:line="360" w:lineRule="auto"/>
              <w:ind w:firstLine="0" w:firstLineChars="0"/>
              <w:jc w:val="both"/>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有完整的质量保证措施，先进可行，有针对本工程的通病治理措施。</w:t>
            </w:r>
          </w:p>
          <w:p w14:paraId="4921B72A">
            <w:pPr>
              <w:widowControl w:val="0"/>
              <w:spacing w:line="360" w:lineRule="auto"/>
              <w:ind w:firstLine="0" w:firstLineChars="0"/>
              <w:jc w:val="both"/>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评委根据投标人本项编制情况以0.1分为单位在0-5分之间进行打分。</w:t>
            </w:r>
          </w:p>
        </w:tc>
        <w:tc>
          <w:tcPr>
            <w:tcW w:w="1026" w:type="dxa"/>
            <w:vAlign w:val="center"/>
          </w:tcPr>
          <w:p w14:paraId="0CF16175">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主观分</w:t>
            </w:r>
          </w:p>
        </w:tc>
        <w:tc>
          <w:tcPr>
            <w:tcW w:w="773" w:type="dxa"/>
            <w:vAlign w:val="center"/>
          </w:tcPr>
          <w:p w14:paraId="32BDBF34">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5</w:t>
            </w:r>
          </w:p>
        </w:tc>
      </w:tr>
      <w:tr w14:paraId="3B5B5C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34953B40">
            <w:pPr>
              <w:widowControl w:val="0"/>
              <w:spacing w:line="360" w:lineRule="auto"/>
              <w:ind w:firstLine="0" w:firstLineChars="0"/>
              <w:jc w:val="cente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ascii="仿宋_GB2312" w:hAnsi="宋体" w:eastAsia="仿宋_GB2312" w:cs="Times New Roman"/>
                <w:color w:val="000000" w:themeColor="text1"/>
                <w:kern w:val="2"/>
                <w:sz w:val="24"/>
                <w:szCs w:val="24"/>
                <w:lang w:val="en-US" w:eastAsia="zh-CN" w:bidi="ar-SA"/>
                <w14:textFill>
                  <w14:solidFill>
                    <w14:schemeClr w14:val="tx1"/>
                  </w14:solidFill>
                </w14:textFill>
              </w:rPr>
              <w:t>1.0</w:t>
            </w: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8</w:t>
            </w:r>
          </w:p>
        </w:tc>
        <w:tc>
          <w:tcPr>
            <w:tcW w:w="773" w:type="dxa"/>
            <w:vAlign w:val="center"/>
          </w:tcPr>
          <w:p w14:paraId="53D874B1">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技术</w:t>
            </w:r>
          </w:p>
        </w:tc>
        <w:tc>
          <w:tcPr>
            <w:tcW w:w="1665" w:type="dxa"/>
            <w:vAlign w:val="center"/>
          </w:tcPr>
          <w:p w14:paraId="276EC61B">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安全文明措施和应急救援预案</w:t>
            </w:r>
          </w:p>
        </w:tc>
        <w:tc>
          <w:tcPr>
            <w:tcW w:w="4689" w:type="dxa"/>
            <w:vAlign w:val="center"/>
          </w:tcPr>
          <w:p w14:paraId="673EDE77">
            <w:pPr>
              <w:widowControl w:val="0"/>
              <w:spacing w:line="360" w:lineRule="auto"/>
              <w:ind w:firstLine="0" w:firstLineChars="0"/>
              <w:jc w:val="both"/>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针对项目实际情况有完整的安全文明措施和应急救援预案，且措施齐全，预案可行。</w:t>
            </w:r>
          </w:p>
          <w:p w14:paraId="313CA9AA">
            <w:pPr>
              <w:widowControl w:val="0"/>
              <w:spacing w:line="360" w:lineRule="auto"/>
              <w:ind w:firstLine="0" w:firstLineChars="0"/>
              <w:jc w:val="both"/>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评委根据投标人本项编制情况以0.1分为单位在0-5分之间进行打分。</w:t>
            </w:r>
          </w:p>
        </w:tc>
        <w:tc>
          <w:tcPr>
            <w:tcW w:w="1026" w:type="dxa"/>
            <w:vAlign w:val="center"/>
          </w:tcPr>
          <w:p w14:paraId="672FE160">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主观分</w:t>
            </w:r>
          </w:p>
        </w:tc>
        <w:tc>
          <w:tcPr>
            <w:tcW w:w="773" w:type="dxa"/>
            <w:vAlign w:val="center"/>
          </w:tcPr>
          <w:p w14:paraId="65D43C65">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5</w:t>
            </w:r>
          </w:p>
        </w:tc>
      </w:tr>
      <w:tr w14:paraId="3EC4E2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7876A7BA">
            <w:pPr>
              <w:widowControl w:val="0"/>
              <w:spacing w:line="360" w:lineRule="auto"/>
              <w:ind w:firstLine="0" w:firstLineChars="0"/>
              <w:jc w:val="cente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ascii="仿宋_GB2312" w:hAnsi="宋体" w:eastAsia="仿宋_GB2312" w:cs="Times New Roman"/>
                <w:color w:val="000000" w:themeColor="text1"/>
                <w:kern w:val="2"/>
                <w:sz w:val="24"/>
                <w:szCs w:val="24"/>
                <w:lang w:val="en-US" w:eastAsia="zh-CN" w:bidi="ar-SA"/>
                <w14:textFill>
                  <w14:solidFill>
                    <w14:schemeClr w14:val="tx1"/>
                  </w14:solidFill>
                </w14:textFill>
              </w:rPr>
              <w:t>1.0</w:t>
            </w: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9</w:t>
            </w:r>
          </w:p>
        </w:tc>
        <w:tc>
          <w:tcPr>
            <w:tcW w:w="773" w:type="dxa"/>
            <w:vAlign w:val="center"/>
          </w:tcPr>
          <w:p w14:paraId="13B04DC1">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技术</w:t>
            </w:r>
          </w:p>
        </w:tc>
        <w:tc>
          <w:tcPr>
            <w:tcW w:w="1665" w:type="dxa"/>
            <w:vAlign w:val="center"/>
          </w:tcPr>
          <w:p w14:paraId="4DB70D63">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环境、地下管网、地上设施保护，冬季、雨季施工方案</w:t>
            </w:r>
          </w:p>
        </w:tc>
        <w:tc>
          <w:tcPr>
            <w:tcW w:w="4689" w:type="dxa"/>
            <w:vAlign w:val="center"/>
          </w:tcPr>
          <w:p w14:paraId="602E24F4">
            <w:pPr>
              <w:widowControl w:val="0"/>
              <w:spacing w:line="360" w:lineRule="auto"/>
              <w:ind w:firstLine="0" w:firstLineChars="0"/>
              <w:jc w:val="both"/>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环境保护措施安全得力，减少噪音、降低环境污染、扬尘治理措施、地下管线及其他地上地下设施的保护加固措施等，冬季、雨季施工方案。</w:t>
            </w:r>
          </w:p>
          <w:p w14:paraId="43C12D02">
            <w:pPr>
              <w:widowControl w:val="0"/>
              <w:spacing w:line="360" w:lineRule="auto"/>
              <w:ind w:firstLine="0" w:firstLineChars="0"/>
              <w:jc w:val="both"/>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评委根据投标人本项编制情况以0.1分为单位在0-5分之间进行打分。</w:t>
            </w:r>
          </w:p>
        </w:tc>
        <w:tc>
          <w:tcPr>
            <w:tcW w:w="1026" w:type="dxa"/>
            <w:vAlign w:val="center"/>
          </w:tcPr>
          <w:p w14:paraId="7D90E2B8">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主观分</w:t>
            </w:r>
          </w:p>
        </w:tc>
        <w:tc>
          <w:tcPr>
            <w:tcW w:w="773" w:type="dxa"/>
            <w:vAlign w:val="center"/>
          </w:tcPr>
          <w:p w14:paraId="7443A8F3">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5</w:t>
            </w:r>
          </w:p>
        </w:tc>
      </w:tr>
      <w:tr w14:paraId="1C1995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7A95B468">
            <w:pPr>
              <w:widowControl w:val="0"/>
              <w:spacing w:line="360" w:lineRule="auto"/>
              <w:ind w:firstLine="0" w:firstLineChars="0"/>
              <w:jc w:val="center"/>
              <w:rPr>
                <w:rFonts w:hint="default"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1.10</w:t>
            </w:r>
          </w:p>
        </w:tc>
        <w:tc>
          <w:tcPr>
            <w:tcW w:w="773" w:type="dxa"/>
            <w:vAlign w:val="center"/>
          </w:tcPr>
          <w:p w14:paraId="5CB6BFA7">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技术</w:t>
            </w:r>
          </w:p>
        </w:tc>
        <w:tc>
          <w:tcPr>
            <w:tcW w:w="1665" w:type="dxa"/>
            <w:vAlign w:val="center"/>
          </w:tcPr>
          <w:p w14:paraId="3F96B4BB">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绿色建筑、新技术、新产品、新工艺、新材料应用</w:t>
            </w:r>
          </w:p>
        </w:tc>
        <w:tc>
          <w:tcPr>
            <w:tcW w:w="4689" w:type="dxa"/>
            <w:vAlign w:val="center"/>
          </w:tcPr>
          <w:p w14:paraId="6AC176B3">
            <w:pPr>
              <w:widowControl w:val="0"/>
              <w:spacing w:line="360" w:lineRule="auto"/>
              <w:ind w:firstLine="0" w:firstLineChars="0"/>
              <w:jc w:val="both"/>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绿色建筑、新技术、新产品、新工艺、新材料应用。</w:t>
            </w:r>
          </w:p>
          <w:p w14:paraId="3DB67772">
            <w:pPr>
              <w:widowControl w:val="0"/>
              <w:spacing w:line="360" w:lineRule="auto"/>
              <w:ind w:firstLine="0" w:firstLineChars="0"/>
              <w:jc w:val="both"/>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评委根据投标人本项编制情况以0.1分为单位在0-5分之间进行打分。</w:t>
            </w:r>
          </w:p>
        </w:tc>
        <w:tc>
          <w:tcPr>
            <w:tcW w:w="1026" w:type="dxa"/>
            <w:vAlign w:val="center"/>
          </w:tcPr>
          <w:p w14:paraId="1BFAC232">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主观分</w:t>
            </w:r>
          </w:p>
        </w:tc>
        <w:tc>
          <w:tcPr>
            <w:tcW w:w="773" w:type="dxa"/>
            <w:vAlign w:val="center"/>
          </w:tcPr>
          <w:p w14:paraId="4BA1B143">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5</w:t>
            </w:r>
          </w:p>
        </w:tc>
      </w:tr>
      <w:tr w14:paraId="7C0CC4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2B201BA3">
            <w:pPr>
              <w:widowControl w:val="0"/>
              <w:spacing w:line="360" w:lineRule="auto"/>
              <w:ind w:firstLine="0" w:firstLineChars="0"/>
              <w:jc w:val="cente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ascii="仿宋_GB2312" w:hAnsi="宋体" w:eastAsia="仿宋_GB2312" w:cs="Times New Roman"/>
                <w:color w:val="000000" w:themeColor="text1"/>
                <w:kern w:val="2"/>
                <w:sz w:val="24"/>
                <w:szCs w:val="24"/>
                <w:lang w:val="en-US" w:eastAsia="zh-CN" w:bidi="ar-SA"/>
                <w14:textFill>
                  <w14:solidFill>
                    <w14:schemeClr w14:val="tx1"/>
                  </w14:solidFill>
                </w14:textFill>
              </w:rPr>
              <w:t>1.1</w:t>
            </w: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1</w:t>
            </w:r>
          </w:p>
        </w:tc>
        <w:tc>
          <w:tcPr>
            <w:tcW w:w="773" w:type="dxa"/>
            <w:vAlign w:val="center"/>
          </w:tcPr>
          <w:p w14:paraId="35709014">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技术</w:t>
            </w:r>
          </w:p>
        </w:tc>
        <w:tc>
          <w:tcPr>
            <w:tcW w:w="1665" w:type="dxa"/>
            <w:vAlign w:val="center"/>
          </w:tcPr>
          <w:p w14:paraId="5319470F">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施工进度计划和进度措施</w:t>
            </w:r>
          </w:p>
        </w:tc>
        <w:tc>
          <w:tcPr>
            <w:tcW w:w="4689" w:type="dxa"/>
            <w:vAlign w:val="center"/>
          </w:tcPr>
          <w:p w14:paraId="1E740CF8">
            <w:pPr>
              <w:widowControl w:val="0"/>
              <w:spacing w:line="360" w:lineRule="auto"/>
              <w:ind w:firstLine="0" w:firstLineChars="0"/>
              <w:jc w:val="both"/>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施工进度计划和进度措施（包括以横道图或标明关键线路的网络进度计划、保障进度计划需要的主要施工机械设备、劳动力需求计划及保证措施、材料设备进场计划及其他保证措施等）。</w:t>
            </w:r>
          </w:p>
          <w:p w14:paraId="1417E6F8">
            <w:pPr>
              <w:widowControl w:val="0"/>
              <w:spacing w:line="360" w:lineRule="auto"/>
              <w:ind w:firstLine="0" w:firstLineChars="0"/>
              <w:jc w:val="both"/>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评委根据投标人本项编制情况以0.1分为单位在0-5分之间进行打分。</w:t>
            </w:r>
          </w:p>
        </w:tc>
        <w:tc>
          <w:tcPr>
            <w:tcW w:w="1026" w:type="dxa"/>
            <w:vAlign w:val="center"/>
          </w:tcPr>
          <w:p w14:paraId="0FD9CBE6">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主观分</w:t>
            </w:r>
          </w:p>
        </w:tc>
        <w:tc>
          <w:tcPr>
            <w:tcW w:w="773" w:type="dxa"/>
            <w:vAlign w:val="center"/>
          </w:tcPr>
          <w:p w14:paraId="57B48C72">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5</w:t>
            </w:r>
          </w:p>
        </w:tc>
      </w:tr>
      <w:tr w14:paraId="773039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151D7400">
            <w:pPr>
              <w:widowControl w:val="0"/>
              <w:spacing w:line="360" w:lineRule="auto"/>
              <w:ind w:firstLine="0" w:firstLineChars="0"/>
              <w:jc w:val="cente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ascii="仿宋_GB2312" w:hAnsi="宋体" w:eastAsia="仿宋_GB2312" w:cs="Times New Roman"/>
                <w:color w:val="000000" w:themeColor="text1"/>
                <w:kern w:val="2"/>
                <w:sz w:val="24"/>
                <w:szCs w:val="24"/>
                <w:lang w:val="en-US" w:eastAsia="zh-CN" w:bidi="ar-SA"/>
                <w14:textFill>
                  <w14:solidFill>
                    <w14:schemeClr w14:val="tx1"/>
                  </w14:solidFill>
                </w14:textFill>
              </w:rPr>
              <w:t>1.1</w:t>
            </w: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2</w:t>
            </w:r>
          </w:p>
        </w:tc>
        <w:tc>
          <w:tcPr>
            <w:tcW w:w="773" w:type="dxa"/>
            <w:vAlign w:val="center"/>
          </w:tcPr>
          <w:p w14:paraId="6779617C">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技术</w:t>
            </w:r>
          </w:p>
        </w:tc>
        <w:tc>
          <w:tcPr>
            <w:tcW w:w="1665" w:type="dxa"/>
            <w:vAlign w:val="center"/>
          </w:tcPr>
          <w:p w14:paraId="78CEE7D8">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资源配备计划</w:t>
            </w:r>
          </w:p>
        </w:tc>
        <w:tc>
          <w:tcPr>
            <w:tcW w:w="4689" w:type="dxa"/>
            <w:vAlign w:val="center"/>
          </w:tcPr>
          <w:p w14:paraId="2E9B8A04">
            <w:pPr>
              <w:widowControl w:val="0"/>
              <w:spacing w:line="360" w:lineRule="auto"/>
              <w:ind w:firstLine="0" w:firstLineChars="0"/>
              <w:jc w:val="both"/>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资源配备计划。投入的劳动力、机械设备等计划合理，与进度计划呼应，满足施工需求。</w:t>
            </w:r>
          </w:p>
          <w:p w14:paraId="5CD2014E">
            <w:pPr>
              <w:widowControl w:val="0"/>
              <w:spacing w:line="360" w:lineRule="auto"/>
              <w:ind w:firstLine="0" w:firstLineChars="0"/>
              <w:jc w:val="both"/>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评委根据投标人本项编制情况以</w:t>
            </w:r>
            <w:r>
              <w:rPr>
                <w:rFonts w:ascii="仿宋_GB2312" w:hAnsi="宋体" w:eastAsia="仿宋_GB2312" w:cs="Times New Roman"/>
                <w:color w:val="000000" w:themeColor="text1"/>
                <w:kern w:val="2"/>
                <w:sz w:val="24"/>
                <w:szCs w:val="24"/>
                <w:lang w:val="en-US" w:eastAsia="zh-CN" w:bidi="ar-SA"/>
                <w14:textFill>
                  <w14:solidFill>
                    <w14:schemeClr w14:val="tx1"/>
                  </w14:solidFill>
                </w14:textFill>
              </w:rPr>
              <w:t>0.1分为单位在</w:t>
            </w: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0-5分</w:t>
            </w:r>
            <w:r>
              <w:rPr>
                <w:rFonts w:ascii="仿宋_GB2312" w:hAnsi="宋体" w:eastAsia="仿宋_GB2312" w:cs="Times New Roman"/>
                <w:color w:val="000000" w:themeColor="text1"/>
                <w:kern w:val="2"/>
                <w:sz w:val="24"/>
                <w:szCs w:val="24"/>
                <w:lang w:val="en-US" w:eastAsia="zh-CN" w:bidi="ar-SA"/>
                <w14:textFill>
                  <w14:solidFill>
                    <w14:schemeClr w14:val="tx1"/>
                  </w14:solidFill>
                </w14:textFill>
              </w:rPr>
              <w:t>之间进行打分。</w:t>
            </w:r>
          </w:p>
        </w:tc>
        <w:tc>
          <w:tcPr>
            <w:tcW w:w="1026" w:type="dxa"/>
            <w:vAlign w:val="center"/>
          </w:tcPr>
          <w:p w14:paraId="40409531">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主观分</w:t>
            </w:r>
          </w:p>
        </w:tc>
        <w:tc>
          <w:tcPr>
            <w:tcW w:w="773" w:type="dxa"/>
            <w:vAlign w:val="center"/>
          </w:tcPr>
          <w:p w14:paraId="31F196E1">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5</w:t>
            </w:r>
          </w:p>
        </w:tc>
      </w:tr>
      <w:tr w14:paraId="64DE38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632E31D5">
            <w:pPr>
              <w:widowControl w:val="0"/>
              <w:spacing w:line="360" w:lineRule="auto"/>
              <w:ind w:firstLine="0" w:firstLineChars="0"/>
              <w:jc w:val="cente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ascii="仿宋_GB2312" w:hAnsi="宋体" w:eastAsia="仿宋_GB2312" w:cs="Times New Roman"/>
                <w:color w:val="000000" w:themeColor="text1"/>
                <w:kern w:val="2"/>
                <w:sz w:val="24"/>
                <w:szCs w:val="24"/>
                <w:lang w:val="en-US" w:eastAsia="zh-CN" w:bidi="ar-SA"/>
                <w14:textFill>
                  <w14:solidFill>
                    <w14:schemeClr w14:val="tx1"/>
                  </w14:solidFill>
                </w14:textFill>
              </w:rPr>
              <w:t>1.1</w:t>
            </w: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3</w:t>
            </w:r>
          </w:p>
        </w:tc>
        <w:tc>
          <w:tcPr>
            <w:tcW w:w="773" w:type="dxa"/>
            <w:vAlign w:val="center"/>
          </w:tcPr>
          <w:p w14:paraId="187C2271">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技术</w:t>
            </w:r>
          </w:p>
        </w:tc>
        <w:tc>
          <w:tcPr>
            <w:tcW w:w="1665" w:type="dxa"/>
            <w:vAlign w:val="center"/>
          </w:tcPr>
          <w:p w14:paraId="2932EFD1">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项目管理机构人员配备齐全合理</w:t>
            </w:r>
          </w:p>
        </w:tc>
        <w:tc>
          <w:tcPr>
            <w:tcW w:w="4689" w:type="dxa"/>
            <w:vAlign w:val="center"/>
          </w:tcPr>
          <w:p w14:paraId="39B0149A">
            <w:pPr>
              <w:widowControl w:val="0"/>
              <w:spacing w:line="360" w:lineRule="auto"/>
              <w:ind w:firstLine="0" w:firstLineChars="0"/>
              <w:jc w:val="both"/>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项目管理机构人员配备齐全合理。</w:t>
            </w:r>
          </w:p>
          <w:p w14:paraId="3C279D0E">
            <w:pPr>
              <w:widowControl w:val="0"/>
              <w:spacing w:line="360" w:lineRule="auto"/>
              <w:ind w:firstLine="0" w:firstLineChars="0"/>
              <w:jc w:val="both"/>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评委根据投标人本项编制情况以0.1分为单位在0-5分之间进行打分。</w:t>
            </w:r>
          </w:p>
        </w:tc>
        <w:tc>
          <w:tcPr>
            <w:tcW w:w="1026" w:type="dxa"/>
            <w:vAlign w:val="center"/>
          </w:tcPr>
          <w:p w14:paraId="7B21E6C1">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主观分</w:t>
            </w:r>
          </w:p>
        </w:tc>
        <w:tc>
          <w:tcPr>
            <w:tcW w:w="773" w:type="dxa"/>
            <w:vAlign w:val="center"/>
          </w:tcPr>
          <w:p w14:paraId="3DC02CEE">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5</w:t>
            </w:r>
          </w:p>
        </w:tc>
      </w:tr>
      <w:tr w14:paraId="5F7F50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4848F511">
            <w:pPr>
              <w:widowControl w:val="0"/>
              <w:spacing w:line="360" w:lineRule="auto"/>
              <w:ind w:firstLine="0" w:firstLineChars="0"/>
              <w:jc w:val="cente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ascii="仿宋_GB2312" w:hAnsi="宋体" w:eastAsia="仿宋_GB2312" w:cs="Times New Roman"/>
                <w:color w:val="000000" w:themeColor="text1"/>
                <w:kern w:val="2"/>
                <w:sz w:val="24"/>
                <w:szCs w:val="24"/>
                <w:lang w:val="en-US" w:eastAsia="zh-CN" w:bidi="ar-SA"/>
                <w14:textFill>
                  <w14:solidFill>
                    <w14:schemeClr w14:val="tx1"/>
                  </w14:solidFill>
                </w14:textFill>
              </w:rPr>
              <w:t>1.1</w:t>
            </w: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4</w:t>
            </w:r>
          </w:p>
        </w:tc>
        <w:tc>
          <w:tcPr>
            <w:tcW w:w="773" w:type="dxa"/>
            <w:vAlign w:val="center"/>
          </w:tcPr>
          <w:p w14:paraId="3404A53F">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技术</w:t>
            </w:r>
          </w:p>
        </w:tc>
        <w:tc>
          <w:tcPr>
            <w:tcW w:w="1665" w:type="dxa"/>
            <w:vAlign w:val="center"/>
          </w:tcPr>
          <w:p w14:paraId="472B1572">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成品保护、工程保修制度</w:t>
            </w:r>
          </w:p>
        </w:tc>
        <w:tc>
          <w:tcPr>
            <w:tcW w:w="4689" w:type="dxa"/>
            <w:vAlign w:val="center"/>
          </w:tcPr>
          <w:p w14:paraId="621BA328">
            <w:pPr>
              <w:widowControl w:val="0"/>
              <w:spacing w:line="360" w:lineRule="auto"/>
              <w:ind w:firstLine="0" w:firstLineChars="0"/>
              <w:jc w:val="both"/>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成品保护、保修方案与工程保险制度措施、总承包单位与监理、设计的配合等。</w:t>
            </w:r>
          </w:p>
          <w:p w14:paraId="4658C3DC">
            <w:pPr>
              <w:widowControl w:val="0"/>
              <w:spacing w:line="360" w:lineRule="auto"/>
              <w:ind w:firstLine="0" w:firstLineChars="0"/>
              <w:jc w:val="both"/>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评委根据投标人本项编制情况以0.1分为单位在0-5分之间进行打分。</w:t>
            </w:r>
          </w:p>
        </w:tc>
        <w:tc>
          <w:tcPr>
            <w:tcW w:w="1026" w:type="dxa"/>
            <w:vAlign w:val="center"/>
          </w:tcPr>
          <w:p w14:paraId="76589599">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主观分</w:t>
            </w:r>
          </w:p>
        </w:tc>
        <w:tc>
          <w:tcPr>
            <w:tcW w:w="773" w:type="dxa"/>
            <w:vAlign w:val="center"/>
          </w:tcPr>
          <w:p w14:paraId="43C8D0F9">
            <w:pPr>
              <w:widowControl w:val="0"/>
              <w:spacing w:line="360" w:lineRule="auto"/>
              <w:ind w:firstLine="0" w:firstLineChars="0"/>
              <w:jc w:val="center"/>
              <w:rPr>
                <w:rFonts w:ascii="仿宋_GB2312" w:hAnsi="宋体" w:eastAsia="仿宋_GB2312" w:cs="Times New Roman"/>
                <w:color w:val="000000" w:themeColor="text1"/>
                <w:kern w:val="2"/>
                <w:sz w:val="24"/>
                <w:szCs w:val="24"/>
                <w:lang w:val="en-US" w:eastAsia="zh-CN" w:bidi="ar-SA"/>
                <w14:textFill>
                  <w14:solidFill>
                    <w14:schemeClr w14:val="tx1"/>
                  </w14:solidFill>
                </w14:textFill>
              </w:rPr>
            </w:pPr>
            <w:r>
              <w:rPr>
                <w:rFonts w:hint="eastAsia" w:ascii="仿宋_GB2312" w:hAnsi="宋体" w:eastAsia="仿宋_GB2312" w:cs="Times New Roman"/>
                <w:color w:val="000000" w:themeColor="text1"/>
                <w:kern w:val="2"/>
                <w:sz w:val="24"/>
                <w:szCs w:val="24"/>
                <w:lang w:val="en-US" w:eastAsia="zh-CN" w:bidi="ar-SA"/>
                <w14:textFill>
                  <w14:solidFill>
                    <w14:schemeClr w14:val="tx1"/>
                  </w14:solidFill>
                </w14:textFill>
              </w:rPr>
              <w:t>5</w:t>
            </w:r>
          </w:p>
        </w:tc>
      </w:tr>
    </w:tbl>
    <w:p w14:paraId="27FE4168">
      <w:pPr>
        <w:pStyle w:val="21"/>
        <w:rPr>
          <w:color w:val="000000" w:themeColor="text1"/>
          <w14:textFill>
            <w14:solidFill>
              <w14:schemeClr w14:val="tx1"/>
            </w14:solidFill>
          </w14:textFill>
        </w:rPr>
        <w:sectPr>
          <w:pgSz w:w="11906" w:h="16838"/>
          <w:pgMar w:top="1440" w:right="1080" w:bottom="1440" w:left="1080" w:header="851" w:footer="992" w:gutter="0"/>
          <w:cols w:space="720" w:num="1"/>
          <w:docGrid w:type="lines" w:linePitch="312" w:charSpace="0"/>
        </w:sectPr>
      </w:pPr>
    </w:p>
    <w:p w14:paraId="032442CC">
      <w:pPr>
        <w:pStyle w:val="43"/>
        <w:spacing w:before="100" w:beforeAutospacing="1" w:after="100" w:afterAutospacing="1" w:line="415" w:lineRule="auto"/>
        <w:ind w:firstLine="198" w:firstLineChars="45"/>
        <w:rPr>
          <w:rFonts w:ascii="宋体" w:hAnsi="宋体" w:cs="宋体"/>
          <w:color w:val="000000" w:themeColor="text1"/>
          <w:sz w:val="44"/>
          <w:szCs w:val="44"/>
          <w14:textFill>
            <w14:solidFill>
              <w14:schemeClr w14:val="tx1"/>
            </w14:solidFill>
          </w14:textFill>
        </w:rPr>
      </w:pPr>
      <w:r>
        <w:rPr>
          <w:rFonts w:hint="eastAsia" w:ascii="宋体" w:hAnsi="宋体" w:cs="宋体"/>
          <w:color w:val="000000" w:themeColor="text1"/>
          <w:sz w:val="44"/>
          <w:szCs w:val="44"/>
          <w14:textFill>
            <w14:solidFill>
              <w14:schemeClr w14:val="tx1"/>
            </w14:solidFill>
          </w14:textFill>
        </w:rPr>
        <w:t>第五章</w:t>
      </w:r>
      <w:r>
        <w:rPr>
          <w:rFonts w:ascii="宋体" w:hAnsi="宋体" w:cs="宋体"/>
          <w:color w:val="000000" w:themeColor="text1"/>
          <w:sz w:val="44"/>
          <w:szCs w:val="44"/>
          <w14:textFill>
            <w14:solidFill>
              <w14:schemeClr w14:val="tx1"/>
            </w14:solidFill>
          </w14:textFill>
        </w:rPr>
        <w:t xml:space="preserve"> </w:t>
      </w:r>
      <w:r>
        <w:rPr>
          <w:rFonts w:hint="eastAsia" w:ascii="宋体" w:hAnsi="宋体" w:cs="宋体"/>
          <w:color w:val="000000" w:themeColor="text1"/>
          <w:sz w:val="44"/>
          <w:szCs w:val="44"/>
          <w14:textFill>
            <w14:solidFill>
              <w14:schemeClr w14:val="tx1"/>
            </w14:solidFill>
          </w14:textFill>
        </w:rPr>
        <w:t>投标（响应）件格式</w:t>
      </w:r>
    </w:p>
    <w:p w14:paraId="381D5226">
      <w:pPr>
        <w:ind w:firstLine="560"/>
        <w:rPr>
          <w:color w:val="000000" w:themeColor="text1"/>
          <w14:textFill>
            <w14:solidFill>
              <w14:schemeClr w14:val="tx1"/>
            </w14:solidFill>
          </w14:textFill>
        </w:rPr>
      </w:pPr>
    </w:p>
    <w:p w14:paraId="4DA294E5">
      <w:pPr>
        <w:ind w:firstLine="560"/>
        <w:rPr>
          <w:color w:val="000000" w:themeColor="text1"/>
          <w14:textFill>
            <w14:solidFill>
              <w14:schemeClr w14:val="tx1"/>
            </w14:solidFill>
          </w14:textFill>
        </w:rPr>
        <w:sectPr>
          <w:headerReference r:id="rId24" w:type="default"/>
          <w:footerReference r:id="rId25" w:type="default"/>
          <w:pgSz w:w="11906" w:h="16838"/>
          <w:pgMar w:top="1440" w:right="1077" w:bottom="1440" w:left="1077" w:header="851" w:footer="992" w:gutter="0"/>
          <w:cols w:space="720" w:num="1"/>
          <w:docGrid w:type="linesAndChars" w:linePitch="312" w:charSpace="0"/>
        </w:sectPr>
      </w:pPr>
    </w:p>
    <w:p w14:paraId="3719FF35">
      <w:pPr>
        <w:ind w:firstLine="1680"/>
        <w:rPr>
          <w:rFonts w:ascii="方正小标宋简体" w:hAnsi="仿宋" w:eastAsia="方正小标宋简体"/>
          <w:bCs/>
          <w:color w:val="000000" w:themeColor="text1"/>
          <w:sz w:val="84"/>
          <w14:textFill>
            <w14:solidFill>
              <w14:schemeClr w14:val="tx1"/>
            </w14:solidFill>
          </w14:textFill>
        </w:rPr>
      </w:pPr>
    </w:p>
    <w:p w14:paraId="7D37B136">
      <w:pPr>
        <w:ind w:firstLine="1680"/>
        <w:jc w:val="center"/>
        <w:rPr>
          <w:rFonts w:ascii="方正小标宋简体" w:hAnsi="仿宋" w:eastAsia="方正小标宋简体"/>
          <w:bCs/>
          <w:color w:val="000000" w:themeColor="text1"/>
          <w:sz w:val="84"/>
          <w14:textFill>
            <w14:solidFill>
              <w14:schemeClr w14:val="tx1"/>
            </w14:solidFill>
          </w14:textFill>
        </w:rPr>
      </w:pPr>
      <w:r>
        <w:rPr>
          <w:rFonts w:hint="eastAsia" w:ascii="方正小标宋简体" w:hAnsi="仿宋" w:eastAsia="方正小标宋简体"/>
          <w:bCs/>
          <w:color w:val="000000" w:themeColor="text1"/>
          <w:sz w:val="84"/>
          <w14:textFill>
            <w14:solidFill>
              <w14:schemeClr w14:val="tx1"/>
            </w14:solidFill>
          </w14:textFill>
        </w:rPr>
        <w:t>响 应 文 件</w:t>
      </w:r>
    </w:p>
    <w:p w14:paraId="5CCDB2E0">
      <w:pPr>
        <w:ind w:firstLine="1440"/>
        <w:jc w:val="center"/>
        <w:rPr>
          <w:rFonts w:ascii="仿宋" w:hAnsi="仿宋" w:eastAsia="仿宋"/>
          <w:color w:val="000000" w:themeColor="text1"/>
          <w:sz w:val="72"/>
          <w14:textFill>
            <w14:solidFill>
              <w14:schemeClr w14:val="tx1"/>
            </w14:solidFill>
          </w14:textFill>
        </w:rPr>
      </w:pPr>
      <w:r>
        <w:rPr>
          <w:rFonts w:hint="eastAsia" w:ascii="仿宋" w:hAnsi="仿宋" w:eastAsia="仿宋" w:cs="Calibri"/>
          <w:color w:val="000000" w:themeColor="text1"/>
          <w:sz w:val="72"/>
          <w:szCs w:val="20"/>
          <w14:textFill>
            <w14:solidFill>
              <w14:schemeClr w14:val="tx1"/>
            </w14:solidFill>
          </w14:textFill>
        </w:rPr>
        <w:t>（第一册）</w:t>
      </w:r>
    </w:p>
    <w:p w14:paraId="4D494A97">
      <w:pPr>
        <w:ind w:firstLine="1440"/>
        <w:jc w:val="center"/>
        <w:rPr>
          <w:rFonts w:ascii="仿宋" w:hAnsi="仿宋" w:eastAsia="仿宋"/>
          <w:color w:val="000000" w:themeColor="text1"/>
          <w:sz w:val="72"/>
          <w14:textFill>
            <w14:solidFill>
              <w14:schemeClr w14:val="tx1"/>
            </w14:solidFill>
          </w14:textFill>
        </w:rPr>
      </w:pPr>
    </w:p>
    <w:p w14:paraId="2B510372">
      <w:pPr>
        <w:ind w:firstLine="720"/>
        <w:jc w:val="left"/>
        <w:rPr>
          <w:rFonts w:hint="eastAsia" w:ascii="仿宋" w:hAnsi="仿宋" w:eastAsia="仿宋"/>
          <w:color w:val="000000" w:themeColor="text1"/>
          <w:sz w:val="36"/>
          <w:szCs w:val="36"/>
          <w:lang w:eastAsia="zh-CN"/>
          <w14:textFill>
            <w14:solidFill>
              <w14:schemeClr w14:val="tx1"/>
            </w14:solidFill>
          </w14:textFill>
        </w:rPr>
      </w:pPr>
      <w:r>
        <w:rPr>
          <w:rFonts w:hint="eastAsia" w:ascii="黑体" w:hAnsi="黑体" w:eastAsia="黑体"/>
          <w:bCs/>
          <w:color w:val="000000" w:themeColor="text1"/>
          <w:sz w:val="36"/>
          <w:szCs w:val="36"/>
          <w14:textFill>
            <w14:solidFill>
              <w14:schemeClr w14:val="tx1"/>
            </w14:solidFill>
          </w14:textFill>
        </w:rPr>
        <w:t>采购项目：</w:t>
      </w:r>
      <w:r>
        <w:rPr>
          <w:rFonts w:hint="eastAsia" w:ascii="仿宋" w:hAnsi="仿宋" w:eastAsia="仿宋"/>
          <w:bCs/>
          <w:color w:val="000000" w:themeColor="text1"/>
          <w:kern w:val="0"/>
          <w:sz w:val="36"/>
          <w:szCs w:val="36"/>
          <w:lang w:eastAsia="zh-CN"/>
          <w14:textFill>
            <w14:solidFill>
              <w14:schemeClr w14:val="tx1"/>
            </w14:solidFill>
          </w14:textFill>
        </w:rPr>
        <w:t>乳山市2024年小型水库维修养护项目</w:t>
      </w:r>
    </w:p>
    <w:p w14:paraId="3FA57DFA">
      <w:pPr>
        <w:ind w:firstLine="720"/>
        <w:jc w:val="left"/>
        <w:rPr>
          <w:rFonts w:hint="eastAsia" w:ascii="仿宋" w:hAnsi="仿宋" w:eastAsia="仿宋"/>
          <w:b/>
          <w:color w:val="000000" w:themeColor="text1"/>
          <w:sz w:val="36"/>
          <w:lang w:eastAsia="zh-CN"/>
          <w14:textFill>
            <w14:solidFill>
              <w14:schemeClr w14:val="tx1"/>
            </w14:solidFill>
          </w14:textFill>
        </w:rPr>
      </w:pPr>
      <w:r>
        <w:rPr>
          <w:rFonts w:hint="eastAsia" w:ascii="黑体" w:hAnsi="黑体" w:eastAsia="黑体"/>
          <w:bCs/>
          <w:color w:val="000000" w:themeColor="text1"/>
          <w:sz w:val="36"/>
          <w:szCs w:val="36"/>
          <w14:textFill>
            <w14:solidFill>
              <w14:schemeClr w14:val="tx1"/>
            </w14:solidFill>
          </w14:textFill>
        </w:rPr>
        <w:t>采购编号</w:t>
      </w:r>
      <w:r>
        <w:rPr>
          <w:rFonts w:hint="eastAsia" w:ascii="仿宋" w:hAnsi="仿宋" w:eastAsia="仿宋"/>
          <w:bCs/>
          <w:color w:val="000000" w:themeColor="text1"/>
          <w:sz w:val="36"/>
          <w:szCs w:val="36"/>
          <w14:textFill>
            <w14:solidFill>
              <w14:schemeClr w14:val="tx1"/>
            </w14:solidFill>
          </w14:textFill>
        </w:rPr>
        <w:t>：</w:t>
      </w:r>
      <w:r>
        <w:rPr>
          <w:rFonts w:hint="eastAsia" w:ascii="仿宋" w:hAnsi="仿宋" w:eastAsia="仿宋"/>
          <w:color w:val="000000" w:themeColor="text1"/>
          <w:sz w:val="36"/>
          <w:szCs w:val="36"/>
          <w:lang w:eastAsia="zh-CN"/>
          <w14:textFill>
            <w14:solidFill>
              <w14:schemeClr w14:val="tx1"/>
            </w14:solidFill>
          </w14:textFill>
        </w:rPr>
        <w:t>SDGP371083000202402000122</w:t>
      </w:r>
    </w:p>
    <w:p w14:paraId="78AC67DE">
      <w:pPr>
        <w:ind w:firstLine="720"/>
        <w:jc w:val="left"/>
        <w:rPr>
          <w:rFonts w:ascii="黑体" w:hAnsi="黑体" w:eastAsia="黑体"/>
          <w:bCs/>
          <w:color w:val="000000" w:themeColor="text1"/>
          <w:sz w:val="36"/>
          <w:szCs w:val="36"/>
          <w14:textFill>
            <w14:solidFill>
              <w14:schemeClr w14:val="tx1"/>
            </w14:solidFill>
          </w14:textFill>
        </w:rPr>
      </w:pPr>
      <w:r>
        <w:rPr>
          <w:rFonts w:hint="eastAsia" w:ascii="黑体" w:hAnsi="黑体" w:eastAsia="黑体"/>
          <w:bCs/>
          <w:color w:val="000000" w:themeColor="text1"/>
          <w:sz w:val="36"/>
          <w:szCs w:val="36"/>
          <w14:textFill>
            <w14:solidFill>
              <w14:schemeClr w14:val="tx1"/>
            </w14:solidFill>
          </w14:textFill>
        </w:rPr>
        <w:t>所投包号：</w:t>
      </w:r>
      <w:r>
        <w:rPr>
          <w:rFonts w:ascii="黑体" w:hAnsi="黑体" w:eastAsia="黑体"/>
          <w:bCs/>
          <w:color w:val="000000" w:themeColor="text1"/>
          <w:sz w:val="36"/>
          <w:szCs w:val="36"/>
          <w14:textFill>
            <w14:solidFill>
              <w14:schemeClr w14:val="tx1"/>
            </w14:solidFill>
          </w14:textFill>
        </w:rPr>
        <w:t>A</w:t>
      </w:r>
    </w:p>
    <w:p w14:paraId="2E48FFF8">
      <w:pPr>
        <w:ind w:firstLine="720"/>
        <w:jc w:val="left"/>
        <w:rPr>
          <w:rFonts w:ascii="仿宋" w:hAnsi="仿宋" w:eastAsia="仿宋"/>
          <w:color w:val="000000" w:themeColor="text1"/>
          <w:sz w:val="36"/>
          <w14:textFill>
            <w14:solidFill>
              <w14:schemeClr w14:val="tx1"/>
            </w14:solidFill>
          </w14:textFill>
        </w:rPr>
      </w:pPr>
    </w:p>
    <w:p w14:paraId="15CEA26A">
      <w:pPr>
        <w:tabs>
          <w:tab w:val="left" w:pos="580"/>
        </w:tabs>
        <w:ind w:left="246" w:leftChars="88" w:firstLine="1800" w:firstLineChars="500"/>
        <w:rPr>
          <w:rFonts w:ascii="仿宋" w:hAnsi="仿宋" w:eastAsia="仿宋"/>
          <w:color w:val="000000" w:themeColor="text1"/>
          <w:kern w:val="0"/>
          <w:sz w:val="36"/>
          <w:szCs w:val="21"/>
          <w14:textFill>
            <w14:solidFill>
              <w14:schemeClr w14:val="tx1"/>
            </w14:solidFill>
          </w14:textFill>
        </w:rPr>
      </w:pPr>
    </w:p>
    <w:p w14:paraId="4EC738B1">
      <w:pPr>
        <w:tabs>
          <w:tab w:val="left" w:pos="580"/>
        </w:tabs>
        <w:ind w:left="246" w:leftChars="88" w:firstLine="1800" w:firstLineChars="500"/>
        <w:rPr>
          <w:rFonts w:ascii="仿宋_GB2312" w:hAnsi="仿宋"/>
          <w:color w:val="000000" w:themeColor="text1"/>
          <w:kern w:val="0"/>
          <w:sz w:val="36"/>
          <w:szCs w:val="36"/>
          <w14:textFill>
            <w14:solidFill>
              <w14:schemeClr w14:val="tx1"/>
            </w14:solidFill>
          </w14:textFill>
        </w:rPr>
      </w:pPr>
    </w:p>
    <w:p w14:paraId="3C34DB52">
      <w:pPr>
        <w:tabs>
          <w:tab w:val="left" w:pos="580"/>
        </w:tabs>
        <w:ind w:firstLine="1800" w:firstLineChars="500"/>
        <w:rPr>
          <w:rFonts w:ascii="仿宋_GB2312" w:hAnsi="仿宋"/>
          <w:color w:val="000000" w:themeColor="text1"/>
          <w:kern w:val="0"/>
          <w:sz w:val="36"/>
          <w:szCs w:val="36"/>
          <w14:textFill>
            <w14:solidFill>
              <w14:schemeClr w14:val="tx1"/>
            </w14:solidFill>
          </w14:textFill>
        </w:rPr>
      </w:pPr>
      <w:r>
        <w:rPr>
          <w:rFonts w:hint="eastAsia" w:ascii="仿宋_GB2312" w:hAnsi="仿宋"/>
          <w:color w:val="000000" w:themeColor="text1"/>
          <w:kern w:val="0"/>
          <w:sz w:val="36"/>
          <w:szCs w:val="36"/>
          <w14:textFill>
            <w14:solidFill>
              <w14:schemeClr w14:val="tx1"/>
            </w14:solidFill>
          </w14:textFill>
        </w:rPr>
        <w:t>供应商名称：***有限公司</w:t>
      </w:r>
    </w:p>
    <w:p w14:paraId="102591C1">
      <w:pPr>
        <w:tabs>
          <w:tab w:val="left" w:pos="580"/>
        </w:tabs>
        <w:ind w:firstLine="1800" w:firstLineChars="500"/>
        <w:rPr>
          <w:rFonts w:ascii="仿宋_GB2312" w:hAnsi="仿宋"/>
          <w:color w:val="000000" w:themeColor="text1"/>
          <w:kern w:val="0"/>
          <w:sz w:val="36"/>
          <w:szCs w:val="36"/>
          <w14:textFill>
            <w14:solidFill>
              <w14:schemeClr w14:val="tx1"/>
            </w14:solidFill>
          </w14:textFill>
        </w:rPr>
      </w:pPr>
      <w:r>
        <w:rPr>
          <w:rFonts w:hint="eastAsia" w:ascii="仿宋_GB2312" w:hAnsi="仿宋"/>
          <w:color w:val="000000" w:themeColor="text1"/>
          <w:kern w:val="0"/>
          <w:sz w:val="36"/>
          <w:szCs w:val="36"/>
          <w14:textFill>
            <w14:solidFill>
              <w14:schemeClr w14:val="tx1"/>
            </w14:solidFill>
          </w14:textFill>
        </w:rPr>
        <w:t>日      期：年  月  日</w:t>
      </w:r>
    </w:p>
    <w:p w14:paraId="11E0DDBE">
      <w:pPr>
        <w:widowControl/>
        <w:ind w:firstLine="720"/>
        <w:jc w:val="center"/>
        <w:rPr>
          <w:color w:val="000000" w:themeColor="text1"/>
          <w14:textFill>
            <w14:solidFill>
              <w14:schemeClr w14:val="tx1"/>
            </w14:solidFill>
          </w14:textFill>
        </w:rPr>
      </w:pPr>
      <w:r>
        <w:rPr>
          <w:rFonts w:ascii="仿宋_GB2312" w:hAnsi="仿宋"/>
          <w:color w:val="000000" w:themeColor="text1"/>
          <w:sz w:val="36"/>
          <w:szCs w:val="36"/>
          <w14:textFill>
            <w14:solidFill>
              <w14:schemeClr w14:val="tx1"/>
            </w14:solidFill>
          </w14:textFill>
        </w:rPr>
        <w:br w:type="page"/>
      </w:r>
      <w:r>
        <w:rPr>
          <w:rFonts w:ascii="黑体" w:hAnsi="黑体" w:eastAsia="黑体"/>
          <w:color w:val="000000" w:themeColor="text1"/>
          <w:sz w:val="44"/>
          <w:szCs w:val="44"/>
          <w14:textFill>
            <w14:solidFill>
              <w14:schemeClr w14:val="tx1"/>
            </w14:solidFill>
          </w14:textFill>
        </w:rPr>
        <w:t>目录</w:t>
      </w:r>
    </w:p>
    <w:p w14:paraId="7718E846">
      <w:pPr>
        <w:tabs>
          <w:tab w:val="right" w:leader="dot" w:pos="8296"/>
        </w:tabs>
        <w:ind w:firstLine="640"/>
        <w:jc w:val="center"/>
        <w:rPr>
          <w:rFonts w:ascii="仿宋_GB2312"/>
          <w:color w:val="000000" w:themeColor="text1"/>
          <w:szCs w:val="21"/>
          <w14:textFill>
            <w14:solidFill>
              <w14:schemeClr w14:val="tx1"/>
            </w14:solidFill>
          </w14:textFill>
        </w:rPr>
      </w:pPr>
      <w:r>
        <w:rPr>
          <w:rFonts w:hint="eastAsia" w:ascii="仿宋_GB2312"/>
          <w:color w:val="000000" w:themeColor="text1"/>
          <w:sz w:val="32"/>
          <w:szCs w:val="21"/>
          <w14:textFill>
            <w14:solidFill>
              <w14:schemeClr w14:val="tx1"/>
            </w14:solidFill>
          </w14:textFill>
        </w:rPr>
        <w:t>（由供应商自行编制）</w:t>
      </w:r>
    </w:p>
    <w:p w14:paraId="3A0009D5">
      <w:pPr>
        <w:widowControl/>
        <w:ind w:firstLine="602"/>
        <w:jc w:val="right"/>
        <w:rPr>
          <w:rFonts w:ascii="仿宋_GB2312" w:hAnsi="宋体"/>
          <w:b/>
          <w:bCs/>
          <w:color w:val="000000" w:themeColor="text1"/>
          <w:sz w:val="30"/>
          <w:szCs w:val="30"/>
          <w14:textFill>
            <w14:solidFill>
              <w14:schemeClr w14:val="tx1"/>
            </w14:solidFill>
          </w14:textFill>
        </w:rPr>
      </w:pPr>
      <w:r>
        <w:rPr>
          <w:rFonts w:ascii="仿宋_GB2312" w:hAnsi="宋体"/>
          <w:b/>
          <w:bCs/>
          <w:color w:val="000000" w:themeColor="text1"/>
          <w:sz w:val="30"/>
          <w:szCs w:val="30"/>
          <w14:textFill>
            <w14:solidFill>
              <w14:schemeClr w14:val="tx1"/>
            </w14:solidFill>
          </w14:textFill>
        </w:rPr>
        <w:br w:type="page"/>
      </w:r>
    </w:p>
    <w:p w14:paraId="50B83FE3">
      <w:pPr>
        <w:keepNext/>
        <w:keepLines/>
        <w:spacing w:before="120" w:after="120" w:line="560" w:lineRule="exact"/>
        <w:ind w:firstLine="880"/>
        <w:jc w:val="center"/>
        <w:outlineLvl w:val="1"/>
        <w:rPr>
          <w:rFonts w:ascii="Arial" w:hAnsi="Arial" w:eastAsia="黑体"/>
          <w:bCs/>
          <w:color w:val="000000" w:themeColor="text1"/>
          <w:sz w:val="44"/>
          <w:szCs w:val="32"/>
          <w14:textFill>
            <w14:solidFill>
              <w14:schemeClr w14:val="tx1"/>
            </w14:solidFill>
          </w14:textFill>
        </w:rPr>
      </w:pPr>
      <w:r>
        <w:rPr>
          <w:rFonts w:hint="eastAsia" w:ascii="Arial" w:hAnsi="Arial" w:eastAsia="黑体"/>
          <w:bCs/>
          <w:color w:val="000000" w:themeColor="text1"/>
          <w:sz w:val="44"/>
          <w:szCs w:val="32"/>
          <w14:textFill>
            <w14:solidFill>
              <w14:schemeClr w14:val="tx1"/>
            </w14:solidFill>
          </w14:textFill>
        </w:rPr>
        <w:t>报价承诺函</w:t>
      </w:r>
    </w:p>
    <w:p w14:paraId="655604F5">
      <w:pPr>
        <w:spacing w:line="520" w:lineRule="exact"/>
        <w:ind w:left="0" w:leftChars="0" w:firstLine="0" w:firstLineChars="0"/>
        <w:rPr>
          <w:rFonts w:ascii="仿宋_GB2312" w:hAnsi="仿宋"/>
          <w:color w:val="000000" w:themeColor="text1"/>
          <w:sz w:val="32"/>
          <w:szCs w:val="32"/>
          <w14:textFill>
            <w14:solidFill>
              <w14:schemeClr w14:val="tx1"/>
            </w14:solidFill>
          </w14:textFill>
        </w:rPr>
      </w:pPr>
      <w:r>
        <w:rPr>
          <w:rFonts w:hint="eastAsia" w:ascii="仿宋_GB2312" w:hAnsi="仿宋"/>
          <w:color w:val="000000" w:themeColor="text1"/>
          <w:sz w:val="32"/>
          <w:szCs w:val="32"/>
          <w:lang w:eastAsia="zh-CN"/>
          <w14:textFill>
            <w14:solidFill>
              <w14:schemeClr w14:val="tx1"/>
            </w14:solidFill>
          </w14:textFill>
        </w:rPr>
        <w:t>乳山市方识建设工程咨询有限公司</w:t>
      </w:r>
      <w:r>
        <w:rPr>
          <w:rFonts w:hint="eastAsia" w:ascii="仿宋_GB2312" w:hAnsi="仿宋"/>
          <w:color w:val="000000" w:themeColor="text1"/>
          <w:sz w:val="32"/>
          <w:szCs w:val="32"/>
          <w14:textFill>
            <w14:solidFill>
              <w14:schemeClr w14:val="tx1"/>
            </w14:solidFill>
          </w14:textFill>
        </w:rPr>
        <w:t>：</w:t>
      </w:r>
    </w:p>
    <w:p w14:paraId="401CA4D4">
      <w:pPr>
        <w:spacing w:line="520" w:lineRule="exact"/>
        <w:ind w:firstLine="640"/>
        <w:rPr>
          <w:rFonts w:ascii="仿宋_GB2312" w:hAnsi="仿宋"/>
          <w:color w:val="000000" w:themeColor="text1"/>
          <w:sz w:val="32"/>
          <w:szCs w:val="32"/>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我方根据项目编号为</w:t>
      </w:r>
      <w:r>
        <w:rPr>
          <w:rFonts w:hint="eastAsia" w:ascii="仿宋_GB2312" w:hAnsi="仿宋"/>
          <w:color w:val="000000" w:themeColor="text1"/>
          <w:sz w:val="32"/>
          <w:szCs w:val="32"/>
          <w:lang w:eastAsia="zh-CN"/>
          <w14:textFill>
            <w14:solidFill>
              <w14:schemeClr w14:val="tx1"/>
            </w14:solidFill>
          </w14:textFill>
        </w:rPr>
        <w:t>SDGP371083000202402000122</w:t>
      </w:r>
      <w:r>
        <w:rPr>
          <w:rFonts w:hint="eastAsia" w:ascii="仿宋_GB2312" w:hAnsi="仿宋"/>
          <w:color w:val="000000" w:themeColor="text1"/>
          <w:sz w:val="32"/>
          <w:szCs w:val="32"/>
          <w14:textFill>
            <w14:solidFill>
              <w14:schemeClr w14:val="tx1"/>
            </w14:solidFill>
          </w14:textFill>
        </w:rPr>
        <w:t>项目名称为</w:t>
      </w:r>
      <w:r>
        <w:rPr>
          <w:rFonts w:hint="eastAsia" w:ascii="仿宋_GB2312" w:hAnsi="仿宋"/>
          <w:color w:val="000000" w:themeColor="text1"/>
          <w:sz w:val="32"/>
          <w:szCs w:val="32"/>
          <w:lang w:eastAsia="zh-CN"/>
          <w14:textFill>
            <w14:solidFill>
              <w14:schemeClr w14:val="tx1"/>
            </w14:solidFill>
          </w14:textFill>
        </w:rPr>
        <w:t>乳山市2024年小型水库维修养护项目</w:t>
      </w:r>
      <w:r>
        <w:rPr>
          <w:rFonts w:hint="eastAsia" w:ascii="仿宋_GB2312" w:hAnsi="仿宋"/>
          <w:color w:val="000000" w:themeColor="text1"/>
          <w:sz w:val="32"/>
          <w:szCs w:val="32"/>
          <w14:textFill>
            <w14:solidFill>
              <w14:schemeClr w14:val="tx1"/>
            </w14:solidFill>
          </w14:textFill>
        </w:rPr>
        <w:t>磋商文件要求，经详细研究决定参加报价。</w:t>
      </w:r>
    </w:p>
    <w:p w14:paraId="6864456F">
      <w:pPr>
        <w:spacing w:line="520" w:lineRule="exact"/>
        <w:ind w:firstLine="640"/>
        <w:rPr>
          <w:rFonts w:ascii="仿宋_GB2312" w:hAnsi="仿宋"/>
          <w:color w:val="000000" w:themeColor="text1"/>
          <w:sz w:val="32"/>
          <w:szCs w:val="32"/>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1.我方接受本采购文件中关于电子招投标的各项规定，遵守《中华人民共和国电子签名法》关于电子签名的各项规定。我方愿意按照磋商文件的规定和要求提供产品，报价详见《开标（报价）一览表》。</w:t>
      </w:r>
    </w:p>
    <w:p w14:paraId="68001C64">
      <w:pPr>
        <w:spacing w:line="520" w:lineRule="exact"/>
        <w:ind w:firstLine="640"/>
        <w:rPr>
          <w:rFonts w:ascii="仿宋_GB2312" w:hAnsi="仿宋"/>
          <w:color w:val="000000" w:themeColor="text1"/>
          <w:sz w:val="32"/>
          <w:szCs w:val="32"/>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2.我方同意90天的报价有效期，严格遵守响应文件的各项承诺。在此期限届满之前，本响应文件始终对我方具有约束力，并随时接受成交。我方承诺在报价有效期内不修改、撤销响应文件。</w:t>
      </w:r>
    </w:p>
    <w:p w14:paraId="48174668">
      <w:pPr>
        <w:spacing w:line="520" w:lineRule="exact"/>
        <w:ind w:firstLine="640"/>
        <w:rPr>
          <w:rFonts w:ascii="仿宋_GB2312" w:hAnsi="仿宋"/>
          <w:color w:val="000000" w:themeColor="text1"/>
          <w:sz w:val="32"/>
          <w:szCs w:val="32"/>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3.我方愿意遵守本采购文件的规定和要求并提供磋商文件中要求的所有资料，若响应文件中存在虚假资料的，则视为我方隐瞒真实情况、提供虚假资料，我方愿意接受主管部门做出的行政处罚。</w:t>
      </w:r>
    </w:p>
    <w:p w14:paraId="42BABCF8">
      <w:pPr>
        <w:spacing w:line="520" w:lineRule="exact"/>
        <w:ind w:firstLine="640"/>
        <w:rPr>
          <w:rFonts w:ascii="仿宋_GB2312" w:hAnsi="仿宋"/>
          <w:color w:val="000000" w:themeColor="text1"/>
          <w:sz w:val="32"/>
          <w:szCs w:val="32"/>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4.我方同意最低价是成交的主要选择标准，但不是唯一的选择标准。</w:t>
      </w:r>
    </w:p>
    <w:p w14:paraId="390397E6">
      <w:pPr>
        <w:spacing w:line="520" w:lineRule="exact"/>
        <w:ind w:firstLine="640"/>
        <w:rPr>
          <w:rFonts w:ascii="仿宋_GB2312" w:hAnsi="仿宋"/>
          <w:color w:val="000000" w:themeColor="text1"/>
          <w:sz w:val="32"/>
          <w:szCs w:val="32"/>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5.如果我方成交：</w:t>
      </w:r>
    </w:p>
    <w:p w14:paraId="3C9CCCF2">
      <w:pPr>
        <w:spacing w:line="520" w:lineRule="exact"/>
        <w:ind w:firstLine="640"/>
        <w:rPr>
          <w:rFonts w:ascii="仿宋_GB2312" w:hAnsi="仿宋"/>
          <w:color w:val="000000" w:themeColor="text1"/>
          <w:sz w:val="32"/>
          <w:szCs w:val="32"/>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（1）我方承诺在成交通知书发出后，在规定期限内与采购人签订合同；</w:t>
      </w:r>
    </w:p>
    <w:p w14:paraId="40EF7386">
      <w:pPr>
        <w:spacing w:line="520" w:lineRule="exact"/>
        <w:ind w:firstLine="640"/>
        <w:rPr>
          <w:rFonts w:ascii="仿宋_GB2312" w:hAnsi="仿宋"/>
          <w:color w:val="000000" w:themeColor="text1"/>
          <w:sz w:val="32"/>
          <w:szCs w:val="32"/>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（2）我方承诺在合同约定的期限内，按期、保质、保量完成施工任务；</w:t>
      </w:r>
    </w:p>
    <w:p w14:paraId="28558A8F">
      <w:pPr>
        <w:spacing w:line="520" w:lineRule="exact"/>
        <w:ind w:firstLine="640"/>
        <w:rPr>
          <w:rFonts w:hint="eastAsia" w:ascii="仿宋_GB2312" w:hAnsi="仿宋"/>
          <w:color w:val="000000" w:themeColor="text1"/>
          <w:sz w:val="32"/>
          <w:szCs w:val="32"/>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（3）我方承诺将按照磋商文件的规定全额交纳代理服务费。</w:t>
      </w:r>
    </w:p>
    <w:p w14:paraId="03A5B393">
      <w:pPr>
        <w:spacing w:line="520" w:lineRule="exact"/>
        <w:ind w:firstLine="640"/>
        <w:rPr>
          <w:rFonts w:ascii="仿宋_GB2312" w:hAnsi="仿宋"/>
          <w:color w:val="000000" w:themeColor="text1"/>
          <w:sz w:val="32"/>
          <w:szCs w:val="32"/>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6.所有有关本报价的函电，请按下列地址联系：</w:t>
      </w:r>
    </w:p>
    <w:p w14:paraId="027F7D2F">
      <w:pPr>
        <w:spacing w:line="520" w:lineRule="exact"/>
        <w:ind w:firstLine="640"/>
        <w:rPr>
          <w:rFonts w:ascii="仿宋_GB2312" w:hAnsi="仿宋"/>
          <w:color w:val="000000" w:themeColor="text1"/>
          <w:sz w:val="32"/>
          <w:szCs w:val="32"/>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单    位：                     邮政编码：</w:t>
      </w:r>
    </w:p>
    <w:p w14:paraId="6CB112F4">
      <w:pPr>
        <w:spacing w:line="520" w:lineRule="exact"/>
        <w:ind w:firstLine="640"/>
        <w:rPr>
          <w:rFonts w:ascii="仿宋_GB2312" w:hAnsi="仿宋"/>
          <w:color w:val="000000" w:themeColor="text1"/>
          <w:sz w:val="32"/>
          <w:szCs w:val="32"/>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地    址：                     联 系 人：</w:t>
      </w:r>
    </w:p>
    <w:p w14:paraId="69D82798">
      <w:pPr>
        <w:spacing w:line="520" w:lineRule="exact"/>
        <w:ind w:firstLine="640"/>
        <w:rPr>
          <w:rFonts w:ascii="仿宋_GB2312" w:hAnsi="仿宋"/>
          <w:color w:val="000000" w:themeColor="text1"/>
          <w:sz w:val="32"/>
          <w:szCs w:val="32"/>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电    话：                     传    真：</w:t>
      </w:r>
    </w:p>
    <w:p w14:paraId="7803CADD">
      <w:pPr>
        <w:spacing w:line="520" w:lineRule="exact"/>
        <w:ind w:firstLine="640"/>
        <w:rPr>
          <w:rFonts w:ascii="仿宋_GB2312" w:hAnsi="仿宋"/>
          <w:color w:val="000000" w:themeColor="text1"/>
          <w:sz w:val="32"/>
          <w:szCs w:val="32"/>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开户名称：</w:t>
      </w:r>
    </w:p>
    <w:p w14:paraId="4EE7220D">
      <w:pPr>
        <w:spacing w:line="520" w:lineRule="exact"/>
        <w:ind w:firstLine="640"/>
        <w:rPr>
          <w:rFonts w:ascii="仿宋_GB2312" w:hAnsi="仿宋"/>
          <w:color w:val="000000" w:themeColor="text1"/>
          <w:sz w:val="32"/>
          <w:szCs w:val="32"/>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开户银行：</w:t>
      </w:r>
    </w:p>
    <w:p w14:paraId="77BB8E83">
      <w:pPr>
        <w:spacing w:line="520" w:lineRule="exact"/>
        <w:ind w:firstLine="640"/>
        <w:rPr>
          <w:rFonts w:ascii="仿宋_GB2312" w:hAnsi="仿宋"/>
          <w:color w:val="000000" w:themeColor="text1"/>
          <w:sz w:val="32"/>
          <w:szCs w:val="32"/>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开户账号：</w:t>
      </w:r>
    </w:p>
    <w:p w14:paraId="26394BF0">
      <w:pPr>
        <w:spacing w:line="520" w:lineRule="exact"/>
        <w:ind w:firstLine="640"/>
        <w:rPr>
          <w:rFonts w:ascii="仿宋_GB2312" w:hAnsi="仿宋"/>
          <w:color w:val="000000" w:themeColor="text1"/>
          <w:sz w:val="32"/>
          <w:szCs w:val="32"/>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 xml:space="preserve">供应商（盖章）： </w:t>
      </w:r>
    </w:p>
    <w:p w14:paraId="3E6E1EF9">
      <w:pPr>
        <w:spacing w:line="520" w:lineRule="exact"/>
        <w:ind w:firstLine="640"/>
        <w:rPr>
          <w:rFonts w:ascii="仿宋_GB2312" w:hAnsi="仿宋"/>
          <w:color w:val="000000" w:themeColor="text1"/>
          <w:sz w:val="32"/>
          <w:szCs w:val="32"/>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法定代表人或被授权人（签字或签章）：</w:t>
      </w:r>
    </w:p>
    <w:p w14:paraId="07D75C9C">
      <w:pPr>
        <w:spacing w:line="520" w:lineRule="exact"/>
        <w:ind w:firstLine="640"/>
        <w:rPr>
          <w:rFonts w:ascii="仿宋_GB2312" w:hAnsi="仿宋"/>
          <w:color w:val="000000" w:themeColor="text1"/>
          <w:sz w:val="32"/>
          <w:szCs w:val="32"/>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报价日期：××年××月××日</w:t>
      </w:r>
    </w:p>
    <w:p w14:paraId="57BA7446">
      <w:pPr>
        <w:widowControl/>
        <w:spacing w:line="520" w:lineRule="exact"/>
        <w:ind w:firstLine="600"/>
        <w:jc w:val="right"/>
        <w:rPr>
          <w:rFonts w:ascii="宋体" w:hAnsi="宋体"/>
          <w:b/>
          <w:color w:val="000000" w:themeColor="text1"/>
          <w:sz w:val="44"/>
          <w:szCs w:val="44"/>
          <w14:textFill>
            <w14:solidFill>
              <w14:schemeClr w14:val="tx1"/>
            </w14:solidFill>
          </w14:textFill>
        </w:rPr>
      </w:pPr>
      <w:r>
        <w:rPr>
          <w:rFonts w:ascii="仿宋_GB2312" w:hAnsi="仿宋"/>
          <w:color w:val="000000" w:themeColor="text1"/>
          <w:kern w:val="0"/>
          <w:sz w:val="30"/>
          <w:szCs w:val="30"/>
          <w14:textFill>
            <w14:solidFill>
              <w14:schemeClr w14:val="tx1"/>
            </w14:solidFill>
          </w14:textFill>
        </w:rPr>
        <w:br w:type="page"/>
      </w:r>
    </w:p>
    <w:p w14:paraId="36DB1A69">
      <w:pPr>
        <w:keepNext/>
        <w:keepLines/>
        <w:spacing w:before="120" w:after="120" w:line="560" w:lineRule="exact"/>
        <w:ind w:firstLine="198" w:firstLineChars="45"/>
        <w:jc w:val="center"/>
        <w:outlineLvl w:val="1"/>
        <w:rPr>
          <w:rFonts w:ascii="Arial" w:hAnsi="Arial" w:eastAsia="黑体"/>
          <w:bCs/>
          <w:color w:val="000000" w:themeColor="text1"/>
          <w:sz w:val="44"/>
          <w:szCs w:val="32"/>
          <w14:textFill>
            <w14:solidFill>
              <w14:schemeClr w14:val="tx1"/>
            </w14:solidFill>
          </w14:textFill>
        </w:rPr>
      </w:pPr>
      <w:r>
        <w:rPr>
          <w:rFonts w:hint="eastAsia" w:ascii="Arial" w:hAnsi="Arial" w:eastAsia="黑体"/>
          <w:bCs/>
          <w:color w:val="000000" w:themeColor="text1"/>
          <w:sz w:val="44"/>
          <w:szCs w:val="32"/>
          <w14:textFill>
            <w14:solidFill>
              <w14:schemeClr w14:val="tx1"/>
            </w14:solidFill>
          </w14:textFill>
        </w:rPr>
        <w:t>信用承诺书</w:t>
      </w:r>
    </w:p>
    <w:p w14:paraId="10564AB2">
      <w:pPr>
        <w:spacing w:line="520" w:lineRule="exact"/>
        <w:ind w:firstLine="560"/>
        <w:rPr>
          <w:rFonts w:ascii="仿宋_GB2312" w:hAnsi="仿宋"/>
          <w:color w:val="000000" w:themeColor="text1"/>
          <w:szCs w:val="28"/>
          <w14:textFill>
            <w14:solidFill>
              <w14:schemeClr w14:val="tx1"/>
            </w14:solidFill>
          </w14:textFill>
        </w:rPr>
      </w:pPr>
      <w:r>
        <w:rPr>
          <w:rFonts w:hint="eastAsia" w:ascii="仿宋_GB2312" w:hAnsi="仿宋"/>
          <w:color w:val="000000" w:themeColor="text1"/>
          <w:szCs w:val="28"/>
          <w14:textFill>
            <w14:solidFill>
              <w14:schemeClr w14:val="tx1"/>
            </w14:solidFill>
          </w14:textFill>
        </w:rPr>
        <w:t>本人以企业法定代表人的身份郑重承诺:</w:t>
      </w:r>
    </w:p>
    <w:p w14:paraId="5CC60378">
      <w:pPr>
        <w:spacing w:line="520" w:lineRule="exact"/>
        <w:ind w:firstLine="560"/>
        <w:rPr>
          <w:rFonts w:ascii="仿宋_GB2312" w:hAnsi="仿宋"/>
          <w:color w:val="000000" w:themeColor="text1"/>
          <w:szCs w:val="28"/>
          <w14:textFill>
            <w14:solidFill>
              <w14:schemeClr w14:val="tx1"/>
            </w14:solidFill>
          </w14:textFill>
        </w:rPr>
      </w:pPr>
      <w:r>
        <w:rPr>
          <w:rFonts w:hint="eastAsia" w:ascii="仿宋_GB2312" w:hAnsi="仿宋"/>
          <w:color w:val="000000" w:themeColor="text1"/>
          <w:szCs w:val="28"/>
          <w14:textFill>
            <w14:solidFill>
              <w14:schemeClr w14:val="tx1"/>
            </w14:solidFill>
          </w14:textFill>
        </w:rPr>
        <w:t>我公司遵循公开、公正和诚实信用的原则,自愿参加</w:t>
      </w:r>
      <w:r>
        <w:rPr>
          <w:rFonts w:hint="eastAsia" w:ascii="仿宋_GB2312" w:hAnsi="仿宋"/>
          <w:color w:val="000000" w:themeColor="text1"/>
          <w:szCs w:val="28"/>
          <w:lang w:eastAsia="zh-CN"/>
          <w14:textFill>
            <w14:solidFill>
              <w14:schemeClr w14:val="tx1"/>
            </w14:solidFill>
          </w14:textFill>
        </w:rPr>
        <w:t>乳山市2024年小型水库维修养护项目</w:t>
      </w:r>
      <w:r>
        <w:rPr>
          <w:rFonts w:hint="eastAsia" w:ascii="仿宋_GB2312" w:hAnsi="仿宋"/>
          <w:color w:val="000000" w:themeColor="text1"/>
          <w:szCs w:val="28"/>
          <w14:textFill>
            <w14:solidFill>
              <w14:schemeClr w14:val="tx1"/>
            </w14:solidFill>
          </w14:textFill>
        </w:rPr>
        <w:t>竞争性磋商项目的报价。</w:t>
      </w:r>
    </w:p>
    <w:p w14:paraId="170CB712">
      <w:pPr>
        <w:spacing w:line="520" w:lineRule="exact"/>
        <w:ind w:firstLine="560"/>
        <w:rPr>
          <w:rFonts w:ascii="仿宋_GB2312" w:hAnsi="仿宋"/>
          <w:color w:val="000000" w:themeColor="text1"/>
          <w:szCs w:val="28"/>
          <w14:textFill>
            <w14:solidFill>
              <w14:schemeClr w14:val="tx1"/>
            </w14:solidFill>
          </w14:textFill>
        </w:rPr>
      </w:pPr>
      <w:r>
        <w:rPr>
          <w:rFonts w:hint="eastAsia" w:ascii="仿宋_GB2312" w:hAnsi="仿宋"/>
          <w:color w:val="000000" w:themeColor="text1"/>
          <w:szCs w:val="28"/>
          <w14:textFill>
            <w14:solidFill>
              <w14:schemeClr w14:val="tx1"/>
            </w14:solidFill>
          </w14:textFill>
        </w:rPr>
        <w:t>一、在本项目磋商(或履行合同期间)过程中，严格依照国家有关法律、法规、重合同、守信用。</w:t>
      </w:r>
    </w:p>
    <w:p w14:paraId="1ED7267C">
      <w:pPr>
        <w:spacing w:line="520" w:lineRule="exact"/>
        <w:ind w:firstLine="560"/>
        <w:rPr>
          <w:rFonts w:ascii="仿宋_GB2312" w:hAnsi="仿宋"/>
          <w:color w:val="000000" w:themeColor="text1"/>
          <w:szCs w:val="28"/>
          <w14:textFill>
            <w14:solidFill>
              <w14:schemeClr w14:val="tx1"/>
            </w14:solidFill>
          </w14:textFill>
        </w:rPr>
      </w:pPr>
      <w:r>
        <w:rPr>
          <w:rFonts w:hint="eastAsia" w:ascii="仿宋_GB2312" w:hAnsi="仿宋"/>
          <w:color w:val="000000" w:themeColor="text1"/>
          <w:szCs w:val="28"/>
          <w14:textFill>
            <w14:solidFill>
              <w14:schemeClr w14:val="tx1"/>
            </w14:solidFill>
          </w14:textFill>
        </w:rPr>
        <w:t>二、保证响应文件内容无任何虚假、所提供的一切材料都是真实、有效、合法。</w:t>
      </w:r>
    </w:p>
    <w:p w14:paraId="18B389AB">
      <w:pPr>
        <w:spacing w:line="520" w:lineRule="exact"/>
        <w:ind w:firstLine="560"/>
        <w:rPr>
          <w:rFonts w:ascii="仿宋_GB2312" w:hAnsi="仿宋"/>
          <w:color w:val="000000" w:themeColor="text1"/>
          <w:szCs w:val="28"/>
          <w14:textFill>
            <w14:solidFill>
              <w14:schemeClr w14:val="tx1"/>
            </w14:solidFill>
          </w14:textFill>
        </w:rPr>
      </w:pPr>
      <w:r>
        <w:rPr>
          <w:rFonts w:hint="eastAsia" w:ascii="仿宋_GB2312" w:hAnsi="仿宋"/>
          <w:color w:val="000000" w:themeColor="text1"/>
          <w:szCs w:val="28"/>
          <w14:textFill>
            <w14:solidFill>
              <w14:schemeClr w14:val="tx1"/>
            </w14:solidFill>
          </w14:textFill>
        </w:rPr>
        <w:t>三、不出借、转让资质证书，不让他人挂靠资质报价;不以他人名义报价或者以其他方式弄虚作假，骗取成交。</w:t>
      </w:r>
    </w:p>
    <w:p w14:paraId="55422984">
      <w:pPr>
        <w:spacing w:line="520" w:lineRule="exact"/>
        <w:ind w:firstLine="560"/>
        <w:rPr>
          <w:rFonts w:ascii="仿宋_GB2312" w:hAnsi="仿宋"/>
          <w:color w:val="000000" w:themeColor="text1"/>
          <w:szCs w:val="28"/>
          <w14:textFill>
            <w14:solidFill>
              <w14:schemeClr w14:val="tx1"/>
            </w14:solidFill>
          </w14:textFill>
        </w:rPr>
      </w:pPr>
      <w:r>
        <w:rPr>
          <w:rFonts w:hint="eastAsia" w:ascii="仿宋_GB2312" w:hAnsi="仿宋"/>
          <w:color w:val="000000" w:themeColor="text1"/>
          <w:szCs w:val="28"/>
          <w14:textFill>
            <w14:solidFill>
              <w14:schemeClr w14:val="tx1"/>
            </w14:solidFill>
          </w14:textFill>
        </w:rPr>
        <w:t>四、选派符合要求、有丰富经验的在职的项目经理和其他技术管理人员组成相应的项目部，并保证以上人员的社保关系及证书均在本公司注册；严格按照磋商文件及合同等要求，保证拟派人员的到岗率。</w:t>
      </w:r>
    </w:p>
    <w:p w14:paraId="1C3406B7">
      <w:pPr>
        <w:spacing w:line="520" w:lineRule="exact"/>
        <w:ind w:firstLine="560"/>
        <w:rPr>
          <w:rFonts w:ascii="仿宋_GB2312" w:hAnsi="仿宋"/>
          <w:color w:val="000000" w:themeColor="text1"/>
          <w:szCs w:val="28"/>
          <w14:textFill>
            <w14:solidFill>
              <w14:schemeClr w14:val="tx1"/>
            </w14:solidFill>
          </w14:textFill>
        </w:rPr>
      </w:pPr>
      <w:r>
        <w:rPr>
          <w:rFonts w:hint="eastAsia" w:ascii="仿宋_GB2312" w:hAnsi="仿宋"/>
          <w:color w:val="000000" w:themeColor="text1"/>
          <w:szCs w:val="28"/>
          <w14:textFill>
            <w14:solidFill>
              <w14:schemeClr w14:val="tx1"/>
            </w14:solidFill>
          </w14:textFill>
        </w:rPr>
        <w:t>五、不与其他供应商相互串通报价，不排挤其他供应商的公平竞争，不损害采购人的合法权益。</w:t>
      </w:r>
    </w:p>
    <w:p w14:paraId="41954BB7">
      <w:pPr>
        <w:spacing w:line="520" w:lineRule="exact"/>
        <w:ind w:firstLine="560"/>
        <w:rPr>
          <w:rFonts w:ascii="仿宋_GB2312" w:hAnsi="仿宋"/>
          <w:color w:val="000000" w:themeColor="text1"/>
          <w:szCs w:val="28"/>
          <w14:textFill>
            <w14:solidFill>
              <w14:schemeClr w14:val="tx1"/>
            </w14:solidFill>
          </w14:textFill>
        </w:rPr>
      </w:pPr>
      <w:r>
        <w:rPr>
          <w:rFonts w:hint="eastAsia" w:ascii="仿宋_GB2312" w:hAnsi="仿宋"/>
          <w:color w:val="000000" w:themeColor="text1"/>
          <w:szCs w:val="28"/>
          <w14:textFill>
            <w14:solidFill>
              <w14:schemeClr w14:val="tx1"/>
            </w14:solidFill>
          </w14:textFill>
        </w:rPr>
        <w:t>六、不向采购人或者评审委员会成员行贿以牟取成交。</w:t>
      </w:r>
    </w:p>
    <w:p w14:paraId="49CB3244">
      <w:pPr>
        <w:spacing w:line="520" w:lineRule="exact"/>
        <w:ind w:firstLine="560"/>
        <w:rPr>
          <w:rFonts w:ascii="仿宋_GB2312" w:hAnsi="仿宋"/>
          <w:color w:val="000000" w:themeColor="text1"/>
          <w:szCs w:val="28"/>
          <w14:textFill>
            <w14:solidFill>
              <w14:schemeClr w14:val="tx1"/>
            </w14:solidFill>
          </w14:textFill>
        </w:rPr>
      </w:pPr>
      <w:r>
        <w:rPr>
          <w:rFonts w:hint="eastAsia" w:ascii="仿宋_GB2312" w:hAnsi="仿宋"/>
          <w:color w:val="000000" w:themeColor="text1"/>
          <w:szCs w:val="28"/>
          <w14:textFill>
            <w14:solidFill>
              <w14:schemeClr w14:val="tx1"/>
            </w14:solidFill>
          </w14:textFill>
        </w:rPr>
        <w:t>七、保证响应文件不存在低于成本的恶意报价行为。若我公司成交，保证按照合同约定的价格进行结算。</w:t>
      </w:r>
    </w:p>
    <w:p w14:paraId="3D4B0CE5">
      <w:pPr>
        <w:spacing w:line="520" w:lineRule="exact"/>
        <w:ind w:firstLine="560"/>
        <w:rPr>
          <w:rFonts w:ascii="仿宋_GB2312" w:hAnsi="仿宋"/>
          <w:color w:val="000000" w:themeColor="text1"/>
          <w:szCs w:val="28"/>
          <w14:textFill>
            <w14:solidFill>
              <w14:schemeClr w14:val="tx1"/>
            </w14:solidFill>
          </w14:textFill>
        </w:rPr>
      </w:pPr>
      <w:r>
        <w:rPr>
          <w:rFonts w:hint="eastAsia" w:ascii="仿宋_GB2312" w:hAnsi="仿宋"/>
          <w:color w:val="000000" w:themeColor="text1"/>
          <w:szCs w:val="28"/>
          <w14:textFill>
            <w14:solidFill>
              <w14:schemeClr w14:val="tx1"/>
            </w14:solidFill>
          </w14:textFill>
        </w:rPr>
        <w:t>八、成交后,保证按照采购文件及成交通知书的规定,签订合同;保证报价内包含所有采购范围内容，确保最终的交付内容满足采购人的使用要求,达到交钥匙标准。</w:t>
      </w:r>
    </w:p>
    <w:p w14:paraId="2128570D">
      <w:pPr>
        <w:spacing w:line="520" w:lineRule="exact"/>
        <w:ind w:firstLine="560"/>
        <w:rPr>
          <w:rFonts w:ascii="仿宋_GB2312" w:hAnsi="仿宋"/>
          <w:color w:val="000000" w:themeColor="text1"/>
          <w:szCs w:val="28"/>
          <w14:textFill>
            <w14:solidFill>
              <w14:schemeClr w14:val="tx1"/>
            </w14:solidFill>
          </w14:textFill>
        </w:rPr>
      </w:pPr>
      <w:r>
        <w:rPr>
          <w:rFonts w:hint="eastAsia" w:ascii="仿宋_GB2312" w:hAnsi="仿宋"/>
          <w:color w:val="000000" w:themeColor="text1"/>
          <w:szCs w:val="28"/>
          <w14:textFill>
            <w14:solidFill>
              <w14:schemeClr w14:val="tx1"/>
            </w14:solidFill>
          </w14:textFill>
        </w:rPr>
        <w:t>九、保证成交后不转包、不使用挂靠施工队伍，若有分包需征得采购人同意。</w:t>
      </w:r>
    </w:p>
    <w:p w14:paraId="701FF163">
      <w:pPr>
        <w:spacing w:line="520" w:lineRule="exact"/>
        <w:ind w:firstLine="560"/>
        <w:rPr>
          <w:rFonts w:ascii="仿宋_GB2312" w:hAnsi="仿宋"/>
          <w:color w:val="000000" w:themeColor="text1"/>
          <w:szCs w:val="28"/>
          <w14:textFill>
            <w14:solidFill>
              <w14:schemeClr w14:val="tx1"/>
            </w14:solidFill>
          </w14:textFill>
        </w:rPr>
      </w:pPr>
      <w:r>
        <w:rPr>
          <w:rFonts w:hint="eastAsia" w:ascii="仿宋_GB2312" w:hAnsi="仿宋"/>
          <w:color w:val="000000" w:themeColor="text1"/>
          <w:szCs w:val="28"/>
          <w14:textFill>
            <w14:solidFill>
              <w14:schemeClr w14:val="tx1"/>
            </w14:solidFill>
          </w14:textFill>
        </w:rPr>
        <w:t>十、保证成交之后加强施工现场管理，密切配合采购人开展工作，服从采购人及现场项目管理、监理人员的管理。</w:t>
      </w:r>
    </w:p>
    <w:p w14:paraId="633F53BD">
      <w:pPr>
        <w:spacing w:line="520" w:lineRule="exact"/>
        <w:ind w:firstLine="560"/>
        <w:rPr>
          <w:rFonts w:ascii="仿宋_GB2312" w:hAnsi="仿宋"/>
          <w:color w:val="000000" w:themeColor="text1"/>
          <w:szCs w:val="28"/>
          <w14:textFill>
            <w14:solidFill>
              <w14:schemeClr w14:val="tx1"/>
            </w14:solidFill>
          </w14:textFill>
        </w:rPr>
      </w:pPr>
      <w:r>
        <w:rPr>
          <w:rFonts w:hint="eastAsia" w:ascii="仿宋_GB2312" w:hAnsi="仿宋"/>
          <w:color w:val="000000" w:themeColor="text1"/>
          <w:szCs w:val="28"/>
          <w14:textFill>
            <w14:solidFill>
              <w14:schemeClr w14:val="tx1"/>
            </w14:solidFill>
          </w14:textFill>
        </w:rPr>
        <w:t>十一、如在磋商过程和公示期间发生质疑投诉行为，保证按照《山东省政府采购质疑与投诉实施办法》要求进行；保证不恶意质疑投诉，对本公司提供的质疑投诉线索的真实性负责，否则愿接受有关部门的处罚。</w:t>
      </w:r>
    </w:p>
    <w:p w14:paraId="430AC183">
      <w:pPr>
        <w:spacing w:line="520" w:lineRule="exact"/>
        <w:ind w:firstLine="560"/>
        <w:rPr>
          <w:rFonts w:ascii="仿宋_GB2312" w:hAnsi="仿宋"/>
          <w:color w:val="000000" w:themeColor="text1"/>
          <w:szCs w:val="28"/>
          <w14:textFill>
            <w14:solidFill>
              <w14:schemeClr w14:val="tx1"/>
            </w14:solidFill>
          </w14:textFill>
        </w:rPr>
      </w:pPr>
      <w:r>
        <w:rPr>
          <w:rFonts w:hint="eastAsia" w:ascii="仿宋_GB2312" w:hAnsi="仿宋"/>
          <w:color w:val="000000" w:themeColor="text1"/>
          <w:szCs w:val="28"/>
          <w14:textFill>
            <w14:solidFill>
              <w14:schemeClr w14:val="tx1"/>
            </w14:solidFill>
          </w14:textFill>
        </w:rPr>
        <w:t>以上内容我公司已仔细阅读，本公司若有违反承诺内容的行为，或在本项目磋商(或履行合同期间)出现其他违约、违法等过失行为，自愿接受采购文件、合同及法律规定的相关处罚。给采购人造成损失的，依法承担赔偿责任。</w:t>
      </w:r>
    </w:p>
    <w:p w14:paraId="6BD34B0A">
      <w:pPr>
        <w:spacing w:line="520" w:lineRule="exact"/>
        <w:ind w:firstLine="560"/>
        <w:rPr>
          <w:rFonts w:ascii="仿宋_GB2312" w:hAnsi="仿宋"/>
          <w:color w:val="000000" w:themeColor="text1"/>
          <w:szCs w:val="28"/>
          <w14:textFill>
            <w14:solidFill>
              <w14:schemeClr w14:val="tx1"/>
            </w14:solidFill>
          </w14:textFill>
        </w:rPr>
      </w:pPr>
      <w:r>
        <w:rPr>
          <w:rFonts w:hint="eastAsia" w:ascii="仿宋_GB2312" w:hAnsi="仿宋"/>
          <w:color w:val="000000" w:themeColor="text1"/>
          <w:szCs w:val="28"/>
          <w14:textFill>
            <w14:solidFill>
              <w14:schemeClr w14:val="tx1"/>
            </w14:solidFill>
          </w14:textFill>
        </w:rPr>
        <w:t>特此承诺。</w:t>
      </w:r>
    </w:p>
    <w:p w14:paraId="3D3D0D71">
      <w:pPr>
        <w:tabs>
          <w:tab w:val="left" w:pos="5580"/>
        </w:tabs>
        <w:wordWrap w:val="0"/>
        <w:spacing w:line="560" w:lineRule="exact"/>
        <w:ind w:firstLine="560"/>
        <w:jc w:val="right"/>
        <w:rPr>
          <w:rFonts w:ascii="仿宋_GB2312"/>
          <w:color w:val="000000" w:themeColor="text1"/>
          <w:kern w:val="0"/>
          <w:szCs w:val="28"/>
          <w14:textFill>
            <w14:solidFill>
              <w14:schemeClr w14:val="tx1"/>
            </w14:solidFill>
          </w14:textFill>
        </w:rPr>
      </w:pPr>
    </w:p>
    <w:p w14:paraId="2C280D19">
      <w:pPr>
        <w:tabs>
          <w:tab w:val="left" w:pos="5580"/>
        </w:tabs>
        <w:spacing w:line="560" w:lineRule="exact"/>
        <w:ind w:firstLine="560"/>
        <w:jc w:val="right"/>
        <w:rPr>
          <w:rFonts w:ascii="仿宋_GB2312"/>
          <w:color w:val="000000" w:themeColor="text1"/>
          <w:kern w:val="0"/>
          <w:szCs w:val="28"/>
          <w14:textFill>
            <w14:solidFill>
              <w14:schemeClr w14:val="tx1"/>
            </w14:solidFill>
          </w14:textFill>
        </w:rPr>
      </w:pPr>
    </w:p>
    <w:p w14:paraId="68322000">
      <w:pPr>
        <w:tabs>
          <w:tab w:val="left" w:pos="5580"/>
        </w:tabs>
        <w:spacing w:line="560" w:lineRule="exact"/>
        <w:ind w:right="1120" w:firstLine="5244" w:firstLineChars="1873"/>
        <w:jc w:val="center"/>
        <w:rPr>
          <w:rFonts w:ascii="仿宋_GB2312" w:hAnsi="宋体"/>
          <w:color w:val="000000" w:themeColor="text1"/>
          <w:kern w:val="0"/>
          <w:szCs w:val="28"/>
          <w14:textFill>
            <w14:solidFill>
              <w14:schemeClr w14:val="tx1"/>
            </w14:solidFill>
          </w14:textFill>
        </w:rPr>
      </w:pPr>
      <w:r>
        <w:rPr>
          <w:rFonts w:hint="eastAsia" w:ascii="仿宋_GB2312"/>
          <w:color w:val="000000" w:themeColor="text1"/>
          <w:kern w:val="0"/>
          <w:szCs w:val="28"/>
          <w14:textFill>
            <w14:solidFill>
              <w14:schemeClr w14:val="tx1"/>
            </w14:solidFill>
          </w14:textFill>
        </w:rPr>
        <w:t xml:space="preserve">供应商全称（公章）：          </w:t>
      </w:r>
    </w:p>
    <w:p w14:paraId="58528D52">
      <w:pPr>
        <w:tabs>
          <w:tab w:val="left" w:pos="5580"/>
        </w:tabs>
        <w:spacing w:line="560" w:lineRule="exact"/>
        <w:ind w:right="1120" w:firstLine="5244" w:firstLineChars="1873"/>
        <w:jc w:val="center"/>
        <w:rPr>
          <w:rFonts w:ascii="仿宋_GB2312"/>
          <w:color w:val="000000" w:themeColor="text1"/>
          <w:kern w:val="0"/>
          <w:szCs w:val="28"/>
          <w14:textFill>
            <w14:solidFill>
              <w14:schemeClr w14:val="tx1"/>
            </w14:solidFill>
          </w14:textFill>
        </w:rPr>
      </w:pPr>
      <w:r>
        <w:rPr>
          <w:rFonts w:hint="eastAsia" w:ascii="仿宋_GB2312"/>
          <w:color w:val="000000" w:themeColor="text1"/>
          <w:kern w:val="0"/>
          <w:szCs w:val="28"/>
          <w14:textFill>
            <w14:solidFill>
              <w14:schemeClr w14:val="tx1"/>
            </w14:solidFill>
          </w14:textFill>
        </w:rPr>
        <w:t xml:space="preserve">  法定代表人签章： </w:t>
      </w:r>
    </w:p>
    <w:p w14:paraId="5D282A09">
      <w:pPr>
        <w:keepNext/>
        <w:keepLines/>
        <w:spacing w:before="120" w:after="120" w:line="560" w:lineRule="exact"/>
        <w:ind w:firstLine="600"/>
        <w:jc w:val="center"/>
        <w:outlineLvl w:val="1"/>
        <w:rPr>
          <w:rFonts w:ascii="Arial" w:hAnsi="Arial" w:eastAsia="黑体"/>
          <w:bCs/>
          <w:color w:val="000000" w:themeColor="text1"/>
          <w:sz w:val="44"/>
          <w:szCs w:val="32"/>
          <w14:textFill>
            <w14:solidFill>
              <w14:schemeClr w14:val="tx1"/>
            </w14:solidFill>
          </w14:textFill>
        </w:rPr>
      </w:pPr>
      <w:r>
        <w:rPr>
          <w:rFonts w:ascii="仿宋_GB2312" w:hAnsi="仿宋"/>
          <w:bCs/>
          <w:color w:val="000000" w:themeColor="text1"/>
          <w:sz w:val="30"/>
          <w:szCs w:val="30"/>
          <w14:textFill>
            <w14:solidFill>
              <w14:schemeClr w14:val="tx1"/>
            </w14:solidFill>
          </w14:textFill>
        </w:rPr>
        <w:br w:type="page"/>
      </w:r>
      <w:r>
        <w:rPr>
          <w:rFonts w:hint="eastAsia" w:ascii="Arial" w:hAnsi="Arial" w:eastAsia="黑体"/>
          <w:bCs/>
          <w:color w:val="000000" w:themeColor="text1"/>
          <w:sz w:val="44"/>
          <w:szCs w:val="32"/>
          <w14:textFill>
            <w14:solidFill>
              <w14:schemeClr w14:val="tx1"/>
            </w14:solidFill>
          </w14:textFill>
        </w:rPr>
        <w:t>供应商资格证明文件</w:t>
      </w:r>
    </w:p>
    <w:p w14:paraId="1485476A">
      <w:pPr>
        <w:keepNext/>
        <w:keepLines/>
        <w:spacing w:before="120" w:after="120" w:line="560" w:lineRule="exact"/>
        <w:ind w:firstLine="640"/>
        <w:jc w:val="center"/>
        <w:outlineLvl w:val="2"/>
        <w:rPr>
          <w:rFonts w:eastAsia="黑体"/>
          <w:bCs/>
          <w:color w:val="000000" w:themeColor="text1"/>
          <w:sz w:val="32"/>
          <w:szCs w:val="32"/>
          <w14:textFill>
            <w14:solidFill>
              <w14:schemeClr w14:val="tx1"/>
            </w14:solidFill>
          </w14:textFill>
        </w:rPr>
      </w:pPr>
      <w:r>
        <w:rPr>
          <w:rFonts w:hint="eastAsia" w:eastAsia="黑体"/>
          <w:bCs/>
          <w:color w:val="000000" w:themeColor="text1"/>
          <w:sz w:val="32"/>
          <w:szCs w:val="32"/>
          <w14:textFill>
            <w14:solidFill>
              <w14:schemeClr w14:val="tx1"/>
            </w14:solidFill>
          </w14:textFill>
        </w:rPr>
        <w:t>有效的营业执照副本扫描件</w:t>
      </w:r>
    </w:p>
    <w:p w14:paraId="4F83EC53">
      <w:pPr>
        <w:keepNext/>
        <w:keepLines/>
        <w:spacing w:before="120" w:after="120" w:line="560" w:lineRule="exact"/>
        <w:ind w:firstLine="640"/>
        <w:jc w:val="center"/>
        <w:outlineLvl w:val="2"/>
        <w:rPr>
          <w:rFonts w:ascii="黑体" w:hAnsi="黑体" w:eastAsia="黑体"/>
          <w:color w:val="000000" w:themeColor="text1"/>
          <w:sz w:val="32"/>
          <w:szCs w:val="32"/>
          <w14:textFill>
            <w14:solidFill>
              <w14:schemeClr w14:val="tx1"/>
            </w14:solidFill>
          </w14:textFill>
        </w:rPr>
      </w:pPr>
      <w:r>
        <w:rPr>
          <w:rFonts w:eastAsia="黑体"/>
          <w:bCs/>
          <w:color w:val="000000" w:themeColor="text1"/>
          <w:sz w:val="32"/>
          <w:szCs w:val="32"/>
          <w14:textFill>
            <w14:solidFill>
              <w14:schemeClr w14:val="tx1"/>
            </w14:solidFill>
          </w14:textFill>
        </w:rPr>
        <w:br w:type="page"/>
      </w:r>
      <w:r>
        <w:rPr>
          <w:rFonts w:ascii="黑体" w:hAnsi="黑体" w:eastAsia="黑体"/>
          <w:color w:val="000000" w:themeColor="text1"/>
          <w:sz w:val="32"/>
          <w:szCs w:val="32"/>
          <w14:textFill>
            <w14:solidFill>
              <w14:schemeClr w14:val="tx1"/>
            </w14:solidFill>
          </w14:textFill>
        </w:rPr>
        <w:t>资质证书扫描件</w:t>
      </w:r>
    </w:p>
    <w:p w14:paraId="26FB649A">
      <w:pPr>
        <w:widowControl/>
        <w:spacing w:line="240" w:lineRule="auto"/>
        <w:ind w:firstLine="0" w:firstLineChars="0"/>
        <w:jc w:val="left"/>
        <w:rPr>
          <w:rFonts w:ascii="黑体" w:hAnsi="黑体" w:eastAsia="黑体"/>
          <w:color w:val="000000" w:themeColor="text1"/>
          <w:sz w:val="32"/>
          <w:szCs w:val="32"/>
          <w14:textFill>
            <w14:solidFill>
              <w14:schemeClr w14:val="tx1"/>
            </w14:solidFill>
          </w14:textFill>
        </w:rPr>
      </w:pPr>
      <w:r>
        <w:rPr>
          <w:rFonts w:ascii="黑体" w:hAnsi="黑体" w:eastAsia="黑体"/>
          <w:color w:val="000000" w:themeColor="text1"/>
          <w:sz w:val="32"/>
          <w:szCs w:val="32"/>
          <w14:textFill>
            <w14:solidFill>
              <w14:schemeClr w14:val="tx1"/>
            </w14:solidFill>
          </w14:textFill>
        </w:rPr>
        <w:br w:type="page"/>
      </w:r>
    </w:p>
    <w:p w14:paraId="54343B5C">
      <w:pPr>
        <w:keepNext/>
        <w:keepLines/>
        <w:spacing w:before="120" w:after="120" w:line="560" w:lineRule="exact"/>
        <w:ind w:firstLine="640"/>
        <w:jc w:val="center"/>
        <w:outlineLvl w:val="2"/>
        <w:rPr>
          <w:rFonts w:ascii="黑体" w:hAnsi="黑体" w:eastAsia="黑体"/>
          <w:bCs/>
          <w:color w:val="000000" w:themeColor="text1"/>
          <w:sz w:val="36"/>
          <w:szCs w:val="32"/>
          <w14:textFill>
            <w14:solidFill>
              <w14:schemeClr w14:val="tx1"/>
            </w14:solidFill>
          </w14:textFill>
        </w:rPr>
      </w:pPr>
      <w:r>
        <w:rPr>
          <w:rFonts w:ascii="黑体" w:hAnsi="黑体" w:eastAsia="黑体"/>
          <w:color w:val="000000" w:themeColor="text1"/>
          <w:sz w:val="32"/>
          <w:szCs w:val="28"/>
          <w14:textFill>
            <w14:solidFill>
              <w14:schemeClr w14:val="tx1"/>
            </w14:solidFill>
          </w14:textFill>
        </w:rPr>
        <w:t>安全生产许可证扫描件</w:t>
      </w:r>
    </w:p>
    <w:p w14:paraId="40273326">
      <w:pPr>
        <w:ind w:firstLine="560"/>
        <w:rPr>
          <w:color w:val="000000" w:themeColor="text1"/>
          <w14:textFill>
            <w14:solidFill>
              <w14:schemeClr w14:val="tx1"/>
            </w14:solidFill>
          </w14:textFill>
        </w:rPr>
      </w:pPr>
      <w:r>
        <w:rPr>
          <w:color w:val="000000" w:themeColor="text1"/>
          <w14:textFill>
            <w14:solidFill>
              <w14:schemeClr w14:val="tx1"/>
            </w14:solidFill>
          </w14:textFill>
        </w:rPr>
        <w:br w:type="page"/>
      </w:r>
    </w:p>
    <w:p w14:paraId="001F411D">
      <w:pPr>
        <w:keepNext/>
        <w:keepLines/>
        <w:spacing w:line="560" w:lineRule="exact"/>
        <w:ind w:firstLine="640"/>
        <w:jc w:val="center"/>
        <w:outlineLvl w:val="2"/>
        <w:rPr>
          <w:rFonts w:eastAsia="黑体"/>
          <w:bCs/>
          <w:color w:val="000000" w:themeColor="text1"/>
          <w:sz w:val="32"/>
          <w:szCs w:val="32"/>
          <w14:textFill>
            <w14:solidFill>
              <w14:schemeClr w14:val="tx1"/>
            </w14:solidFill>
          </w14:textFill>
        </w:rPr>
      </w:pPr>
      <w:r>
        <w:rPr>
          <w:rFonts w:hint="eastAsia" w:eastAsia="黑体"/>
          <w:bCs/>
          <w:color w:val="000000" w:themeColor="text1"/>
          <w:sz w:val="32"/>
          <w:szCs w:val="32"/>
          <w14:textFill>
            <w14:solidFill>
              <w14:schemeClr w14:val="tx1"/>
            </w14:solidFill>
          </w14:textFill>
        </w:rPr>
        <w:t>法定代表人身份证明书</w:t>
      </w:r>
    </w:p>
    <w:p w14:paraId="5B50533F">
      <w:pPr>
        <w:ind w:right="840" w:firstLine="560"/>
        <w:jc w:val="center"/>
        <w:rPr>
          <w:rFonts w:hAnsi="宋体"/>
          <w:color w:val="000000" w:themeColor="text1"/>
          <w14:textFill>
            <w14:solidFill>
              <w14:schemeClr w14:val="tx1"/>
            </w14:solidFill>
          </w14:textFill>
        </w:rPr>
      </w:pPr>
    </w:p>
    <w:p w14:paraId="5901EB87">
      <w:pPr>
        <w:spacing w:line="560" w:lineRule="exact"/>
        <w:ind w:firstLine="640"/>
        <w:rPr>
          <w:rFonts w:ascii="仿宋_GB2312" w:hAnsi="仿宋"/>
          <w:color w:val="000000" w:themeColor="text1"/>
          <w:sz w:val="30"/>
          <w:szCs w:val="30"/>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致</w:t>
      </w:r>
      <w:r>
        <w:rPr>
          <w:rFonts w:hint="eastAsia" w:ascii="仿宋_GB2312" w:hAnsi="仿宋"/>
          <w:color w:val="000000" w:themeColor="text1"/>
          <w:sz w:val="30"/>
          <w:szCs w:val="30"/>
          <w14:textFill>
            <w14:solidFill>
              <w14:schemeClr w14:val="tx1"/>
            </w14:solidFill>
          </w14:textFill>
        </w:rPr>
        <w:t>：</w:t>
      </w:r>
    </w:p>
    <w:p w14:paraId="0745367E">
      <w:pPr>
        <w:tabs>
          <w:tab w:val="left" w:pos="5580"/>
        </w:tabs>
        <w:spacing w:line="600" w:lineRule="exact"/>
        <w:ind w:left="-81" w:leftChars="-29" w:firstLine="640"/>
        <w:rPr>
          <w:rFonts w:ascii="仿宋_GB2312" w:hAnsi="仿宋"/>
          <w:color w:val="000000" w:themeColor="text1"/>
          <w:sz w:val="32"/>
          <w:szCs w:val="32"/>
          <w14:textFill>
            <w14:solidFill>
              <w14:schemeClr w14:val="tx1"/>
            </w14:solidFill>
          </w14:textFill>
        </w:rPr>
      </w:pPr>
    </w:p>
    <w:p w14:paraId="22B6E8B5">
      <w:pPr>
        <w:tabs>
          <w:tab w:val="left" w:pos="5580"/>
        </w:tabs>
        <w:spacing w:line="600" w:lineRule="exact"/>
        <w:ind w:left="-151" w:leftChars="-54" w:firstLine="640"/>
        <w:rPr>
          <w:rFonts w:ascii="仿宋_GB2312" w:hAnsi="仿宋"/>
          <w:color w:val="000000" w:themeColor="text1"/>
          <w:sz w:val="32"/>
          <w:szCs w:val="32"/>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（姓名、性别、年龄、身份证号码）在我单位任 （董事长、总经理等）职务，是我单位的法定代表人/负责人。</w:t>
      </w:r>
    </w:p>
    <w:p w14:paraId="2D3B0738">
      <w:pPr>
        <w:tabs>
          <w:tab w:val="left" w:pos="5580"/>
        </w:tabs>
        <w:spacing w:line="600" w:lineRule="exact"/>
        <w:ind w:firstLine="640"/>
        <w:rPr>
          <w:rFonts w:ascii="仿宋_GB2312" w:hAnsi="仿宋"/>
          <w:color w:val="000000" w:themeColor="text1"/>
          <w:sz w:val="32"/>
          <w:szCs w:val="32"/>
          <w14:textFill>
            <w14:solidFill>
              <w14:schemeClr w14:val="tx1"/>
            </w14:solidFill>
          </w14:textFill>
        </w:rPr>
      </w:pPr>
    </w:p>
    <w:p w14:paraId="6223811A">
      <w:pPr>
        <w:tabs>
          <w:tab w:val="left" w:pos="5580"/>
        </w:tabs>
        <w:spacing w:line="600" w:lineRule="exact"/>
        <w:ind w:left="720" w:leftChars="257" w:firstLine="640"/>
        <w:rPr>
          <w:rFonts w:ascii="仿宋_GB2312" w:hAnsi="仿宋"/>
          <w:color w:val="000000" w:themeColor="text1"/>
          <w:sz w:val="32"/>
          <w:szCs w:val="32"/>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特此证明。</w:t>
      </w:r>
    </w:p>
    <w:p w14:paraId="7CDF814A">
      <w:pPr>
        <w:spacing w:line="600" w:lineRule="exact"/>
        <w:ind w:firstLine="640"/>
        <w:rPr>
          <w:rFonts w:ascii="仿宋_GB2312" w:hAnsi="仿宋"/>
          <w:color w:val="000000" w:themeColor="text1"/>
          <w:sz w:val="32"/>
          <w:szCs w:val="32"/>
          <w14:textFill>
            <w14:solidFill>
              <w14:schemeClr w14:val="tx1"/>
            </w14:solidFill>
          </w14:textFill>
        </w:rPr>
      </w:pPr>
    </w:p>
    <w:p w14:paraId="79C0A27E">
      <w:pPr>
        <w:tabs>
          <w:tab w:val="left" w:pos="5580"/>
        </w:tabs>
        <w:spacing w:line="600" w:lineRule="exact"/>
        <w:ind w:left="-720" w:leftChars="-257" w:right="960" w:firstLine="1200" w:firstLineChars="375"/>
        <w:jc w:val="right"/>
        <w:rPr>
          <w:rFonts w:ascii="仿宋_GB2312" w:hAnsi="仿宋"/>
          <w:color w:val="000000" w:themeColor="text1"/>
          <w:sz w:val="32"/>
          <w:szCs w:val="32"/>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供应商名称（公</w:t>
      </w:r>
      <w:r>
        <w:rPr>
          <w:rFonts w:ascii="仿宋_GB2312" w:hAnsi="仿宋"/>
          <w:color w:val="000000" w:themeColor="text1"/>
          <w:sz w:val="32"/>
          <w:szCs w:val="32"/>
          <w14:textFill>
            <w14:solidFill>
              <w14:schemeClr w14:val="tx1"/>
            </w14:solidFill>
          </w14:textFill>
        </w:rPr>
        <w:t>章）：</w:t>
      </w:r>
    </w:p>
    <w:p w14:paraId="64F71611">
      <w:pPr>
        <w:tabs>
          <w:tab w:val="left" w:pos="5580"/>
        </w:tabs>
        <w:spacing w:line="600" w:lineRule="exact"/>
        <w:ind w:firstLine="640"/>
        <w:rPr>
          <w:rFonts w:ascii="仿宋_GB2312" w:hAnsi="仿宋"/>
          <w:color w:val="000000" w:themeColor="text1"/>
          <w:sz w:val="32"/>
          <w:szCs w:val="32"/>
          <w14:textFill>
            <w14:solidFill>
              <w14:schemeClr w14:val="tx1"/>
            </w14:solidFill>
          </w14:textFill>
        </w:rPr>
      </w:pPr>
    </w:p>
    <w:p w14:paraId="75F91727">
      <w:pPr>
        <w:tabs>
          <w:tab w:val="left" w:pos="5580"/>
        </w:tabs>
        <w:spacing w:line="600" w:lineRule="exact"/>
        <w:ind w:firstLine="640"/>
        <w:rPr>
          <w:rFonts w:ascii="仿宋_GB2312" w:hAnsi="仿宋"/>
          <w:color w:val="000000" w:themeColor="text1"/>
          <w:sz w:val="32"/>
          <w:szCs w:val="32"/>
          <w14:textFill>
            <w14:solidFill>
              <w14:schemeClr w14:val="tx1"/>
            </w14:solidFill>
          </w14:textFill>
        </w:rPr>
      </w:pPr>
    </w:p>
    <w:p w14:paraId="7B142108">
      <w:pPr>
        <w:tabs>
          <w:tab w:val="left" w:pos="5580"/>
        </w:tabs>
        <w:spacing w:line="600" w:lineRule="exact"/>
        <w:ind w:firstLine="640"/>
        <w:rPr>
          <w:rFonts w:ascii="仿宋_GB2312" w:hAnsi="仿宋"/>
          <w:color w:val="000000" w:themeColor="text1"/>
          <w:sz w:val="32"/>
          <w:szCs w:val="32"/>
          <w14:textFill>
            <w14:solidFill>
              <w14:schemeClr w14:val="tx1"/>
            </w14:solidFill>
          </w14:textFill>
        </w:rPr>
      </w:pPr>
    </w:p>
    <w:p w14:paraId="1F55BA62">
      <w:pPr>
        <w:ind w:firstLine="560"/>
        <w:rPr>
          <w:color w:val="000000" w:themeColor="text1"/>
          <w14:textFill>
            <w14:solidFill>
              <w14:schemeClr w14:val="tx1"/>
            </w14:solidFill>
          </w14:textFill>
        </w:rPr>
      </w:pPr>
      <w:r>
        <w:rPr>
          <w:color w:val="000000" w:themeColor="text1"/>
          <w14:textFill>
            <w14:solidFill>
              <w14:schemeClr w14:val="tx1"/>
            </w14:solidFill>
          </w14:textFill>
        </w:rPr>
        <w:br w:type="page"/>
      </w:r>
    </w:p>
    <w:p w14:paraId="73C24955">
      <w:pPr>
        <w:keepNext/>
        <w:keepLines/>
        <w:spacing w:before="120" w:after="120" w:line="560" w:lineRule="exact"/>
        <w:ind w:firstLine="640"/>
        <w:jc w:val="center"/>
        <w:outlineLvl w:val="2"/>
        <w:rPr>
          <w:rFonts w:eastAsia="黑体"/>
          <w:bCs/>
          <w:color w:val="000000" w:themeColor="text1"/>
          <w:sz w:val="32"/>
          <w:szCs w:val="32"/>
          <w14:textFill>
            <w14:solidFill>
              <w14:schemeClr w14:val="tx1"/>
            </w14:solidFill>
          </w14:textFill>
        </w:rPr>
      </w:pPr>
      <w:r>
        <w:rPr>
          <w:rFonts w:hint="eastAsia" w:eastAsia="黑体"/>
          <w:bCs/>
          <w:color w:val="000000" w:themeColor="text1"/>
          <w:sz w:val="32"/>
          <w:szCs w:val="32"/>
          <w14:textFill>
            <w14:solidFill>
              <w14:schemeClr w14:val="tx1"/>
            </w14:solidFill>
          </w14:textFill>
        </w:rPr>
        <w:t>法人授权委托书</w:t>
      </w:r>
    </w:p>
    <w:p w14:paraId="67F7F7D8">
      <w:pPr>
        <w:ind w:left="4536" w:leftChars="1620" w:firstLine="560"/>
        <w:rPr>
          <w:color w:val="000000" w:themeColor="text1"/>
          <w14:textFill>
            <w14:solidFill>
              <w14:schemeClr w14:val="tx1"/>
            </w14:solidFill>
          </w14:textFill>
        </w:rPr>
      </w:pPr>
    </w:p>
    <w:p w14:paraId="48779229">
      <w:pPr>
        <w:spacing w:line="520" w:lineRule="exact"/>
        <w:ind w:firstLine="640"/>
        <w:rPr>
          <w:color w:val="000000" w:themeColor="text1"/>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本授权书声明：注册于</w:t>
      </w:r>
      <w:r>
        <w:rPr>
          <w:rFonts w:hint="eastAsia" w:ascii="仿宋_GB2312" w:hAnsi="仿宋"/>
          <w:color w:val="000000" w:themeColor="text1"/>
          <w:sz w:val="32"/>
          <w:szCs w:val="32"/>
          <w:u w:val="single"/>
          <w14:textFill>
            <w14:solidFill>
              <w14:schemeClr w14:val="tx1"/>
            </w14:solidFill>
          </w14:textFill>
        </w:rPr>
        <w:t xml:space="preserve">   （国家或地区的名称）  </w:t>
      </w:r>
      <w:r>
        <w:rPr>
          <w:rFonts w:hint="eastAsia" w:ascii="仿宋_GB2312" w:hAnsi="仿宋"/>
          <w:color w:val="000000" w:themeColor="text1"/>
          <w:sz w:val="32"/>
          <w:szCs w:val="32"/>
          <w14:textFill>
            <w14:solidFill>
              <w14:schemeClr w14:val="tx1"/>
            </w14:solidFill>
          </w14:textFill>
        </w:rPr>
        <w:t>的</w:t>
      </w:r>
      <w:r>
        <w:rPr>
          <w:rFonts w:hint="eastAsia" w:ascii="仿宋_GB2312" w:hAnsi="仿宋"/>
          <w:color w:val="000000" w:themeColor="text1"/>
          <w:sz w:val="32"/>
          <w:szCs w:val="32"/>
          <w:u w:val="single"/>
          <w14:textFill>
            <w14:solidFill>
              <w14:schemeClr w14:val="tx1"/>
            </w14:solidFill>
          </w14:textFill>
        </w:rPr>
        <w:t xml:space="preserve">  （公司名称）  </w:t>
      </w:r>
      <w:r>
        <w:rPr>
          <w:rFonts w:hint="eastAsia" w:ascii="仿宋_GB2312" w:hAnsi="仿宋"/>
          <w:color w:val="000000" w:themeColor="text1"/>
          <w:sz w:val="32"/>
          <w:szCs w:val="32"/>
          <w14:textFill>
            <w14:solidFill>
              <w14:schemeClr w14:val="tx1"/>
            </w14:solidFill>
          </w14:textFill>
        </w:rPr>
        <w:t>的</w:t>
      </w:r>
      <w:r>
        <w:rPr>
          <w:rFonts w:hint="eastAsia" w:ascii="仿宋_GB2312" w:hAnsi="仿宋"/>
          <w:color w:val="000000" w:themeColor="text1"/>
          <w:sz w:val="32"/>
          <w:szCs w:val="32"/>
          <w:u w:val="single"/>
          <w14:textFill>
            <w14:solidFill>
              <w14:schemeClr w14:val="tx1"/>
            </w14:solidFill>
          </w14:textFill>
        </w:rPr>
        <w:t xml:space="preserve"> （法人代表姓名、职务）  </w:t>
      </w:r>
      <w:r>
        <w:rPr>
          <w:rFonts w:hint="eastAsia" w:ascii="仿宋_GB2312" w:hAnsi="仿宋"/>
          <w:color w:val="000000" w:themeColor="text1"/>
          <w:sz w:val="32"/>
          <w:szCs w:val="32"/>
          <w14:textFill>
            <w14:solidFill>
              <w14:schemeClr w14:val="tx1"/>
            </w14:solidFill>
          </w14:textFill>
        </w:rPr>
        <w:t>，代表本公司授权</w:t>
      </w:r>
      <w:r>
        <w:rPr>
          <w:rFonts w:hint="eastAsia" w:ascii="仿宋_GB2312" w:hAnsi="仿宋"/>
          <w:color w:val="000000" w:themeColor="text1"/>
          <w:sz w:val="32"/>
          <w:szCs w:val="32"/>
          <w:u w:val="single"/>
          <w14:textFill>
            <w14:solidFill>
              <w14:schemeClr w14:val="tx1"/>
            </w14:solidFill>
          </w14:textFill>
        </w:rPr>
        <w:t xml:space="preserve">  （被授权单位名称）  </w:t>
      </w:r>
      <w:r>
        <w:rPr>
          <w:rFonts w:hint="eastAsia" w:ascii="仿宋_GB2312" w:hAnsi="仿宋"/>
          <w:color w:val="000000" w:themeColor="text1"/>
          <w:sz w:val="32"/>
          <w:szCs w:val="32"/>
          <w14:textFill>
            <w14:solidFill>
              <w14:schemeClr w14:val="tx1"/>
            </w14:solidFill>
          </w14:textFill>
        </w:rPr>
        <w:t>的</w:t>
      </w:r>
      <w:r>
        <w:rPr>
          <w:rFonts w:hint="eastAsia" w:ascii="仿宋_GB2312" w:hAnsi="仿宋"/>
          <w:color w:val="000000" w:themeColor="text1"/>
          <w:sz w:val="32"/>
          <w:szCs w:val="32"/>
          <w:u w:val="single"/>
          <w14:textFill>
            <w14:solidFill>
              <w14:schemeClr w14:val="tx1"/>
            </w14:solidFill>
          </w14:textFill>
        </w:rPr>
        <w:t xml:space="preserve">        （被授权人的姓名、职务）</w:t>
      </w:r>
      <w:r>
        <w:rPr>
          <w:rFonts w:hint="eastAsia" w:ascii="仿宋_GB2312" w:hAnsi="仿宋"/>
          <w:color w:val="000000" w:themeColor="text1"/>
          <w:sz w:val="32"/>
          <w:szCs w:val="32"/>
          <w14:textFill>
            <w14:solidFill>
              <w14:schemeClr w14:val="tx1"/>
            </w14:solidFill>
          </w14:textFill>
        </w:rPr>
        <w:t>为本公司的合法代理人，参加编号为</w:t>
      </w:r>
      <w:r>
        <w:rPr>
          <w:rFonts w:hint="eastAsia" w:ascii="仿宋_GB2312" w:hAnsi="仿宋"/>
          <w:color w:val="000000" w:themeColor="text1"/>
          <w:sz w:val="32"/>
          <w:szCs w:val="32"/>
          <w:lang w:eastAsia="zh-CN"/>
          <w14:textFill>
            <w14:solidFill>
              <w14:schemeClr w14:val="tx1"/>
            </w14:solidFill>
          </w14:textFill>
        </w:rPr>
        <w:t>SDGP371083000202402000122</w:t>
      </w:r>
      <w:r>
        <w:rPr>
          <w:rFonts w:hint="eastAsia" w:ascii="仿宋_GB2312" w:hAnsi="仿宋"/>
          <w:color w:val="000000" w:themeColor="text1"/>
          <w:sz w:val="32"/>
          <w:szCs w:val="32"/>
          <w14:textFill>
            <w14:solidFill>
              <w14:schemeClr w14:val="tx1"/>
            </w14:solidFill>
          </w14:textFill>
        </w:rPr>
        <w:t>号的竞争性磋商采购活动，以本公司名义处理一切与之有关的事宜。</w:t>
      </w:r>
    </w:p>
    <w:p w14:paraId="464DF87A">
      <w:pPr>
        <w:spacing w:line="520" w:lineRule="exact"/>
        <w:ind w:firstLine="640"/>
        <w:rPr>
          <w:rFonts w:ascii="仿宋_GB2312" w:hAnsi="仿宋"/>
          <w:color w:val="000000" w:themeColor="text1"/>
          <w:kern w:val="0"/>
          <w:sz w:val="32"/>
          <w:szCs w:val="32"/>
          <w14:textFill>
            <w14:solidFill>
              <w14:schemeClr w14:val="tx1"/>
            </w14:solidFill>
          </w14:textFill>
        </w:rPr>
      </w:pPr>
      <w:r>
        <w:rPr>
          <w:rFonts w:hint="eastAsia" w:ascii="仿宋_GB2312" w:hAnsi="仿宋"/>
          <w:color w:val="000000" w:themeColor="text1"/>
          <w:kern w:val="0"/>
          <w:sz w:val="32"/>
          <w:szCs w:val="32"/>
          <w14:textFill>
            <w14:solidFill>
              <w14:schemeClr w14:val="tx1"/>
            </w14:solidFill>
          </w14:textFill>
        </w:rPr>
        <w:t>如果本公司在此次采购活动中成交，被授权人有权代表本公司签署政府采购合同。</w:t>
      </w:r>
    </w:p>
    <w:p w14:paraId="40051A09">
      <w:pPr>
        <w:spacing w:line="520" w:lineRule="exact"/>
        <w:ind w:firstLine="640"/>
        <w:rPr>
          <w:rFonts w:ascii="仿宋_GB2312" w:hAnsi="仿宋"/>
          <w:color w:val="000000" w:themeColor="text1"/>
          <w:kern w:val="0"/>
          <w:sz w:val="32"/>
          <w:szCs w:val="32"/>
          <w14:textFill>
            <w14:solidFill>
              <w14:schemeClr w14:val="tx1"/>
            </w14:solidFill>
          </w14:textFill>
        </w:rPr>
      </w:pPr>
      <w:r>
        <w:rPr>
          <w:rFonts w:hint="eastAsia" w:ascii="仿宋_GB2312" w:hAnsi="仿宋"/>
          <w:color w:val="000000" w:themeColor="text1"/>
          <w:kern w:val="0"/>
          <w:sz w:val="32"/>
          <w:szCs w:val="32"/>
          <w14:textFill>
            <w14:solidFill>
              <w14:schemeClr w14:val="tx1"/>
            </w14:solidFill>
          </w14:textFill>
        </w:rPr>
        <w:t>本授权书于</w:t>
      </w:r>
      <w:r>
        <w:rPr>
          <w:rFonts w:hint="eastAsia" w:ascii="仿宋_GB2312" w:hAnsi="仿宋"/>
          <w:color w:val="000000" w:themeColor="text1"/>
          <w:kern w:val="0"/>
          <w:sz w:val="32"/>
          <w:szCs w:val="32"/>
          <w:u w:val="single"/>
          <w:lang w:val="en-US" w:eastAsia="zh-CN"/>
          <w14:textFill>
            <w14:solidFill>
              <w14:schemeClr w14:val="tx1"/>
            </w14:solidFill>
          </w14:textFill>
        </w:rPr>
        <w:t xml:space="preserve">    </w:t>
      </w:r>
      <w:r>
        <w:rPr>
          <w:rFonts w:hint="eastAsia" w:ascii="仿宋_GB2312" w:hAnsi="仿宋"/>
          <w:color w:val="000000" w:themeColor="text1"/>
          <w:kern w:val="0"/>
          <w:sz w:val="32"/>
          <w:szCs w:val="32"/>
          <w14:textFill>
            <w14:solidFill>
              <w14:schemeClr w14:val="tx1"/>
            </w14:solidFill>
          </w14:textFill>
        </w:rPr>
        <w:t>年</w:t>
      </w:r>
      <w:r>
        <w:rPr>
          <w:rFonts w:hint="eastAsia" w:ascii="仿宋_GB2312" w:hAnsi="仿宋"/>
          <w:color w:val="000000" w:themeColor="text1"/>
          <w:kern w:val="0"/>
          <w:sz w:val="32"/>
          <w:szCs w:val="32"/>
          <w:u w:val="single"/>
          <w:lang w:val="en-US" w:eastAsia="zh-CN"/>
          <w14:textFill>
            <w14:solidFill>
              <w14:schemeClr w14:val="tx1"/>
            </w14:solidFill>
          </w14:textFill>
        </w:rPr>
        <w:t xml:space="preserve">   </w:t>
      </w:r>
      <w:r>
        <w:rPr>
          <w:rFonts w:hint="eastAsia" w:ascii="仿宋_GB2312" w:hAnsi="仿宋"/>
          <w:color w:val="000000" w:themeColor="text1"/>
          <w:kern w:val="0"/>
          <w:sz w:val="32"/>
          <w:szCs w:val="32"/>
          <w14:textFill>
            <w14:solidFill>
              <w14:schemeClr w14:val="tx1"/>
            </w14:solidFill>
          </w14:textFill>
        </w:rPr>
        <w:t>月</w:t>
      </w:r>
      <w:r>
        <w:rPr>
          <w:rFonts w:hint="eastAsia" w:ascii="仿宋_GB2312" w:hAnsi="仿宋"/>
          <w:color w:val="000000" w:themeColor="text1"/>
          <w:kern w:val="0"/>
          <w:sz w:val="32"/>
          <w:szCs w:val="32"/>
          <w:u w:val="single"/>
          <w:lang w:val="en-US" w:eastAsia="zh-CN"/>
          <w14:textFill>
            <w14:solidFill>
              <w14:schemeClr w14:val="tx1"/>
            </w14:solidFill>
          </w14:textFill>
        </w:rPr>
        <w:t xml:space="preserve">   </w:t>
      </w:r>
      <w:r>
        <w:rPr>
          <w:rFonts w:hint="eastAsia" w:ascii="仿宋_GB2312" w:hAnsi="仿宋"/>
          <w:color w:val="000000" w:themeColor="text1"/>
          <w:kern w:val="0"/>
          <w:sz w:val="32"/>
          <w:szCs w:val="32"/>
          <w14:textFill>
            <w14:solidFill>
              <w14:schemeClr w14:val="tx1"/>
            </w14:solidFill>
          </w14:textFill>
        </w:rPr>
        <w:t>日法定代表人签字或盖章并由被授权人签字、单位盖章生效，特此声明。</w:t>
      </w:r>
    </w:p>
    <w:p w14:paraId="0CAB6B76">
      <w:pPr>
        <w:spacing w:line="520" w:lineRule="exact"/>
        <w:ind w:firstLine="640"/>
        <w:rPr>
          <w:rFonts w:ascii="仿宋_GB2312" w:hAnsi="仿宋"/>
          <w:color w:val="000000" w:themeColor="text1"/>
          <w:kern w:val="0"/>
          <w:sz w:val="32"/>
          <w:szCs w:val="32"/>
          <w14:textFill>
            <w14:solidFill>
              <w14:schemeClr w14:val="tx1"/>
            </w14:solidFill>
          </w14:textFill>
        </w:rPr>
      </w:pPr>
      <w:r>
        <w:rPr>
          <w:rFonts w:hint="eastAsia" w:ascii="仿宋_GB2312" w:hAnsi="仿宋"/>
          <w:color w:val="000000" w:themeColor="text1"/>
          <w:kern w:val="0"/>
          <w:sz w:val="32"/>
          <w:szCs w:val="32"/>
          <w14:textFill>
            <w14:solidFill>
              <w14:schemeClr w14:val="tx1"/>
            </w14:solidFill>
          </w14:textFill>
        </w:rPr>
        <w:t>被授权人无转委托权。</w:t>
      </w:r>
    </w:p>
    <w:p w14:paraId="42C84A69">
      <w:pPr>
        <w:spacing w:line="520" w:lineRule="exact"/>
        <w:ind w:firstLine="640"/>
        <w:jc w:val="left"/>
        <w:rPr>
          <w:rFonts w:ascii="仿宋_GB2312" w:hAnsi="仿宋"/>
          <w:color w:val="000000" w:themeColor="text1"/>
          <w:kern w:val="0"/>
          <w:sz w:val="32"/>
          <w:szCs w:val="32"/>
          <w14:textFill>
            <w14:solidFill>
              <w14:schemeClr w14:val="tx1"/>
            </w14:solidFill>
          </w14:textFill>
        </w:rPr>
      </w:pPr>
      <w:r>
        <w:rPr>
          <w:rFonts w:hint="eastAsia" w:ascii="仿宋_GB2312" w:hAnsi="仿宋"/>
          <w:color w:val="000000" w:themeColor="text1"/>
          <w:kern w:val="0"/>
          <w:sz w:val="32"/>
          <w:szCs w:val="32"/>
          <w14:textFill>
            <w14:solidFill>
              <w14:schemeClr w14:val="tx1"/>
            </w14:solidFill>
          </w14:textFill>
        </w:rPr>
        <w:t>法定代表人签章：</w:t>
      </w:r>
    </w:p>
    <w:p w14:paraId="450C6AF6">
      <w:pPr>
        <w:spacing w:line="520" w:lineRule="exact"/>
        <w:ind w:firstLine="640"/>
        <w:jc w:val="left"/>
        <w:rPr>
          <w:rFonts w:ascii="仿宋_GB2312" w:hAnsi="仿宋"/>
          <w:color w:val="000000" w:themeColor="text1"/>
          <w:kern w:val="0"/>
          <w:sz w:val="32"/>
          <w:szCs w:val="32"/>
          <w14:textFill>
            <w14:solidFill>
              <w14:schemeClr w14:val="tx1"/>
            </w14:solidFill>
          </w14:textFill>
        </w:rPr>
      </w:pPr>
      <w:r>
        <w:rPr>
          <w:rFonts w:hint="eastAsia" w:ascii="仿宋_GB2312" w:hAnsi="仿宋"/>
          <w:color w:val="000000" w:themeColor="text1"/>
          <w:kern w:val="0"/>
          <w:sz w:val="32"/>
          <w:szCs w:val="32"/>
          <w14:textFill>
            <w14:solidFill>
              <w14:schemeClr w14:val="tx1"/>
            </w14:solidFill>
          </w14:textFill>
        </w:rPr>
        <w:t>被 授 权 人 签 字：</w:t>
      </w:r>
    </w:p>
    <w:p w14:paraId="6C3C323E">
      <w:pPr>
        <w:spacing w:line="520" w:lineRule="exact"/>
        <w:ind w:firstLine="640"/>
        <w:jc w:val="left"/>
        <w:rPr>
          <w:rFonts w:ascii="仿宋_GB2312" w:hAnsi="仿宋"/>
          <w:color w:val="000000" w:themeColor="text1"/>
          <w:kern w:val="0"/>
          <w:sz w:val="32"/>
          <w:szCs w:val="32"/>
          <w14:textFill>
            <w14:solidFill>
              <w14:schemeClr w14:val="tx1"/>
            </w14:solidFill>
          </w14:textFill>
        </w:rPr>
      </w:pPr>
      <w:r>
        <w:rPr>
          <w:rFonts w:hint="eastAsia" w:ascii="仿宋_GB2312" w:hAnsi="仿宋"/>
          <w:color w:val="000000" w:themeColor="text1"/>
          <w:kern w:val="0"/>
          <w:sz w:val="32"/>
          <w:szCs w:val="32"/>
          <w14:textFill>
            <w14:solidFill>
              <w14:schemeClr w14:val="tx1"/>
            </w14:solidFill>
          </w14:textFill>
        </w:rPr>
        <w:t>报价供应商（公章）:</w:t>
      </w:r>
    </w:p>
    <w:tbl>
      <w:tblPr>
        <w:tblStyle w:val="45"/>
        <w:tblpPr w:leftFromText="180" w:rightFromText="180" w:vertAnchor="text" w:horzAnchor="margin" w:tblpY="361"/>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4786"/>
        <w:gridCol w:w="4786"/>
      </w:tblGrid>
      <w:tr w14:paraId="012B1C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112" w:hRule="atLeast"/>
        </w:trPr>
        <w:tc>
          <w:tcPr>
            <w:tcW w:w="4786" w:type="dxa"/>
            <w:vAlign w:val="center"/>
          </w:tcPr>
          <w:p w14:paraId="3E22BA79">
            <w:pPr>
              <w:widowControl/>
              <w:spacing w:beforeAutospacing="1" w:afterAutospacing="1"/>
              <w:ind w:firstLine="640"/>
              <w:jc w:val="center"/>
              <w:rPr>
                <w:rFonts w:ascii="仿宋_GB2312" w:hAnsi="仿宋" w:cs="宋体"/>
                <w:color w:val="000000" w:themeColor="text1"/>
                <w:kern w:val="0"/>
                <w:sz w:val="32"/>
                <w:szCs w:val="32"/>
                <w14:textFill>
                  <w14:solidFill>
                    <w14:schemeClr w14:val="tx1"/>
                  </w14:solidFill>
                </w14:textFill>
              </w:rPr>
            </w:pPr>
            <w:r>
              <w:rPr>
                <w:rFonts w:hint="eastAsia" w:ascii="仿宋_GB2312" w:hAnsi="仿宋" w:cs="宋体"/>
                <w:color w:val="000000" w:themeColor="text1"/>
                <w:sz w:val="32"/>
                <w:szCs w:val="32"/>
                <w14:textFill>
                  <w14:solidFill>
                    <w14:schemeClr w14:val="tx1"/>
                  </w14:solidFill>
                </w14:textFill>
              </w:rPr>
              <w:t>被授权人身份证扫描件正面</w:t>
            </w:r>
          </w:p>
        </w:tc>
        <w:tc>
          <w:tcPr>
            <w:tcW w:w="4786" w:type="dxa"/>
            <w:vAlign w:val="center"/>
          </w:tcPr>
          <w:p w14:paraId="7F96C382">
            <w:pPr>
              <w:widowControl/>
              <w:spacing w:beforeAutospacing="1" w:afterAutospacing="1"/>
              <w:ind w:firstLine="640"/>
              <w:jc w:val="center"/>
              <w:rPr>
                <w:rFonts w:ascii="仿宋_GB2312" w:hAnsi="仿宋" w:cs="宋体"/>
                <w:color w:val="000000" w:themeColor="text1"/>
                <w:sz w:val="32"/>
                <w:szCs w:val="32"/>
                <w14:textFill>
                  <w14:solidFill>
                    <w14:schemeClr w14:val="tx1"/>
                  </w14:solidFill>
                </w14:textFill>
              </w:rPr>
            </w:pPr>
            <w:r>
              <w:rPr>
                <w:rFonts w:hint="eastAsia" w:ascii="仿宋_GB2312" w:hAnsi="仿宋" w:cs="宋体"/>
                <w:color w:val="000000" w:themeColor="text1"/>
                <w:sz w:val="32"/>
                <w:szCs w:val="32"/>
                <w14:textFill>
                  <w14:solidFill>
                    <w14:schemeClr w14:val="tx1"/>
                  </w14:solidFill>
                </w14:textFill>
              </w:rPr>
              <w:t>被授权人身份证扫描件反面</w:t>
            </w:r>
          </w:p>
        </w:tc>
      </w:tr>
    </w:tbl>
    <w:p w14:paraId="5166CEA1">
      <w:pPr>
        <w:ind w:firstLine="560"/>
        <w:rPr>
          <w:vanish/>
          <w:color w:val="000000" w:themeColor="text1"/>
          <w14:textFill>
            <w14:solidFill>
              <w14:schemeClr w14:val="tx1"/>
            </w14:solidFill>
          </w14:textFill>
        </w:rPr>
      </w:pPr>
    </w:p>
    <w:p w14:paraId="5C37CA6D">
      <w:pPr>
        <w:ind w:firstLine="723"/>
        <w:rPr>
          <w:rFonts w:ascii="仿宋_GB2312" w:hAnsi="仿宋"/>
          <w:b/>
          <w:color w:val="000000" w:themeColor="text1"/>
          <w:kern w:val="0"/>
          <w:sz w:val="36"/>
          <w:szCs w:val="21"/>
          <w14:textFill>
            <w14:solidFill>
              <w14:schemeClr w14:val="tx1"/>
            </w14:solidFill>
          </w14:textFill>
        </w:rPr>
      </w:pPr>
    </w:p>
    <w:p w14:paraId="57D20899">
      <w:pPr>
        <w:keepNext/>
        <w:keepLines/>
        <w:spacing w:before="120" w:after="120" w:line="560" w:lineRule="exact"/>
        <w:ind w:firstLine="562"/>
        <w:jc w:val="center"/>
        <w:outlineLvl w:val="2"/>
        <w:rPr>
          <w:rFonts w:eastAsia="黑体"/>
          <w:bCs/>
          <w:color w:val="000000" w:themeColor="text1"/>
          <w:sz w:val="32"/>
          <w:szCs w:val="32"/>
          <w14:textFill>
            <w14:solidFill>
              <w14:schemeClr w14:val="tx1"/>
            </w14:solidFill>
          </w14:textFill>
        </w:rPr>
      </w:pPr>
      <w:r>
        <w:rPr>
          <w:rFonts w:hint="eastAsia" w:ascii="仿宋_GB2312" w:hAnsi="仿宋"/>
          <w:b/>
          <w:bCs/>
          <w:color w:val="000000" w:themeColor="text1"/>
          <w:szCs w:val="28"/>
          <w14:textFill>
            <w14:solidFill>
              <w14:schemeClr w14:val="tx1"/>
            </w14:solidFill>
          </w14:textFill>
        </w:rPr>
        <w:br w:type="page"/>
      </w:r>
      <w:r>
        <w:rPr>
          <w:rFonts w:hint="eastAsia" w:eastAsia="黑体"/>
          <w:bCs/>
          <w:color w:val="000000" w:themeColor="text1"/>
          <w:sz w:val="32"/>
          <w:szCs w:val="32"/>
          <w14:textFill>
            <w14:solidFill>
              <w14:schemeClr w14:val="tx1"/>
            </w14:solidFill>
          </w14:textFill>
        </w:rPr>
        <w:t>供应商依法缴纳税收和社会保障资金的声明</w:t>
      </w:r>
    </w:p>
    <w:p w14:paraId="132A94AA">
      <w:pPr>
        <w:ind w:firstLine="560"/>
        <w:jc w:val="center"/>
        <w:rPr>
          <w:rFonts w:ascii="仿宋_GB2312"/>
          <w:color w:val="000000" w:themeColor="text1"/>
          <w:szCs w:val="28"/>
          <w14:textFill>
            <w14:solidFill>
              <w14:schemeClr w14:val="tx1"/>
            </w14:solidFill>
          </w14:textFill>
        </w:rPr>
      </w:pPr>
      <w:r>
        <w:rPr>
          <w:rFonts w:hint="eastAsia" w:ascii="仿宋_GB2312"/>
          <w:color w:val="000000" w:themeColor="text1"/>
          <w:szCs w:val="28"/>
          <w14:textFill>
            <w14:solidFill>
              <w14:schemeClr w14:val="tx1"/>
            </w14:solidFill>
          </w14:textFill>
        </w:rPr>
        <w:t>（格式自拟，加盖供应商公章）</w:t>
      </w:r>
    </w:p>
    <w:p w14:paraId="4BD40569">
      <w:pPr>
        <w:widowControl/>
        <w:spacing w:line="240" w:lineRule="auto"/>
        <w:ind w:firstLine="0" w:firstLineChars="0"/>
        <w:jc w:val="left"/>
        <w:rPr>
          <w:rFonts w:eastAsia="黑体"/>
          <w:bCs/>
          <w:color w:val="000000" w:themeColor="text1"/>
          <w:sz w:val="32"/>
          <w:szCs w:val="32"/>
          <w14:textFill>
            <w14:solidFill>
              <w14:schemeClr w14:val="tx1"/>
            </w14:solidFill>
          </w14:textFill>
        </w:rPr>
      </w:pPr>
      <w:r>
        <w:rPr>
          <w:rFonts w:eastAsia="黑体"/>
          <w:bCs/>
          <w:color w:val="000000" w:themeColor="text1"/>
          <w:sz w:val="32"/>
          <w:szCs w:val="32"/>
          <w14:textFill>
            <w14:solidFill>
              <w14:schemeClr w14:val="tx1"/>
            </w14:solidFill>
          </w14:textFill>
        </w:rPr>
        <w:br w:type="page"/>
      </w:r>
    </w:p>
    <w:p w14:paraId="53F27417">
      <w:pPr>
        <w:keepNext/>
        <w:keepLines/>
        <w:spacing w:before="120" w:after="120" w:line="560" w:lineRule="exact"/>
        <w:ind w:firstLine="640"/>
        <w:jc w:val="center"/>
        <w:outlineLvl w:val="2"/>
        <w:rPr>
          <w:rFonts w:eastAsia="黑体"/>
          <w:bCs/>
          <w:color w:val="000000" w:themeColor="text1"/>
          <w:sz w:val="32"/>
          <w:szCs w:val="32"/>
          <w14:textFill>
            <w14:solidFill>
              <w14:schemeClr w14:val="tx1"/>
            </w14:solidFill>
          </w14:textFill>
        </w:rPr>
      </w:pPr>
      <w:r>
        <w:rPr>
          <w:rFonts w:hint="eastAsia" w:eastAsia="黑体"/>
          <w:bCs/>
          <w:color w:val="000000" w:themeColor="text1"/>
          <w:sz w:val="32"/>
          <w:szCs w:val="32"/>
          <w14:textFill>
            <w14:solidFill>
              <w14:schemeClr w14:val="tx1"/>
            </w14:solidFill>
          </w14:textFill>
        </w:rPr>
        <w:t>供应商近期的完税凭证及缴纳社保资金凭证扫描件</w:t>
      </w:r>
    </w:p>
    <w:p w14:paraId="4C64E164">
      <w:pPr>
        <w:ind w:firstLine="560"/>
        <w:jc w:val="center"/>
        <w:rPr>
          <w:rFonts w:ascii="仿宋_GB2312"/>
          <w:color w:val="000000" w:themeColor="text1"/>
          <w:szCs w:val="28"/>
          <w14:textFill>
            <w14:solidFill>
              <w14:schemeClr w14:val="tx1"/>
            </w14:solidFill>
          </w14:textFill>
        </w:rPr>
      </w:pPr>
      <w:r>
        <w:rPr>
          <w:rFonts w:hint="eastAsia" w:ascii="仿宋_GB2312"/>
          <w:color w:val="000000" w:themeColor="text1"/>
          <w:szCs w:val="28"/>
          <w14:textFill>
            <w14:solidFill>
              <w14:schemeClr w14:val="tx1"/>
            </w14:solidFill>
          </w14:textFill>
        </w:rPr>
        <w:t>（加盖报价供应商公章）</w:t>
      </w:r>
    </w:p>
    <w:p w14:paraId="381FABAD">
      <w:pPr>
        <w:widowControl/>
        <w:spacing w:line="240" w:lineRule="auto"/>
        <w:ind w:firstLine="0" w:firstLineChars="0"/>
        <w:jc w:val="left"/>
        <w:rPr>
          <w:rFonts w:eastAsia="黑体"/>
          <w:bCs/>
          <w:color w:val="000000" w:themeColor="text1"/>
          <w:sz w:val="32"/>
          <w:szCs w:val="32"/>
          <w14:textFill>
            <w14:solidFill>
              <w14:schemeClr w14:val="tx1"/>
            </w14:solidFill>
          </w14:textFill>
        </w:rPr>
      </w:pPr>
      <w:r>
        <w:rPr>
          <w:rFonts w:eastAsia="黑体"/>
          <w:bCs/>
          <w:color w:val="000000" w:themeColor="text1"/>
          <w:sz w:val="32"/>
          <w:szCs w:val="32"/>
          <w14:textFill>
            <w14:solidFill>
              <w14:schemeClr w14:val="tx1"/>
            </w14:solidFill>
          </w14:textFill>
        </w:rPr>
        <w:br w:type="page"/>
      </w:r>
    </w:p>
    <w:p w14:paraId="1E72F106">
      <w:pPr>
        <w:widowControl/>
        <w:ind w:firstLine="640"/>
        <w:jc w:val="center"/>
        <w:rPr>
          <w:rFonts w:eastAsia="黑体"/>
          <w:bCs/>
          <w:color w:val="000000" w:themeColor="text1"/>
          <w:sz w:val="32"/>
          <w:szCs w:val="32"/>
          <w14:textFill>
            <w14:solidFill>
              <w14:schemeClr w14:val="tx1"/>
            </w14:solidFill>
          </w14:textFill>
        </w:rPr>
      </w:pPr>
      <w:r>
        <w:rPr>
          <w:rFonts w:hint="eastAsia" w:eastAsia="黑体"/>
          <w:bCs/>
          <w:color w:val="000000" w:themeColor="text1"/>
          <w:sz w:val="32"/>
          <w:szCs w:val="32"/>
          <w14:textFill>
            <w14:solidFill>
              <w14:schemeClr w14:val="tx1"/>
            </w14:solidFill>
          </w14:textFill>
        </w:rPr>
        <w:t>无重大违法记录声明</w:t>
      </w:r>
    </w:p>
    <w:p w14:paraId="27955794">
      <w:pPr>
        <w:spacing w:line="460" w:lineRule="exact"/>
        <w:ind w:left="2330" w:leftChars="832" w:firstLine="560"/>
        <w:jc w:val="center"/>
        <w:rPr>
          <w:rFonts w:ascii="仿宋_GB2312" w:hAnsi="仿宋"/>
          <w:bCs/>
          <w:color w:val="000000" w:themeColor="text1"/>
          <w:szCs w:val="28"/>
          <w14:textFill>
            <w14:solidFill>
              <w14:schemeClr w14:val="tx1"/>
            </w14:solidFill>
          </w14:textFill>
        </w:rPr>
      </w:pPr>
    </w:p>
    <w:p w14:paraId="070F9B27">
      <w:pPr>
        <w:spacing w:line="480" w:lineRule="auto"/>
        <w:ind w:firstLine="560"/>
        <w:rPr>
          <w:rFonts w:ascii="仿宋_GB2312" w:hAnsi="仿宋"/>
          <w:bCs/>
          <w:color w:val="000000" w:themeColor="text1"/>
          <w:szCs w:val="28"/>
          <w14:textFill>
            <w14:solidFill>
              <w14:schemeClr w14:val="tx1"/>
            </w14:solidFill>
          </w14:textFill>
        </w:rPr>
      </w:pPr>
      <w:r>
        <w:rPr>
          <w:rFonts w:hint="eastAsia" w:ascii="仿宋_GB2312" w:hAnsi="仿宋"/>
          <w:bCs/>
          <w:color w:val="000000" w:themeColor="text1"/>
          <w:szCs w:val="28"/>
          <w14:textFill>
            <w14:solidFill>
              <w14:schemeClr w14:val="tx1"/>
            </w14:solidFill>
          </w14:textFill>
        </w:rPr>
        <w:t xml:space="preserve"> </w:t>
      </w:r>
      <w:r>
        <w:rPr>
          <w:rFonts w:hint="eastAsia" w:ascii="仿宋_GB2312" w:hAnsi="仿宋"/>
          <w:bCs/>
          <w:color w:val="000000" w:themeColor="text1"/>
          <w:szCs w:val="28"/>
          <w:lang w:eastAsia="zh-CN"/>
          <w14:textFill>
            <w14:solidFill>
              <w14:schemeClr w14:val="tx1"/>
            </w14:solidFill>
          </w14:textFill>
        </w:rPr>
        <w:t>乳山市方识建设工程咨询有限公司</w:t>
      </w:r>
      <w:r>
        <w:rPr>
          <w:rFonts w:hint="eastAsia" w:ascii="仿宋_GB2312" w:hAnsi="仿宋"/>
          <w:bCs/>
          <w:color w:val="000000" w:themeColor="text1"/>
          <w:szCs w:val="28"/>
          <w14:textFill>
            <w14:solidFill>
              <w14:schemeClr w14:val="tx1"/>
            </w14:solidFill>
          </w14:textFill>
        </w:rPr>
        <w:t>：</w:t>
      </w:r>
    </w:p>
    <w:p w14:paraId="04C9189E">
      <w:pPr>
        <w:spacing w:line="480" w:lineRule="auto"/>
        <w:ind w:firstLine="560"/>
        <w:rPr>
          <w:rFonts w:ascii="仿宋_GB2312" w:hAnsi="仿宋"/>
          <w:bCs/>
          <w:color w:val="000000" w:themeColor="text1"/>
          <w:szCs w:val="28"/>
          <w14:textFill>
            <w14:solidFill>
              <w14:schemeClr w14:val="tx1"/>
            </w14:solidFill>
          </w14:textFill>
        </w:rPr>
      </w:pPr>
      <w:r>
        <w:rPr>
          <w:rFonts w:hint="eastAsia" w:ascii="仿宋_GB2312" w:hAnsi="仿宋"/>
          <w:bCs/>
          <w:color w:val="000000" w:themeColor="text1"/>
          <w:szCs w:val="28"/>
          <w14:textFill>
            <w14:solidFill>
              <w14:schemeClr w14:val="tx1"/>
            </w14:solidFill>
          </w14:textFill>
        </w:rPr>
        <w:t>我公司（公司名称）现郑重声明，自参加本项目（编号为</w:t>
      </w:r>
      <w:r>
        <w:rPr>
          <w:rFonts w:hint="eastAsia" w:ascii="仿宋_GB2312" w:hAnsi="仿宋"/>
          <w:bCs/>
          <w:color w:val="000000" w:themeColor="text1"/>
          <w:szCs w:val="28"/>
          <w:lang w:eastAsia="zh-CN"/>
          <w14:textFill>
            <w14:solidFill>
              <w14:schemeClr w14:val="tx1"/>
            </w14:solidFill>
          </w14:textFill>
        </w:rPr>
        <w:t>SDGP371083000202402000122</w:t>
      </w:r>
      <w:r>
        <w:rPr>
          <w:rFonts w:hint="eastAsia" w:ascii="仿宋_GB2312" w:hAnsi="仿宋"/>
          <w:bCs/>
          <w:color w:val="000000" w:themeColor="text1"/>
          <w:szCs w:val="28"/>
          <w14:textFill>
            <w14:solidFill>
              <w14:schemeClr w14:val="tx1"/>
            </w14:solidFill>
          </w14:textFill>
        </w:rPr>
        <w:t>）政府采购活动前三年内，我公司无因违法经营受到刑事处罚或者责令停产停业的、吊销许可证或者执照的、较大数额罚款等行政处罚。</w:t>
      </w:r>
    </w:p>
    <w:p w14:paraId="4F21118E">
      <w:pPr>
        <w:spacing w:line="480" w:lineRule="auto"/>
        <w:ind w:firstLine="560"/>
        <w:rPr>
          <w:rFonts w:ascii="仿宋_GB2312" w:hAnsi="仿宋"/>
          <w:bCs/>
          <w:color w:val="000000" w:themeColor="text1"/>
          <w:szCs w:val="28"/>
          <w14:textFill>
            <w14:solidFill>
              <w14:schemeClr w14:val="tx1"/>
            </w14:solidFill>
          </w14:textFill>
        </w:rPr>
      </w:pPr>
      <w:r>
        <w:rPr>
          <w:rFonts w:hint="eastAsia" w:ascii="仿宋_GB2312" w:hAnsi="仿宋"/>
          <w:bCs/>
          <w:color w:val="000000" w:themeColor="text1"/>
          <w:szCs w:val="28"/>
          <w14:textFill>
            <w14:solidFill>
              <w14:schemeClr w14:val="tx1"/>
            </w14:solidFill>
          </w14:textFill>
        </w:rPr>
        <w:t>如有瞒报、虚报，我公司自行承担因此产生的所有法律责任。</w:t>
      </w:r>
    </w:p>
    <w:p w14:paraId="4BA7BDE6">
      <w:pPr>
        <w:spacing w:line="480" w:lineRule="auto"/>
        <w:ind w:firstLine="560"/>
        <w:rPr>
          <w:rFonts w:ascii="仿宋_GB2312" w:hAnsi="仿宋"/>
          <w:bCs/>
          <w:color w:val="000000" w:themeColor="text1"/>
          <w:szCs w:val="28"/>
          <w14:textFill>
            <w14:solidFill>
              <w14:schemeClr w14:val="tx1"/>
            </w14:solidFill>
          </w14:textFill>
        </w:rPr>
      </w:pPr>
      <w:r>
        <w:rPr>
          <w:rFonts w:hint="eastAsia" w:ascii="仿宋_GB2312" w:hAnsi="仿宋"/>
          <w:bCs/>
          <w:color w:val="000000" w:themeColor="text1"/>
          <w:szCs w:val="28"/>
          <w14:textFill>
            <w14:solidFill>
              <w14:schemeClr w14:val="tx1"/>
            </w14:solidFill>
          </w14:textFill>
        </w:rPr>
        <w:t>特此声明！</w:t>
      </w:r>
    </w:p>
    <w:p w14:paraId="72D1978C">
      <w:pPr>
        <w:spacing w:line="480" w:lineRule="auto"/>
        <w:ind w:left="2330" w:leftChars="832" w:firstLine="560"/>
        <w:rPr>
          <w:rFonts w:ascii="仿宋_GB2312" w:hAnsi="仿宋"/>
          <w:bCs/>
          <w:color w:val="000000" w:themeColor="text1"/>
          <w:szCs w:val="28"/>
          <w14:textFill>
            <w14:solidFill>
              <w14:schemeClr w14:val="tx1"/>
            </w14:solidFill>
          </w14:textFill>
        </w:rPr>
      </w:pPr>
    </w:p>
    <w:p w14:paraId="0D04EC92">
      <w:pPr>
        <w:spacing w:line="480" w:lineRule="auto"/>
        <w:ind w:left="2330" w:leftChars="832" w:firstLine="560"/>
        <w:rPr>
          <w:rFonts w:ascii="仿宋_GB2312" w:hAnsi="仿宋"/>
          <w:bCs/>
          <w:color w:val="000000" w:themeColor="text1"/>
          <w:szCs w:val="28"/>
          <w14:textFill>
            <w14:solidFill>
              <w14:schemeClr w14:val="tx1"/>
            </w14:solidFill>
          </w14:textFill>
        </w:rPr>
      </w:pPr>
    </w:p>
    <w:p w14:paraId="702DB689">
      <w:pPr>
        <w:spacing w:line="480" w:lineRule="auto"/>
        <w:ind w:left="2330" w:leftChars="832" w:firstLine="560"/>
        <w:rPr>
          <w:rFonts w:ascii="仿宋_GB2312" w:hAnsi="仿宋"/>
          <w:bCs/>
          <w:color w:val="000000" w:themeColor="text1"/>
          <w:szCs w:val="28"/>
          <w14:textFill>
            <w14:solidFill>
              <w14:schemeClr w14:val="tx1"/>
            </w14:solidFill>
          </w14:textFill>
        </w:rPr>
      </w:pPr>
    </w:p>
    <w:p w14:paraId="701FDBBD">
      <w:pPr>
        <w:tabs>
          <w:tab w:val="left" w:pos="5580"/>
        </w:tabs>
        <w:wordWrap w:val="0"/>
        <w:ind w:firstLine="560"/>
        <w:jc w:val="right"/>
        <w:rPr>
          <w:rFonts w:ascii="仿宋_GB2312" w:hAnsi="宋体"/>
          <w:color w:val="000000" w:themeColor="text1"/>
          <w:kern w:val="0"/>
          <w:szCs w:val="28"/>
          <w14:textFill>
            <w14:solidFill>
              <w14:schemeClr w14:val="tx1"/>
            </w14:solidFill>
          </w14:textFill>
        </w:rPr>
      </w:pPr>
      <w:r>
        <w:rPr>
          <w:rFonts w:hint="eastAsia" w:ascii="仿宋_GB2312"/>
          <w:color w:val="000000" w:themeColor="text1"/>
          <w:kern w:val="0"/>
          <w:szCs w:val="28"/>
          <w14:textFill>
            <w14:solidFill>
              <w14:schemeClr w14:val="tx1"/>
            </w14:solidFill>
          </w14:textFill>
        </w:rPr>
        <w:t xml:space="preserve">供应商全称（公章）：          </w:t>
      </w:r>
    </w:p>
    <w:p w14:paraId="660EF3F4">
      <w:pPr>
        <w:tabs>
          <w:tab w:val="left" w:pos="5580"/>
        </w:tabs>
        <w:ind w:firstLine="4132" w:firstLineChars="1476"/>
        <w:jc w:val="right"/>
        <w:rPr>
          <w:rFonts w:ascii="仿宋_GB2312"/>
          <w:color w:val="000000" w:themeColor="text1"/>
          <w:kern w:val="0"/>
          <w:szCs w:val="28"/>
          <w14:textFill>
            <w14:solidFill>
              <w14:schemeClr w14:val="tx1"/>
            </w14:solidFill>
          </w14:textFill>
        </w:rPr>
      </w:pPr>
    </w:p>
    <w:p w14:paraId="26CBEDE3">
      <w:pPr>
        <w:tabs>
          <w:tab w:val="left" w:pos="5580"/>
        </w:tabs>
        <w:wordWrap w:val="0"/>
        <w:ind w:firstLine="560"/>
        <w:jc w:val="right"/>
        <w:rPr>
          <w:rFonts w:ascii="仿宋_GB2312"/>
          <w:color w:val="000000" w:themeColor="text1"/>
          <w:kern w:val="0"/>
          <w:szCs w:val="28"/>
          <w14:textFill>
            <w14:solidFill>
              <w14:schemeClr w14:val="tx1"/>
            </w14:solidFill>
          </w14:textFill>
        </w:rPr>
      </w:pPr>
      <w:r>
        <w:rPr>
          <w:rFonts w:hint="eastAsia" w:ascii="仿宋_GB2312" w:hAnsi="仿宋"/>
          <w:bCs/>
          <w:color w:val="000000" w:themeColor="text1"/>
          <w:kern w:val="0"/>
          <w:szCs w:val="28"/>
          <w14:textFill>
            <w14:solidFill>
              <w14:schemeClr w14:val="tx1"/>
            </w14:solidFill>
          </w14:textFill>
        </w:rPr>
        <w:t>法定代表人签章</w:t>
      </w:r>
      <w:r>
        <w:rPr>
          <w:rFonts w:ascii="仿宋_GB2312"/>
          <w:color w:val="000000" w:themeColor="text1"/>
          <w:kern w:val="0"/>
          <w:szCs w:val="28"/>
          <w14:textFill>
            <w14:solidFill>
              <w14:schemeClr w14:val="tx1"/>
            </w14:solidFill>
          </w14:textFill>
        </w:rPr>
        <w:t>：</w:t>
      </w:r>
    </w:p>
    <w:p w14:paraId="440E81A8">
      <w:pPr>
        <w:tabs>
          <w:tab w:val="left" w:pos="5580"/>
        </w:tabs>
        <w:ind w:firstLine="4132" w:firstLineChars="1476"/>
        <w:rPr>
          <w:rFonts w:ascii="仿宋_GB2312"/>
          <w:color w:val="000000" w:themeColor="text1"/>
          <w:kern w:val="0"/>
          <w:szCs w:val="28"/>
          <w14:textFill>
            <w14:solidFill>
              <w14:schemeClr w14:val="tx1"/>
            </w14:solidFill>
          </w14:textFill>
        </w:rPr>
      </w:pPr>
    </w:p>
    <w:p w14:paraId="1BD09F4F">
      <w:pPr>
        <w:widowControl/>
        <w:ind w:firstLine="560"/>
        <w:jc w:val="right"/>
        <w:rPr>
          <w:rFonts w:ascii="宋体" w:hAnsi="宋体"/>
          <w:color w:val="000000" w:themeColor="text1"/>
          <w:kern w:val="0"/>
          <w:szCs w:val="28"/>
          <w14:textFill>
            <w14:solidFill>
              <w14:schemeClr w14:val="tx1"/>
            </w14:solidFill>
          </w14:textFill>
        </w:rPr>
      </w:pPr>
      <w:r>
        <w:rPr>
          <w:rFonts w:hint="eastAsia" w:ascii="仿宋_GB2312"/>
          <w:color w:val="000000" w:themeColor="text1"/>
          <w:szCs w:val="28"/>
          <w14:textFill>
            <w14:solidFill>
              <w14:schemeClr w14:val="tx1"/>
            </w14:solidFill>
          </w14:textFill>
        </w:rPr>
        <w:t>年</w:t>
      </w:r>
      <w:r>
        <w:rPr>
          <w:rFonts w:hint="eastAsia" w:ascii="仿宋_GB2312"/>
          <w:color w:val="000000" w:themeColor="text1"/>
          <w:szCs w:val="28"/>
          <w:lang w:val="en-US" w:eastAsia="zh-CN"/>
          <w14:textFill>
            <w14:solidFill>
              <w14:schemeClr w14:val="tx1"/>
            </w14:solidFill>
          </w14:textFill>
        </w:rPr>
        <w:t xml:space="preserve">  </w:t>
      </w:r>
      <w:r>
        <w:rPr>
          <w:rFonts w:hint="eastAsia" w:ascii="仿宋_GB2312"/>
          <w:color w:val="000000" w:themeColor="text1"/>
          <w:szCs w:val="28"/>
          <w14:textFill>
            <w14:solidFill>
              <w14:schemeClr w14:val="tx1"/>
            </w14:solidFill>
          </w14:textFill>
        </w:rPr>
        <w:t>月</w:t>
      </w:r>
      <w:r>
        <w:rPr>
          <w:rFonts w:hint="eastAsia" w:ascii="仿宋_GB2312"/>
          <w:color w:val="000000" w:themeColor="text1"/>
          <w:szCs w:val="28"/>
          <w:lang w:val="en-US" w:eastAsia="zh-CN"/>
          <w14:textFill>
            <w14:solidFill>
              <w14:schemeClr w14:val="tx1"/>
            </w14:solidFill>
          </w14:textFill>
        </w:rPr>
        <w:t xml:space="preserve">  </w:t>
      </w:r>
      <w:r>
        <w:rPr>
          <w:rFonts w:hint="eastAsia" w:ascii="仿宋_GB2312"/>
          <w:color w:val="000000" w:themeColor="text1"/>
          <w:szCs w:val="28"/>
          <w14:textFill>
            <w14:solidFill>
              <w14:schemeClr w14:val="tx1"/>
            </w14:solidFill>
          </w14:textFill>
        </w:rPr>
        <w:t>日</w:t>
      </w:r>
    </w:p>
    <w:p w14:paraId="5C4AC0C6">
      <w:pPr>
        <w:widowControl/>
        <w:spacing w:line="240" w:lineRule="auto"/>
        <w:ind w:firstLine="0" w:firstLineChars="0"/>
        <w:jc w:val="left"/>
        <w:rPr>
          <w:rFonts w:eastAsia="黑体"/>
          <w:bCs/>
          <w:color w:val="000000" w:themeColor="text1"/>
          <w:sz w:val="32"/>
          <w:szCs w:val="32"/>
          <w14:textFill>
            <w14:solidFill>
              <w14:schemeClr w14:val="tx1"/>
            </w14:solidFill>
          </w14:textFill>
        </w:rPr>
      </w:pPr>
      <w:r>
        <w:rPr>
          <w:rFonts w:eastAsia="黑体"/>
          <w:bCs/>
          <w:color w:val="000000" w:themeColor="text1"/>
          <w:sz w:val="32"/>
          <w:szCs w:val="32"/>
          <w14:textFill>
            <w14:solidFill>
              <w14:schemeClr w14:val="tx1"/>
            </w14:solidFill>
          </w14:textFill>
        </w:rPr>
        <w:br w:type="page"/>
      </w:r>
    </w:p>
    <w:p w14:paraId="0B59F811">
      <w:pPr>
        <w:keepNext/>
        <w:keepLines/>
        <w:spacing w:before="120" w:after="120" w:line="560" w:lineRule="exact"/>
        <w:ind w:firstLine="640"/>
        <w:jc w:val="center"/>
        <w:outlineLvl w:val="2"/>
        <w:rPr>
          <w:rFonts w:eastAsia="黑体"/>
          <w:bCs/>
          <w:color w:val="000000" w:themeColor="text1"/>
          <w:sz w:val="32"/>
          <w:szCs w:val="32"/>
          <w14:textFill>
            <w14:solidFill>
              <w14:schemeClr w14:val="tx1"/>
            </w14:solidFill>
          </w14:textFill>
        </w:rPr>
      </w:pPr>
      <w:r>
        <w:rPr>
          <w:rFonts w:hint="eastAsia" w:eastAsia="黑体"/>
          <w:bCs/>
          <w:color w:val="000000" w:themeColor="text1"/>
          <w:sz w:val="32"/>
          <w:szCs w:val="32"/>
          <w14:textFill>
            <w14:solidFill>
              <w14:schemeClr w14:val="tx1"/>
            </w14:solidFill>
          </w14:textFill>
        </w:rPr>
        <w:t>财务状况报告等相关材料</w:t>
      </w:r>
    </w:p>
    <w:p w14:paraId="6FE835BB">
      <w:pPr>
        <w:ind w:firstLine="560"/>
        <w:jc w:val="center"/>
        <w:rPr>
          <w:rFonts w:ascii="仿宋_GB2312"/>
          <w:color w:val="000000" w:themeColor="text1"/>
          <w:szCs w:val="28"/>
          <w14:textFill>
            <w14:solidFill>
              <w14:schemeClr w14:val="tx1"/>
            </w14:solidFill>
          </w14:textFill>
        </w:rPr>
      </w:pPr>
      <w:r>
        <w:rPr>
          <w:rFonts w:hint="eastAsia" w:ascii="仿宋_GB2312"/>
          <w:color w:val="000000" w:themeColor="text1"/>
          <w:szCs w:val="28"/>
          <w14:textFill>
            <w14:solidFill>
              <w14:schemeClr w14:val="tx1"/>
            </w14:solidFill>
          </w14:textFill>
        </w:rPr>
        <w:t>（加盖供应商公章）</w:t>
      </w:r>
    </w:p>
    <w:p w14:paraId="1534B8BB">
      <w:pPr>
        <w:ind w:firstLine="560"/>
        <w:rPr>
          <w:color w:val="000000" w:themeColor="text1"/>
          <w14:textFill>
            <w14:solidFill>
              <w14:schemeClr w14:val="tx1"/>
            </w14:solidFill>
          </w14:textFill>
        </w:rPr>
      </w:pPr>
    </w:p>
    <w:p w14:paraId="3F2BD233">
      <w:pPr>
        <w:ind w:firstLine="560"/>
        <w:rPr>
          <w:color w:val="000000" w:themeColor="text1"/>
          <w14:textFill>
            <w14:solidFill>
              <w14:schemeClr w14:val="tx1"/>
            </w14:solidFill>
          </w14:textFill>
        </w:rPr>
      </w:pPr>
    </w:p>
    <w:p w14:paraId="744F0FE0">
      <w:pPr>
        <w:keepNext/>
        <w:keepLines/>
        <w:spacing w:before="120" w:after="120" w:line="560" w:lineRule="exact"/>
        <w:ind w:firstLine="560"/>
        <w:jc w:val="center"/>
        <w:outlineLvl w:val="2"/>
        <w:rPr>
          <w:rFonts w:eastAsia="黑体"/>
          <w:bCs/>
          <w:color w:val="000000" w:themeColor="text1"/>
          <w:sz w:val="32"/>
          <w:szCs w:val="32"/>
          <w14:textFill>
            <w14:solidFill>
              <w14:schemeClr w14:val="tx1"/>
            </w14:solidFill>
          </w14:textFill>
        </w:rPr>
      </w:pPr>
      <w:r>
        <w:rPr>
          <w:color w:val="000000" w:themeColor="text1"/>
          <w14:textFill>
            <w14:solidFill>
              <w14:schemeClr w14:val="tx1"/>
            </w14:solidFill>
          </w14:textFill>
        </w:rPr>
        <w:br w:type="page"/>
      </w:r>
      <w:r>
        <w:rPr>
          <w:rFonts w:hint="eastAsia" w:eastAsia="黑体"/>
          <w:bCs/>
          <w:color w:val="000000" w:themeColor="text1"/>
          <w:sz w:val="32"/>
          <w:szCs w:val="32"/>
          <w14:textFill>
            <w14:solidFill>
              <w14:schemeClr w14:val="tx1"/>
            </w14:solidFill>
          </w14:textFill>
        </w:rPr>
        <w:t>供应商具有履行合同所必需的设备和专业技术能力承诺函</w:t>
      </w:r>
    </w:p>
    <w:p w14:paraId="3A521E4C">
      <w:pPr>
        <w:ind w:firstLine="560"/>
        <w:jc w:val="center"/>
        <w:rPr>
          <w:rFonts w:ascii="宋体" w:hAnsi="宋体"/>
          <w:color w:val="000000" w:themeColor="text1"/>
          <w:kern w:val="0"/>
          <w:szCs w:val="28"/>
          <w14:textFill>
            <w14:solidFill>
              <w14:schemeClr w14:val="tx1"/>
            </w14:solidFill>
          </w14:textFill>
        </w:rPr>
      </w:pPr>
      <w:r>
        <w:rPr>
          <w:rFonts w:hint="eastAsia" w:ascii="仿宋_GB2312"/>
          <w:color w:val="000000" w:themeColor="text1"/>
          <w:szCs w:val="28"/>
          <w14:textFill>
            <w14:solidFill>
              <w14:schemeClr w14:val="tx1"/>
            </w14:solidFill>
          </w14:textFill>
        </w:rPr>
        <w:t>（格式自拟，加盖供应商公章）</w:t>
      </w:r>
    </w:p>
    <w:p w14:paraId="063DCFCD">
      <w:pPr>
        <w:widowControl/>
        <w:spacing w:line="240" w:lineRule="auto"/>
        <w:ind w:firstLine="0" w:firstLineChars="0"/>
        <w:jc w:val="left"/>
        <w:rPr>
          <w:rFonts w:ascii="仿宋_GB2312" w:hAnsi="宋体"/>
          <w:color w:val="000000" w:themeColor="text1"/>
          <w:sz w:val="22"/>
          <w:szCs w:val="28"/>
          <w14:textFill>
            <w14:solidFill>
              <w14:schemeClr w14:val="tx1"/>
            </w14:solidFill>
          </w14:textFill>
        </w:rPr>
      </w:pPr>
      <w:r>
        <w:rPr>
          <w:rFonts w:ascii="仿宋_GB2312" w:hAnsi="宋体"/>
          <w:color w:val="000000" w:themeColor="text1"/>
          <w:sz w:val="22"/>
          <w:szCs w:val="28"/>
          <w14:textFill>
            <w14:solidFill>
              <w14:schemeClr w14:val="tx1"/>
            </w14:solidFill>
          </w14:textFill>
        </w:rPr>
        <w:br w:type="page"/>
      </w:r>
    </w:p>
    <w:p w14:paraId="4A0126A1">
      <w:pPr>
        <w:ind w:firstLine="440"/>
        <w:jc w:val="right"/>
        <w:rPr>
          <w:rFonts w:ascii="宋体" w:hAnsi="宋体" w:cs="宋体"/>
          <w:color w:val="000000" w:themeColor="text1"/>
          <w:sz w:val="44"/>
          <w:szCs w:val="44"/>
          <w14:textFill>
            <w14:solidFill>
              <w14:schemeClr w14:val="tx1"/>
            </w14:solidFill>
          </w14:textFill>
        </w:rPr>
      </w:pPr>
      <w:r>
        <w:rPr>
          <w:rFonts w:hint="eastAsia" w:ascii="仿宋_GB2312" w:hAnsi="宋体"/>
          <w:color w:val="000000" w:themeColor="text1"/>
          <w:sz w:val="22"/>
          <w:szCs w:val="28"/>
          <w14:textFill>
            <w14:solidFill>
              <w14:schemeClr w14:val="tx1"/>
            </w14:solidFill>
          </w14:textFill>
        </w:rPr>
        <w:t>如中标（成交），随中标（成交）公告公示</w:t>
      </w:r>
    </w:p>
    <w:p w14:paraId="340C1340">
      <w:pPr>
        <w:ind w:firstLine="880"/>
        <w:jc w:val="center"/>
        <w:rPr>
          <w:rFonts w:ascii="宋体" w:hAnsi="宋体" w:cs="宋体"/>
          <w:color w:val="000000" w:themeColor="text1"/>
          <w:sz w:val="44"/>
          <w:szCs w:val="44"/>
          <w14:textFill>
            <w14:solidFill>
              <w14:schemeClr w14:val="tx1"/>
            </w14:solidFill>
          </w14:textFill>
        </w:rPr>
      </w:pPr>
    </w:p>
    <w:p w14:paraId="311C2ADD">
      <w:pPr>
        <w:ind w:firstLine="880"/>
        <w:jc w:val="center"/>
        <w:rPr>
          <w:rFonts w:ascii="宋体" w:hAnsi="宋体" w:cs="宋体"/>
          <w:color w:val="000000" w:themeColor="text1"/>
          <w:sz w:val="44"/>
          <w:szCs w:val="44"/>
          <w14:textFill>
            <w14:solidFill>
              <w14:schemeClr w14:val="tx1"/>
            </w14:solidFill>
          </w14:textFill>
        </w:rPr>
      </w:pPr>
      <w:r>
        <w:rPr>
          <w:rFonts w:hint="eastAsia" w:ascii="宋体" w:hAnsi="宋体" w:cs="宋体"/>
          <w:color w:val="000000" w:themeColor="text1"/>
          <w:sz w:val="44"/>
          <w:szCs w:val="44"/>
          <w14:textFill>
            <w14:solidFill>
              <w14:schemeClr w14:val="tx1"/>
            </w14:solidFill>
          </w14:textFill>
        </w:rPr>
        <w:t>中小企业声明函</w:t>
      </w:r>
    </w:p>
    <w:p w14:paraId="62DD5276">
      <w:pPr>
        <w:ind w:firstLine="880"/>
        <w:jc w:val="center"/>
        <w:rPr>
          <w:rFonts w:ascii="宋体" w:hAnsi="宋体" w:cs="宋体"/>
          <w:color w:val="000000" w:themeColor="text1"/>
          <w:sz w:val="44"/>
          <w:szCs w:val="44"/>
          <w14:textFill>
            <w14:solidFill>
              <w14:schemeClr w14:val="tx1"/>
            </w14:solidFill>
          </w14:textFill>
        </w:rPr>
      </w:pPr>
    </w:p>
    <w:p w14:paraId="54C446F7">
      <w:pPr>
        <w:pStyle w:val="19"/>
        <w:autoSpaceDE w:val="0"/>
        <w:autoSpaceDN w:val="0"/>
        <w:spacing w:before="14" w:line="520" w:lineRule="exact"/>
        <w:ind w:right="415" w:firstLine="472"/>
        <w:rPr>
          <w:rFonts w:ascii="仿宋_GB2312" w:hAnsi="仿宋" w:cs="仿宋"/>
          <w:color w:val="000000" w:themeColor="text1"/>
          <w14:textFill>
            <w14:solidFill>
              <w14:schemeClr w14:val="tx1"/>
            </w14:solidFill>
          </w14:textFill>
        </w:rPr>
      </w:pPr>
      <w:r>
        <w:rPr>
          <w:rFonts w:hint="eastAsia" w:ascii="仿宋_GB2312" w:hAnsi="仿宋" w:cs="仿宋"/>
          <w:color w:val="000000" w:themeColor="text1"/>
          <w:spacing w:val="-2"/>
          <w14:textFill>
            <w14:solidFill>
              <w14:schemeClr w14:val="tx1"/>
            </w14:solidFill>
          </w14:textFill>
        </w:rPr>
        <w:t>本公司</w:t>
      </w:r>
      <w:r>
        <w:rPr>
          <w:rFonts w:hint="eastAsia" w:ascii="仿宋_GB2312" w:hAnsi="仿宋" w:cs="仿宋"/>
          <w:color w:val="000000" w:themeColor="text1"/>
          <w14:textFill>
            <w14:solidFill>
              <w14:schemeClr w14:val="tx1"/>
            </w14:solidFill>
          </w14:textFill>
        </w:rPr>
        <w:t>（联合体</w:t>
      </w:r>
      <w:r>
        <w:rPr>
          <w:rFonts w:hint="eastAsia" w:ascii="仿宋_GB2312" w:hAnsi="仿宋" w:cs="仿宋"/>
          <w:color w:val="000000" w:themeColor="text1"/>
          <w:spacing w:val="-5"/>
          <w14:textFill>
            <w14:solidFill>
              <w14:schemeClr w14:val="tx1"/>
            </w14:solidFill>
          </w14:textFill>
        </w:rPr>
        <w:t>）</w:t>
      </w:r>
      <w:r>
        <w:rPr>
          <w:rFonts w:hint="eastAsia" w:ascii="仿宋_GB2312" w:hAnsi="仿宋" w:cs="仿宋"/>
          <w:color w:val="000000" w:themeColor="text1"/>
          <w:spacing w:val="-2"/>
          <w14:textFill>
            <w14:solidFill>
              <w14:schemeClr w14:val="tx1"/>
            </w14:solidFill>
          </w14:textFill>
        </w:rPr>
        <w:t>郑重声明，根据《政府采购促进中小</w:t>
      </w:r>
      <w:r>
        <w:rPr>
          <w:rFonts w:hint="eastAsia" w:ascii="仿宋_GB2312" w:hAnsi="仿宋" w:cs="仿宋"/>
          <w:color w:val="000000" w:themeColor="text1"/>
          <w:spacing w:val="-18"/>
          <w14:textFill>
            <w14:solidFill>
              <w14:schemeClr w14:val="tx1"/>
            </w14:solidFill>
          </w14:textFill>
        </w:rPr>
        <w:t>企业发展管理办法》</w:t>
      </w:r>
      <w:r>
        <w:rPr>
          <w:rFonts w:hint="eastAsia" w:ascii="仿宋_GB2312" w:hAnsi="仿宋" w:cs="仿宋"/>
          <w:color w:val="000000" w:themeColor="text1"/>
          <w14:textFill>
            <w14:solidFill>
              <w14:schemeClr w14:val="tx1"/>
            </w14:solidFill>
          </w14:textFill>
        </w:rPr>
        <w:t>（</w:t>
      </w:r>
      <w:r>
        <w:rPr>
          <w:rFonts w:hint="eastAsia" w:ascii="仿宋_GB2312" w:hAnsi="仿宋" w:cs="仿宋"/>
          <w:color w:val="000000" w:themeColor="text1"/>
          <w:spacing w:val="5"/>
          <w14:textFill>
            <w14:solidFill>
              <w14:schemeClr w14:val="tx1"/>
            </w14:solidFill>
          </w14:textFill>
        </w:rPr>
        <w:t>财库</w:t>
      </w:r>
      <w:r>
        <w:rPr>
          <w:rFonts w:hint="eastAsia" w:ascii="仿宋_GB2312" w:hAnsi="仿宋" w:eastAsia="仿宋" w:cs="仿宋"/>
          <w:color w:val="000000" w:themeColor="text1"/>
          <w14:textFill>
            <w14:solidFill>
              <w14:schemeClr w14:val="tx1"/>
            </w14:solidFill>
          </w14:textFill>
        </w:rPr>
        <w:t>﹝</w:t>
      </w:r>
      <w:r>
        <w:rPr>
          <w:rFonts w:hint="eastAsia" w:ascii="仿宋_GB2312" w:hAnsi="仿宋" w:cs="仿宋"/>
          <w:color w:val="000000" w:themeColor="text1"/>
          <w14:textFill>
            <w14:solidFill>
              <w14:schemeClr w14:val="tx1"/>
            </w14:solidFill>
          </w14:textFill>
        </w:rPr>
        <w:t>2020</w:t>
      </w:r>
      <w:r>
        <w:rPr>
          <w:rFonts w:hint="eastAsia" w:ascii="仿宋_GB2312" w:hAnsi="仿宋" w:eastAsia="仿宋" w:cs="仿宋"/>
          <w:color w:val="000000" w:themeColor="text1"/>
          <w14:textFill>
            <w14:solidFill>
              <w14:schemeClr w14:val="tx1"/>
            </w14:solidFill>
          </w14:textFill>
        </w:rPr>
        <w:t>﹞</w:t>
      </w:r>
      <w:r>
        <w:rPr>
          <w:rFonts w:hint="eastAsia" w:ascii="仿宋_GB2312" w:hAnsi="仿宋" w:cs="仿宋"/>
          <w:color w:val="000000" w:themeColor="text1"/>
          <w14:textFill>
            <w14:solidFill>
              <w14:schemeClr w14:val="tx1"/>
            </w14:solidFill>
          </w14:textFill>
        </w:rPr>
        <w:t>46</w:t>
      </w:r>
      <w:r>
        <w:rPr>
          <w:rFonts w:hint="eastAsia" w:ascii="仿宋_GB2312" w:hAnsi="仿宋" w:cs="仿宋"/>
          <w:color w:val="000000" w:themeColor="text1"/>
          <w:spacing w:val="28"/>
          <w14:textFill>
            <w14:solidFill>
              <w14:schemeClr w14:val="tx1"/>
            </w14:solidFill>
          </w14:textFill>
        </w:rPr>
        <w:t>号</w:t>
      </w:r>
      <w:r>
        <w:rPr>
          <w:rFonts w:hint="eastAsia" w:ascii="仿宋_GB2312" w:hAnsi="仿宋" w:cs="仿宋"/>
          <w:color w:val="000000" w:themeColor="text1"/>
          <w:spacing w:val="5"/>
          <w14:textFill>
            <w14:solidFill>
              <w14:schemeClr w14:val="tx1"/>
            </w14:solidFill>
          </w14:textFill>
        </w:rPr>
        <w:t>）</w:t>
      </w:r>
      <w:r>
        <w:rPr>
          <w:rFonts w:hint="eastAsia" w:ascii="仿宋_GB2312" w:hAnsi="仿宋" w:cs="仿宋"/>
          <w:color w:val="000000" w:themeColor="text1"/>
          <w14:textFill>
            <w14:solidFill>
              <w14:schemeClr w14:val="tx1"/>
            </w14:solidFill>
          </w14:textFill>
        </w:rPr>
        <w:t>的规定，本公司（联合体）</w:t>
      </w:r>
      <w:r>
        <w:rPr>
          <w:rFonts w:hint="eastAsia" w:ascii="仿宋_GB2312" w:hAnsi="仿宋" w:cs="仿宋"/>
          <w:color w:val="000000" w:themeColor="text1"/>
          <w:spacing w:val="-8"/>
          <w14:textFill>
            <w14:solidFill>
              <w14:schemeClr w14:val="tx1"/>
            </w14:solidFill>
          </w14:textFill>
        </w:rPr>
        <w:t>参加</w:t>
      </w:r>
      <w:r>
        <w:rPr>
          <w:rFonts w:hint="eastAsia" w:ascii="仿宋_GB2312" w:hAnsi="仿宋" w:cs="仿宋"/>
          <w:color w:val="000000" w:themeColor="text1"/>
          <w:spacing w:val="-8"/>
          <w:u w:val="single"/>
          <w14:textFill>
            <w14:solidFill>
              <w14:schemeClr w14:val="tx1"/>
            </w14:solidFill>
          </w14:textFill>
        </w:rPr>
        <w:t>（单位名称）</w:t>
      </w:r>
      <w:r>
        <w:rPr>
          <w:rFonts w:hint="eastAsia" w:ascii="仿宋_GB2312" w:hAnsi="仿宋" w:cs="仿宋"/>
          <w:color w:val="000000" w:themeColor="text1"/>
          <w:spacing w:val="-8"/>
          <w14:textFill>
            <w14:solidFill>
              <w14:schemeClr w14:val="tx1"/>
            </w14:solidFill>
          </w14:textFill>
        </w:rPr>
        <w:t>的</w:t>
      </w:r>
      <w:r>
        <w:rPr>
          <w:rFonts w:hint="eastAsia" w:ascii="仿宋_GB2312" w:hAnsi="仿宋" w:cs="仿宋"/>
          <w:color w:val="000000" w:themeColor="text1"/>
          <w:spacing w:val="-8"/>
          <w:u w:val="single"/>
          <w14:textFill>
            <w14:solidFill>
              <w14:schemeClr w14:val="tx1"/>
            </w14:solidFill>
          </w14:textFill>
        </w:rPr>
        <w:t>（项目名称）</w:t>
      </w:r>
      <w:r>
        <w:rPr>
          <w:rFonts w:hint="eastAsia" w:ascii="仿宋_GB2312" w:hAnsi="仿宋" w:cs="仿宋"/>
          <w:color w:val="000000" w:themeColor="text1"/>
          <w:spacing w:val="-1"/>
          <w14:textFill>
            <w14:solidFill>
              <w14:schemeClr w14:val="tx1"/>
            </w14:solidFill>
          </w14:textFill>
        </w:rPr>
        <w:t>采购活动，工程的施工单位全部为符合政策要求的中小企业。</w:t>
      </w:r>
      <w:r>
        <w:rPr>
          <w:rFonts w:hint="eastAsia" w:ascii="仿宋_GB2312" w:hAnsi="仿宋" w:cs="仿宋"/>
          <w:color w:val="000000" w:themeColor="text1"/>
          <w:spacing w:val="6"/>
          <w:w w:val="95"/>
          <w14:textFill>
            <w14:solidFill>
              <w14:schemeClr w14:val="tx1"/>
            </w14:solidFill>
          </w14:textFill>
        </w:rPr>
        <w:t>相关企业</w:t>
      </w:r>
      <w:r>
        <w:rPr>
          <w:rFonts w:hint="eastAsia" w:ascii="仿宋_GB2312" w:hAnsi="仿宋" w:cs="仿宋"/>
          <w:color w:val="000000" w:themeColor="text1"/>
          <w:spacing w:val="7"/>
          <w:w w:val="95"/>
          <w14:textFill>
            <w14:solidFill>
              <w14:schemeClr w14:val="tx1"/>
            </w14:solidFill>
          </w14:textFill>
        </w:rPr>
        <w:t>（</w:t>
      </w:r>
      <w:r>
        <w:rPr>
          <w:rFonts w:hint="eastAsia" w:ascii="仿宋_GB2312" w:hAnsi="仿宋" w:cs="仿宋"/>
          <w:color w:val="000000" w:themeColor="text1"/>
          <w:spacing w:val="4"/>
          <w:w w:val="95"/>
          <w14:textFill>
            <w14:solidFill>
              <w14:schemeClr w14:val="tx1"/>
            </w14:solidFill>
          </w14:textFill>
        </w:rPr>
        <w:t>含联合</w:t>
      </w:r>
      <w:r>
        <w:rPr>
          <w:rFonts w:hint="eastAsia" w:ascii="仿宋_GB2312" w:hAnsi="仿宋" w:cs="仿宋"/>
          <w:color w:val="000000" w:themeColor="text1"/>
          <w14:textFill>
            <w14:solidFill>
              <w14:schemeClr w14:val="tx1"/>
            </w14:solidFill>
          </w14:textFill>
        </w:rPr>
        <w:t>体中的中小企业、签订分包意向协议的中小企业</w:t>
      </w:r>
      <w:r>
        <w:rPr>
          <w:rFonts w:hint="eastAsia" w:ascii="仿宋_GB2312" w:hAnsi="仿宋" w:cs="仿宋"/>
          <w:color w:val="000000" w:themeColor="text1"/>
          <w:spacing w:val="-7"/>
          <w14:textFill>
            <w14:solidFill>
              <w14:schemeClr w14:val="tx1"/>
            </w14:solidFill>
          </w14:textFill>
        </w:rPr>
        <w:t>）</w:t>
      </w:r>
      <w:r>
        <w:rPr>
          <w:rFonts w:hint="eastAsia" w:ascii="仿宋_GB2312" w:hAnsi="仿宋" w:cs="仿宋"/>
          <w:color w:val="000000" w:themeColor="text1"/>
          <w14:textFill>
            <w14:solidFill>
              <w14:schemeClr w14:val="tx1"/>
            </w14:solidFill>
          </w14:textFill>
        </w:rPr>
        <w:t>的具体情况如下：</w:t>
      </w:r>
    </w:p>
    <w:p w14:paraId="527194C1">
      <w:pPr>
        <w:pStyle w:val="19"/>
        <w:autoSpaceDE w:val="0"/>
        <w:autoSpaceDN w:val="0"/>
        <w:spacing w:before="14" w:line="520" w:lineRule="exact"/>
        <w:ind w:right="415" w:firstLine="480"/>
        <w:rPr>
          <w:rFonts w:ascii="仿宋_GB2312" w:hAnsi="仿宋" w:cs="仿宋"/>
          <w:color w:val="000000" w:themeColor="text1"/>
          <w14:textFill>
            <w14:solidFill>
              <w14:schemeClr w14:val="tx1"/>
            </w14:solidFill>
          </w14:textFill>
        </w:rPr>
      </w:pPr>
      <w:r>
        <w:rPr>
          <w:rFonts w:hint="eastAsia" w:ascii="仿宋_GB2312" w:hAnsi="仿宋" w:cs="仿宋"/>
          <w:color w:val="000000" w:themeColor="text1"/>
          <w14:textFill>
            <w14:solidFill>
              <w14:schemeClr w14:val="tx1"/>
            </w14:solidFill>
          </w14:textFill>
        </w:rPr>
        <w:t>1.</w:t>
      </w:r>
      <w:r>
        <w:rPr>
          <w:rFonts w:hint="eastAsia" w:ascii="仿宋_GB2312" w:hAnsi="仿宋" w:cs="仿宋"/>
          <w:color w:val="000000" w:themeColor="text1"/>
          <w:spacing w:val="-3"/>
          <w:u w:val="single"/>
          <w14:textFill>
            <w14:solidFill>
              <w14:schemeClr w14:val="tx1"/>
            </w14:solidFill>
          </w14:textFill>
        </w:rPr>
        <w:t>（标的名称）</w:t>
      </w:r>
      <w:r>
        <w:rPr>
          <w:rFonts w:hint="eastAsia" w:ascii="仿宋_GB2312" w:hAnsi="仿宋" w:cs="仿宋"/>
          <w:color w:val="000000" w:themeColor="text1"/>
          <w:spacing w:val="-3"/>
          <w14:textFill>
            <w14:solidFill>
              <w14:schemeClr w14:val="tx1"/>
            </w14:solidFill>
          </w14:textFill>
        </w:rPr>
        <w:t>，属于</w:t>
      </w:r>
      <w:r>
        <w:rPr>
          <w:rFonts w:hint="eastAsia" w:ascii="仿宋_GB2312" w:hAnsi="仿宋" w:cs="仿宋"/>
          <w:color w:val="000000" w:themeColor="text1"/>
          <w:spacing w:val="-3"/>
          <w:u w:val="single"/>
          <w14:textFill>
            <w14:solidFill>
              <w14:schemeClr w14:val="tx1"/>
            </w14:solidFill>
          </w14:textFill>
        </w:rPr>
        <w:t>（采购文件中明确的所属行业）</w:t>
      </w:r>
      <w:r>
        <w:rPr>
          <w:rFonts w:hint="eastAsia" w:ascii="仿宋_GB2312" w:hAnsi="仿宋" w:cs="仿宋"/>
          <w:color w:val="000000" w:themeColor="text1"/>
          <w:spacing w:val="-3"/>
          <w14:textFill>
            <w14:solidFill>
              <w14:schemeClr w14:val="tx1"/>
            </w14:solidFill>
          </w14:textFill>
        </w:rPr>
        <w:t>；承建企业为</w:t>
      </w:r>
      <w:r>
        <w:rPr>
          <w:rFonts w:hint="eastAsia" w:ascii="仿宋_GB2312" w:hAnsi="仿宋" w:cs="仿宋"/>
          <w:color w:val="000000" w:themeColor="text1"/>
          <w:spacing w:val="-3"/>
          <w:u w:val="single"/>
          <w14:textFill>
            <w14:solidFill>
              <w14:schemeClr w14:val="tx1"/>
            </w14:solidFill>
          </w14:textFill>
        </w:rPr>
        <w:t>（企业名称）</w:t>
      </w:r>
      <w:r>
        <w:rPr>
          <w:rFonts w:hint="eastAsia" w:ascii="仿宋_GB2312" w:hAnsi="仿宋" w:cs="仿宋"/>
          <w:color w:val="000000" w:themeColor="text1"/>
          <w:spacing w:val="-3"/>
          <w14:textFill>
            <w14:solidFill>
              <w14:schemeClr w14:val="tx1"/>
            </w14:solidFill>
          </w14:textFill>
        </w:rPr>
        <w:t>，从业人员人，营业收入为万元，资产总额为万</w:t>
      </w:r>
      <w:r>
        <w:rPr>
          <w:rFonts w:hint="eastAsia" w:ascii="仿宋_GB2312" w:hAnsi="仿宋" w:cs="仿宋"/>
          <w:color w:val="000000" w:themeColor="text1"/>
          <w:spacing w:val="2"/>
          <w:w w:val="99"/>
          <w14:textFill>
            <w14:solidFill>
              <w14:schemeClr w14:val="tx1"/>
            </w14:solidFill>
          </w14:textFill>
        </w:rPr>
        <w:t>元</w:t>
      </w:r>
      <w:r>
        <w:rPr>
          <w:rFonts w:hint="eastAsia" w:ascii="仿宋_GB2312" w:hAnsi="仿宋" w:cs="仿宋"/>
          <w:color w:val="000000" w:themeColor="text1"/>
          <w:spacing w:val="2"/>
          <w:w w:val="99"/>
          <w:vertAlign w:val="superscript"/>
          <w14:textFill>
            <w14:solidFill>
              <w14:schemeClr w14:val="tx1"/>
            </w14:solidFill>
          </w14:textFill>
        </w:rPr>
        <w:t>1</w:t>
      </w:r>
      <w:r>
        <w:rPr>
          <w:rFonts w:hint="eastAsia" w:ascii="仿宋_GB2312" w:hAnsi="仿宋" w:cs="仿宋"/>
          <w:color w:val="000000" w:themeColor="text1"/>
          <w:spacing w:val="2"/>
          <w:w w:val="99"/>
          <w14:textFill>
            <w14:solidFill>
              <w14:schemeClr w14:val="tx1"/>
            </w14:solidFill>
          </w14:textFill>
        </w:rPr>
        <w:t>,属于</w:t>
      </w:r>
      <w:r>
        <w:rPr>
          <w:rFonts w:hint="eastAsia" w:ascii="仿宋_GB2312" w:hAnsi="仿宋" w:cs="仿宋"/>
          <w:color w:val="000000" w:themeColor="text1"/>
          <w:spacing w:val="2"/>
          <w:w w:val="99"/>
          <w:u w:val="single"/>
          <w14:textFill>
            <w14:solidFill>
              <w14:schemeClr w14:val="tx1"/>
            </w14:solidFill>
          </w14:textFill>
        </w:rPr>
        <w:t>（中型企业、小型企业、微型企业）</w:t>
      </w:r>
      <w:r>
        <w:rPr>
          <w:rFonts w:hint="eastAsia" w:ascii="仿宋_GB2312" w:hAnsi="仿宋" w:cs="仿宋"/>
          <w:color w:val="000000" w:themeColor="text1"/>
          <w:spacing w:val="2"/>
          <w:w w:val="99"/>
          <w14:textFill>
            <w14:solidFill>
              <w14:schemeClr w14:val="tx1"/>
            </w14:solidFill>
          </w14:textFill>
        </w:rPr>
        <w:t>；</w:t>
      </w:r>
    </w:p>
    <w:p w14:paraId="19F8325F">
      <w:pPr>
        <w:pStyle w:val="19"/>
        <w:autoSpaceDE w:val="0"/>
        <w:autoSpaceDN w:val="0"/>
        <w:spacing w:before="14" w:line="520" w:lineRule="exact"/>
        <w:ind w:right="415" w:firstLine="468"/>
        <w:rPr>
          <w:rFonts w:ascii="仿宋_GB2312" w:hAnsi="仿宋" w:cs="仿宋"/>
          <w:color w:val="000000" w:themeColor="text1"/>
          <w14:textFill>
            <w14:solidFill>
              <w14:schemeClr w14:val="tx1"/>
            </w14:solidFill>
          </w14:textFill>
        </w:rPr>
      </w:pPr>
      <w:r>
        <w:rPr>
          <w:rFonts w:hint="eastAsia" w:ascii="仿宋_GB2312" w:hAnsi="仿宋" w:cs="仿宋"/>
          <w:color w:val="000000" w:themeColor="text1"/>
          <w:spacing w:val="-3"/>
          <w:u w:val="single"/>
          <w14:textFill>
            <w14:solidFill>
              <w14:schemeClr w14:val="tx1"/>
            </w14:solidFill>
          </w14:textFill>
        </w:rPr>
        <w:t>2.（标的名称）</w:t>
      </w:r>
      <w:r>
        <w:rPr>
          <w:rFonts w:hint="eastAsia" w:ascii="仿宋_GB2312" w:hAnsi="仿宋" w:cs="仿宋"/>
          <w:color w:val="000000" w:themeColor="text1"/>
          <w:spacing w:val="-3"/>
          <w14:textFill>
            <w14:solidFill>
              <w14:schemeClr w14:val="tx1"/>
            </w14:solidFill>
          </w14:textFill>
        </w:rPr>
        <w:t>，属于</w:t>
      </w:r>
      <w:r>
        <w:rPr>
          <w:rFonts w:hint="eastAsia" w:ascii="仿宋_GB2312" w:hAnsi="仿宋" w:cs="仿宋"/>
          <w:color w:val="000000" w:themeColor="text1"/>
          <w:spacing w:val="-3"/>
          <w:u w:val="single"/>
          <w14:textFill>
            <w14:solidFill>
              <w14:schemeClr w14:val="tx1"/>
            </w14:solidFill>
          </w14:textFill>
        </w:rPr>
        <w:t>（采购文件中明确的所属行业）</w:t>
      </w:r>
      <w:r>
        <w:rPr>
          <w:rFonts w:hint="eastAsia" w:ascii="仿宋_GB2312" w:hAnsi="仿宋" w:cs="仿宋"/>
          <w:color w:val="000000" w:themeColor="text1"/>
          <w:spacing w:val="-3"/>
          <w14:textFill>
            <w14:solidFill>
              <w14:schemeClr w14:val="tx1"/>
            </w14:solidFill>
          </w14:textFill>
        </w:rPr>
        <w:t>；承建企业为</w:t>
      </w:r>
      <w:r>
        <w:rPr>
          <w:rFonts w:hint="eastAsia" w:ascii="仿宋_GB2312" w:hAnsi="仿宋" w:cs="仿宋"/>
          <w:color w:val="000000" w:themeColor="text1"/>
          <w:spacing w:val="-3"/>
          <w:u w:val="single"/>
          <w14:textFill>
            <w14:solidFill>
              <w14:schemeClr w14:val="tx1"/>
            </w14:solidFill>
          </w14:textFill>
        </w:rPr>
        <w:t>（企业名称）</w:t>
      </w:r>
      <w:r>
        <w:rPr>
          <w:rFonts w:hint="eastAsia" w:ascii="仿宋_GB2312" w:hAnsi="仿宋" w:cs="仿宋"/>
          <w:color w:val="000000" w:themeColor="text1"/>
          <w:spacing w:val="-3"/>
          <w14:textFill>
            <w14:solidFill>
              <w14:schemeClr w14:val="tx1"/>
            </w14:solidFill>
          </w14:textFill>
        </w:rPr>
        <w:t>，从业人员人，营业收入为万元，资产总额为万</w:t>
      </w:r>
      <w:r>
        <w:rPr>
          <w:rFonts w:hint="eastAsia" w:ascii="仿宋_GB2312" w:hAnsi="仿宋" w:cs="仿宋"/>
          <w:color w:val="000000" w:themeColor="text1"/>
          <w:spacing w:val="2"/>
          <w:w w:val="99"/>
          <w14:textFill>
            <w14:solidFill>
              <w14:schemeClr w14:val="tx1"/>
            </w14:solidFill>
          </w14:textFill>
        </w:rPr>
        <w:t>元</w:t>
      </w:r>
      <w:r>
        <w:rPr>
          <w:rFonts w:hint="eastAsia" w:ascii="仿宋_GB2312" w:hAnsi="仿宋" w:cs="仿宋"/>
          <w:color w:val="000000" w:themeColor="text1"/>
          <w:spacing w:val="2"/>
          <w:w w:val="99"/>
          <w:vertAlign w:val="superscript"/>
          <w14:textFill>
            <w14:solidFill>
              <w14:schemeClr w14:val="tx1"/>
            </w14:solidFill>
          </w14:textFill>
        </w:rPr>
        <w:t>1</w:t>
      </w:r>
      <w:r>
        <w:rPr>
          <w:rFonts w:hint="eastAsia" w:ascii="仿宋_GB2312" w:hAnsi="仿宋" w:cs="仿宋"/>
          <w:color w:val="000000" w:themeColor="text1"/>
          <w:spacing w:val="2"/>
          <w:w w:val="99"/>
          <w14:textFill>
            <w14:solidFill>
              <w14:schemeClr w14:val="tx1"/>
            </w14:solidFill>
          </w14:textFill>
        </w:rPr>
        <w:t>,属于</w:t>
      </w:r>
      <w:r>
        <w:rPr>
          <w:rFonts w:hint="eastAsia" w:ascii="仿宋_GB2312" w:hAnsi="仿宋" w:cs="仿宋"/>
          <w:color w:val="000000" w:themeColor="text1"/>
          <w:spacing w:val="2"/>
          <w:w w:val="99"/>
          <w:u w:val="single"/>
          <w14:textFill>
            <w14:solidFill>
              <w14:schemeClr w14:val="tx1"/>
            </w14:solidFill>
          </w14:textFill>
        </w:rPr>
        <w:t>（中型企业、小型企业、微型企业）</w:t>
      </w:r>
      <w:r>
        <w:rPr>
          <w:rFonts w:hint="eastAsia" w:ascii="仿宋_GB2312" w:hAnsi="仿宋" w:cs="仿宋"/>
          <w:color w:val="000000" w:themeColor="text1"/>
          <w:spacing w:val="2"/>
          <w:w w:val="99"/>
          <w14:textFill>
            <w14:solidFill>
              <w14:schemeClr w14:val="tx1"/>
            </w14:solidFill>
          </w14:textFill>
        </w:rPr>
        <w:t>；</w:t>
      </w:r>
    </w:p>
    <w:p w14:paraId="0755AC6E">
      <w:pPr>
        <w:pStyle w:val="19"/>
        <w:autoSpaceDE w:val="0"/>
        <w:autoSpaceDN w:val="0"/>
        <w:spacing w:before="30" w:line="520" w:lineRule="exact"/>
        <w:ind w:left="560" w:leftChars="200" w:right="417" w:firstLine="468"/>
        <w:rPr>
          <w:rFonts w:ascii="仿宋_GB2312" w:hAnsi="仿宋" w:cs="仿宋"/>
          <w:color w:val="000000" w:themeColor="text1"/>
          <w:spacing w:val="-3"/>
          <w14:textFill>
            <w14:solidFill>
              <w14:schemeClr w14:val="tx1"/>
            </w14:solidFill>
          </w14:textFill>
        </w:rPr>
      </w:pPr>
      <w:r>
        <w:rPr>
          <w:rFonts w:hint="eastAsia" w:ascii="仿宋_GB2312" w:hAnsi="仿宋" w:cs="仿宋"/>
          <w:color w:val="000000" w:themeColor="text1"/>
          <w:spacing w:val="-3"/>
          <w14:textFill>
            <w14:solidFill>
              <w14:schemeClr w14:val="tx1"/>
            </w14:solidFill>
          </w14:textFill>
        </w:rPr>
        <w:t>……</w:t>
      </w:r>
    </w:p>
    <w:p w14:paraId="6353ECD3">
      <w:pPr>
        <w:pStyle w:val="19"/>
        <w:autoSpaceDE w:val="0"/>
        <w:autoSpaceDN w:val="0"/>
        <w:spacing w:before="30" w:line="520" w:lineRule="exact"/>
        <w:ind w:left="560" w:leftChars="200" w:right="417" w:firstLine="468"/>
        <w:rPr>
          <w:rFonts w:ascii="仿宋_GB2312" w:hAnsi="仿宋" w:cs="仿宋"/>
          <w:color w:val="000000" w:themeColor="text1"/>
          <w14:textFill>
            <w14:solidFill>
              <w14:schemeClr w14:val="tx1"/>
            </w14:solidFill>
          </w14:textFill>
        </w:rPr>
      </w:pPr>
      <w:r>
        <w:rPr>
          <w:rFonts w:hint="eastAsia" w:ascii="仿宋_GB2312" w:hAnsi="仿宋" w:cs="仿宋"/>
          <w:color w:val="000000" w:themeColor="text1"/>
          <w:spacing w:val="-3"/>
          <w14:textFill>
            <w14:solidFill>
              <w14:schemeClr w14:val="tx1"/>
            </w14:solidFill>
          </w14:textFill>
        </w:rPr>
        <w:t>以上企业，不属于大企业的分支机构，不存在控股股东</w:t>
      </w:r>
      <w:r>
        <w:rPr>
          <w:rFonts w:hint="eastAsia" w:ascii="仿宋_GB2312" w:hAnsi="仿宋" w:cs="仿宋"/>
          <w:color w:val="000000" w:themeColor="text1"/>
          <w:spacing w:val="-5"/>
          <w14:textFill>
            <w14:solidFill>
              <w14:schemeClr w14:val="tx1"/>
            </w14:solidFill>
          </w14:textFill>
        </w:rPr>
        <w:t>为大企业的情形，也不存在与大企业的负责人为同一人的情形。</w:t>
      </w:r>
    </w:p>
    <w:p w14:paraId="63016819">
      <w:pPr>
        <w:pStyle w:val="19"/>
        <w:autoSpaceDE w:val="0"/>
        <w:autoSpaceDN w:val="0"/>
        <w:spacing w:line="520" w:lineRule="exact"/>
        <w:ind w:right="372" w:firstLine="480"/>
        <w:rPr>
          <w:rFonts w:ascii="仿宋_GB2312" w:hAnsi="仿宋" w:cs="仿宋"/>
          <w:color w:val="000000" w:themeColor="text1"/>
          <w14:textFill>
            <w14:solidFill>
              <w14:schemeClr w14:val="tx1"/>
            </w14:solidFill>
          </w14:textFill>
        </w:rPr>
      </w:pPr>
      <w:r>
        <w:rPr>
          <w:rFonts w:hint="eastAsia" w:ascii="仿宋_GB2312" w:hAnsi="仿宋" w:cs="仿宋"/>
          <w:color w:val="000000" w:themeColor="text1"/>
          <w14:textFill>
            <w14:solidFill>
              <w14:schemeClr w14:val="tx1"/>
            </w14:solidFill>
          </w14:textFill>
        </w:rPr>
        <w:t>本企业对上述声明内容的真实性负责。如有虚假，将依法承担相应责任。</w:t>
      </w:r>
    </w:p>
    <w:p w14:paraId="2AF5024C">
      <w:pPr>
        <w:pStyle w:val="19"/>
        <w:autoSpaceDE w:val="0"/>
        <w:autoSpaceDN w:val="0"/>
        <w:spacing w:before="14" w:line="520" w:lineRule="exact"/>
        <w:ind w:right="415" w:firstLine="3081" w:firstLineChars="1300"/>
        <w:rPr>
          <w:rFonts w:ascii="仿宋_GB2312" w:hAnsi="仿宋" w:cs="仿宋"/>
          <w:color w:val="000000" w:themeColor="text1"/>
          <w:spacing w:val="-8"/>
          <w:w w:val="99"/>
          <w14:textFill>
            <w14:solidFill>
              <w14:schemeClr w14:val="tx1"/>
            </w14:solidFill>
          </w14:textFill>
        </w:rPr>
      </w:pPr>
      <w:r>
        <w:rPr>
          <w:rFonts w:hint="eastAsia" w:ascii="仿宋_GB2312" w:hAnsi="仿宋" w:cs="仿宋"/>
          <w:color w:val="000000" w:themeColor="text1"/>
          <w:w w:val="99"/>
          <w14:textFill>
            <w14:solidFill>
              <w14:schemeClr w14:val="tx1"/>
            </w14:solidFill>
          </w14:textFill>
        </w:rPr>
        <w:t>企业名称</w:t>
      </w:r>
      <w:r>
        <w:rPr>
          <w:rFonts w:hint="eastAsia" w:ascii="仿宋_GB2312" w:hAnsi="仿宋" w:cs="仿宋"/>
          <w:color w:val="000000" w:themeColor="text1"/>
          <w:spacing w:val="2"/>
          <w:w w:val="99"/>
          <w14:textFill>
            <w14:solidFill>
              <w14:schemeClr w14:val="tx1"/>
            </w14:solidFill>
          </w14:textFill>
        </w:rPr>
        <w:t>（</w:t>
      </w:r>
      <w:r>
        <w:rPr>
          <w:rFonts w:hint="eastAsia" w:ascii="仿宋_GB2312" w:hAnsi="仿宋" w:cs="仿宋"/>
          <w:color w:val="000000" w:themeColor="text1"/>
          <w:w w:val="99"/>
          <w14:textFill>
            <w14:solidFill>
              <w14:schemeClr w14:val="tx1"/>
            </w14:solidFill>
          </w14:textFill>
        </w:rPr>
        <w:t>盖章）：</w:t>
      </w:r>
    </w:p>
    <w:p w14:paraId="73F9F349">
      <w:pPr>
        <w:pStyle w:val="19"/>
        <w:autoSpaceDE w:val="0"/>
        <w:autoSpaceDN w:val="0"/>
        <w:spacing w:before="14" w:line="520" w:lineRule="exact"/>
        <w:ind w:right="415" w:firstLine="3168" w:firstLineChars="1100"/>
        <w:rPr>
          <w:rFonts w:ascii="仿宋_GB2312" w:hAnsi="仿宋" w:cs="仿宋"/>
          <w:color w:val="000000" w:themeColor="text1"/>
          <w:spacing w:val="24"/>
          <w14:textFill>
            <w14:solidFill>
              <w14:schemeClr w14:val="tx1"/>
            </w14:solidFill>
          </w14:textFill>
        </w:rPr>
      </w:pPr>
      <w:r>
        <w:rPr>
          <w:rFonts w:hint="eastAsia" w:ascii="仿宋_GB2312" w:hAnsi="仿宋" w:cs="仿宋"/>
          <w:color w:val="000000" w:themeColor="text1"/>
          <w:spacing w:val="24"/>
          <w14:textFill>
            <w14:solidFill>
              <w14:schemeClr w14:val="tx1"/>
            </w14:solidFill>
          </w14:textFill>
        </w:rPr>
        <w:t>日期：</w:t>
      </w:r>
    </w:p>
    <w:p w14:paraId="14A6BCA2">
      <w:pPr>
        <w:pStyle w:val="19"/>
        <w:autoSpaceDE w:val="0"/>
        <w:autoSpaceDN w:val="0"/>
        <w:spacing w:before="14" w:line="520" w:lineRule="exact"/>
        <w:ind w:right="415" w:firstLine="2640" w:firstLineChars="1100"/>
        <w:rPr>
          <w:rFonts w:ascii="仿宋_GB2312" w:hAnsi="仿宋" w:cs="仿宋"/>
          <w:color w:val="000000" w:themeColor="text1"/>
          <w14:textFill>
            <w14:solidFill>
              <w14:schemeClr w14:val="tx1"/>
            </w14:solidFill>
          </w14:textFill>
        </w:rPr>
      </w:pPr>
    </w:p>
    <w:p w14:paraId="7F899EB7">
      <w:pPr>
        <w:pStyle w:val="31"/>
        <w:ind w:firstLine="562"/>
        <w:rPr>
          <w:b/>
          <w:color w:val="000000" w:themeColor="text1"/>
          <w:sz w:val="22"/>
          <w14:textFill>
            <w14:solidFill>
              <w14:schemeClr w14:val="tx1"/>
            </w14:solidFill>
          </w14:textFill>
        </w:rPr>
      </w:pPr>
      <w:r>
        <w:rPr>
          <w:rStyle w:val="76"/>
          <w:color w:val="000000" w:themeColor="text1"/>
          <w14:textFill>
            <w14:solidFill>
              <w14:schemeClr w14:val="tx1"/>
            </w14:solidFill>
          </w14:textFill>
        </w:rPr>
        <w:t>1.</w:t>
      </w:r>
      <w:r>
        <w:rPr>
          <w:rFonts w:hint="eastAsia"/>
          <w:b/>
          <w:color w:val="000000" w:themeColor="text1"/>
          <w:sz w:val="22"/>
          <w14:textFill>
            <w14:solidFill>
              <w14:schemeClr w14:val="tx1"/>
            </w14:solidFill>
          </w14:textFill>
        </w:rPr>
        <w:t>从业人员、营业收入、资产总额填报上一年度数据，无上一年度数据的新成立企业可不填报。</w:t>
      </w:r>
    </w:p>
    <w:p w14:paraId="294715FC">
      <w:pPr>
        <w:ind w:firstLine="602"/>
        <w:jc w:val="right"/>
        <w:rPr>
          <w:rFonts w:ascii="仿宋_GB2312" w:hAnsi="宋体"/>
          <w:b/>
          <w:bCs/>
          <w:color w:val="000000" w:themeColor="text1"/>
          <w:sz w:val="30"/>
          <w:szCs w:val="30"/>
          <w14:textFill>
            <w14:solidFill>
              <w14:schemeClr w14:val="tx1"/>
            </w14:solidFill>
          </w14:textFill>
        </w:rPr>
      </w:pPr>
    </w:p>
    <w:p w14:paraId="3D63028F">
      <w:pPr>
        <w:ind w:firstLine="640"/>
        <w:jc w:val="right"/>
        <w:rPr>
          <w:rFonts w:ascii="黑体" w:hAnsi="黑体" w:eastAsia="黑体"/>
          <w:color w:val="000000" w:themeColor="text1"/>
          <w:sz w:val="32"/>
          <w:szCs w:val="32"/>
          <w14:textFill>
            <w14:solidFill>
              <w14:schemeClr w14:val="tx1"/>
            </w14:solidFill>
          </w14:textFill>
        </w:rPr>
      </w:pPr>
      <w:r>
        <w:rPr>
          <w:rFonts w:ascii="仿宋_GB2312" w:hAnsi="仿宋"/>
          <w:color w:val="000000" w:themeColor="text1"/>
          <w:sz w:val="32"/>
          <w:szCs w:val="32"/>
          <w14:textFill>
            <w14:solidFill>
              <w14:schemeClr w14:val="tx1"/>
            </w14:solidFill>
          </w14:textFill>
        </w:rPr>
        <w:br w:type="page"/>
      </w:r>
      <w:r>
        <w:rPr>
          <w:rFonts w:hint="eastAsia" w:ascii="仿宋_GB2312" w:hAnsi="宋体"/>
          <w:color w:val="000000" w:themeColor="text1"/>
          <w:sz w:val="22"/>
          <w:szCs w:val="28"/>
          <w14:textFill>
            <w14:solidFill>
              <w14:schemeClr w14:val="tx1"/>
            </w14:solidFill>
          </w14:textFill>
        </w:rPr>
        <w:t>如中标（成交），随中标（成交）公告公示</w:t>
      </w:r>
    </w:p>
    <w:p w14:paraId="11A2DB73">
      <w:pPr>
        <w:ind w:firstLine="640"/>
        <w:jc w:val="center"/>
        <w:rPr>
          <w:rFonts w:ascii="黑体" w:hAnsi="黑体" w:eastAsia="黑体"/>
          <w:color w:val="000000" w:themeColor="text1"/>
          <w:sz w:val="32"/>
          <w:szCs w:val="32"/>
          <w14:textFill>
            <w14:solidFill>
              <w14:schemeClr w14:val="tx1"/>
            </w14:solidFill>
          </w14:textFill>
        </w:rPr>
      </w:pPr>
    </w:p>
    <w:p w14:paraId="087B73B0">
      <w:pPr>
        <w:ind w:firstLine="640"/>
        <w:jc w:val="center"/>
        <w:rPr>
          <w:rFonts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残疾人福利性单位声明函</w:t>
      </w:r>
    </w:p>
    <w:p w14:paraId="0D3B826B">
      <w:pPr>
        <w:ind w:firstLine="640"/>
        <w:rPr>
          <w:rFonts w:ascii="仿宋_GB2312" w:hAnsi="仿宋"/>
          <w:color w:val="000000" w:themeColor="text1"/>
          <w:sz w:val="32"/>
          <w:szCs w:val="32"/>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本单位郑重声明，根据《财政部 民政部 中国残疾人联合会关于促进残疾人就业政府采购政策的通知》（财库〔2017〕 141号）的规定，本单位为符合条件的残疾人福利性单位，且本单位参加__单位的__项目采购活动提供本单位制造的货物（由本单位承担工程/提供服务），或者提供其他残疾人福利性单位制造的货物（不包括使用非残疾人福利性单位注册商标的货物）。</w:t>
      </w:r>
    </w:p>
    <w:p w14:paraId="7EFD6B4F">
      <w:pPr>
        <w:ind w:firstLine="640"/>
        <w:rPr>
          <w:rFonts w:ascii="仿宋_GB2312" w:hAnsi="仿宋"/>
          <w:color w:val="000000" w:themeColor="text1"/>
          <w:sz w:val="32"/>
          <w:szCs w:val="32"/>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本单位对上述声明的真实性负责。如有虚假，将依法承担相应责任。</w:t>
      </w:r>
    </w:p>
    <w:p w14:paraId="76FA6D9B">
      <w:pPr>
        <w:ind w:firstLine="640"/>
        <w:rPr>
          <w:rFonts w:ascii="仿宋_GB2312" w:hAnsi="仿宋"/>
          <w:color w:val="000000" w:themeColor="text1"/>
          <w:sz w:val="32"/>
          <w:szCs w:val="32"/>
          <w14:textFill>
            <w14:solidFill>
              <w14:schemeClr w14:val="tx1"/>
            </w14:solidFill>
          </w14:textFill>
        </w:rPr>
      </w:pPr>
    </w:p>
    <w:p w14:paraId="3101DC78">
      <w:pPr>
        <w:ind w:firstLine="664"/>
        <w:rPr>
          <w:rFonts w:ascii="仿宋_GB2312"/>
          <w:color w:val="000000" w:themeColor="text1"/>
          <w:spacing w:val="6"/>
          <w:sz w:val="32"/>
          <w:szCs w:val="32"/>
          <w14:textFill>
            <w14:solidFill>
              <w14:schemeClr w14:val="tx1"/>
            </w14:solidFill>
          </w14:textFill>
        </w:rPr>
      </w:pPr>
    </w:p>
    <w:p w14:paraId="090B6EB9">
      <w:pPr>
        <w:ind w:firstLine="640"/>
        <w:jc w:val="right"/>
        <w:rPr>
          <w:rFonts w:ascii="仿宋_GB2312" w:hAnsi="仿宋" w:cs="Arial"/>
          <w:color w:val="000000" w:themeColor="text1"/>
          <w:sz w:val="32"/>
          <w:szCs w:val="32"/>
          <w14:textFill>
            <w14:solidFill>
              <w14:schemeClr w14:val="tx1"/>
            </w14:solidFill>
          </w14:textFill>
        </w:rPr>
      </w:pPr>
      <w:r>
        <w:rPr>
          <w:rFonts w:hint="eastAsia" w:ascii="仿宋_GB2312" w:hAnsi="仿宋" w:cs="Arial"/>
          <w:color w:val="000000" w:themeColor="text1"/>
          <w:sz w:val="32"/>
          <w:szCs w:val="32"/>
          <w14:textFill>
            <w14:solidFill>
              <w14:schemeClr w14:val="tx1"/>
            </w14:solidFill>
          </w14:textFill>
        </w:rPr>
        <w:t>企业名称（盖章）：</w:t>
      </w:r>
    </w:p>
    <w:p w14:paraId="761992A6">
      <w:pPr>
        <w:ind w:firstLine="640"/>
        <w:jc w:val="right"/>
        <w:rPr>
          <w:rFonts w:ascii="仿宋_GB2312" w:hAnsi="仿宋" w:cs="Arial"/>
          <w:color w:val="000000" w:themeColor="text1"/>
          <w:sz w:val="32"/>
          <w:szCs w:val="32"/>
          <w14:textFill>
            <w14:solidFill>
              <w14:schemeClr w14:val="tx1"/>
            </w14:solidFill>
          </w14:textFill>
        </w:rPr>
      </w:pPr>
      <w:r>
        <w:rPr>
          <w:rFonts w:hint="eastAsia" w:ascii="仿宋_GB2312" w:hAnsi="仿宋" w:cs="Arial"/>
          <w:color w:val="000000" w:themeColor="text1"/>
          <w:sz w:val="32"/>
          <w:szCs w:val="32"/>
          <w14:textFill>
            <w14:solidFill>
              <w14:schemeClr w14:val="tx1"/>
            </w14:solidFill>
          </w14:textFill>
        </w:rPr>
        <w:t>日   期：</w:t>
      </w:r>
    </w:p>
    <w:p w14:paraId="653BEA62">
      <w:pPr>
        <w:keepNext/>
        <w:keepLines/>
        <w:spacing w:before="120" w:after="120" w:line="560" w:lineRule="exact"/>
        <w:ind w:firstLine="560"/>
        <w:jc w:val="center"/>
        <w:outlineLvl w:val="2"/>
        <w:rPr>
          <w:rFonts w:eastAsia="黑体"/>
          <w:color w:val="000000" w:themeColor="text1"/>
          <w:sz w:val="32"/>
          <w:szCs w:val="32"/>
          <w14:textFill>
            <w14:solidFill>
              <w14:schemeClr w14:val="tx1"/>
            </w14:solidFill>
          </w14:textFill>
        </w:rPr>
      </w:pPr>
      <w:r>
        <w:rPr>
          <w:rFonts w:ascii="宋体" w:hAnsi="宋体" w:eastAsia="黑体"/>
          <w:bCs/>
          <w:color w:val="000000" w:themeColor="text1"/>
          <w:kern w:val="0"/>
          <w:szCs w:val="28"/>
          <w14:textFill>
            <w14:solidFill>
              <w14:schemeClr w14:val="tx1"/>
            </w14:solidFill>
          </w14:textFill>
        </w:rPr>
        <w:br w:type="page"/>
      </w:r>
    </w:p>
    <w:p w14:paraId="62A9D272">
      <w:pPr>
        <w:ind w:firstLine="640"/>
        <w:jc w:val="center"/>
        <w:rPr>
          <w:rFonts w:eastAsia="黑体"/>
          <w:color w:val="000000" w:themeColor="text1"/>
          <w:sz w:val="32"/>
          <w:szCs w:val="32"/>
          <w14:textFill>
            <w14:solidFill>
              <w14:schemeClr w14:val="tx1"/>
            </w14:solidFill>
          </w14:textFill>
        </w:rPr>
      </w:pPr>
      <w:r>
        <w:rPr>
          <w:rFonts w:hint="eastAsia" w:eastAsia="黑体"/>
          <w:color w:val="000000" w:themeColor="text1"/>
          <w:sz w:val="32"/>
          <w:szCs w:val="32"/>
          <w14:textFill>
            <w14:solidFill>
              <w14:schemeClr w14:val="tx1"/>
            </w14:solidFill>
          </w14:textFill>
        </w:rPr>
        <w:t>供应商认为需要提供的资质资格证明文件（如有）</w:t>
      </w:r>
    </w:p>
    <w:p w14:paraId="3AB037DA">
      <w:pPr>
        <w:ind w:firstLine="560"/>
        <w:jc w:val="center"/>
        <w:rPr>
          <w:rFonts w:ascii="仿宋_GB2312"/>
          <w:color w:val="000000" w:themeColor="text1"/>
          <w:szCs w:val="28"/>
          <w14:textFill>
            <w14:solidFill>
              <w14:schemeClr w14:val="tx1"/>
            </w14:solidFill>
          </w14:textFill>
        </w:rPr>
      </w:pPr>
      <w:r>
        <w:rPr>
          <w:rFonts w:hint="eastAsia" w:ascii="仿宋_GB2312"/>
          <w:color w:val="000000" w:themeColor="text1"/>
          <w:szCs w:val="28"/>
          <w14:textFill>
            <w14:solidFill>
              <w14:schemeClr w14:val="tx1"/>
            </w14:solidFill>
          </w14:textFill>
        </w:rPr>
        <w:t>（加盖供应商公章）</w:t>
      </w:r>
    </w:p>
    <w:p w14:paraId="65FB27F2">
      <w:pPr>
        <w:widowControl/>
        <w:spacing w:line="240" w:lineRule="auto"/>
        <w:ind w:firstLine="0" w:firstLineChars="0"/>
        <w:jc w:val="left"/>
        <w:rPr>
          <w:rFonts w:eastAsia="黑体"/>
          <w:bCs/>
          <w:color w:val="000000" w:themeColor="text1"/>
          <w:sz w:val="32"/>
          <w:szCs w:val="32"/>
          <w14:textFill>
            <w14:solidFill>
              <w14:schemeClr w14:val="tx1"/>
            </w14:solidFill>
          </w14:textFill>
        </w:rPr>
      </w:pPr>
      <w:r>
        <w:rPr>
          <w:rFonts w:eastAsia="黑体"/>
          <w:bCs/>
          <w:color w:val="000000" w:themeColor="text1"/>
          <w:sz w:val="32"/>
          <w:szCs w:val="32"/>
          <w14:textFill>
            <w14:solidFill>
              <w14:schemeClr w14:val="tx1"/>
            </w14:solidFill>
          </w14:textFill>
        </w:rPr>
        <w:br w:type="page"/>
      </w:r>
    </w:p>
    <w:p w14:paraId="3660A069">
      <w:pPr>
        <w:ind w:firstLine="880"/>
        <w:jc w:val="center"/>
        <w:rPr>
          <w:color w:val="000000" w:themeColor="text1"/>
          <w14:textFill>
            <w14:solidFill>
              <w14:schemeClr w14:val="tx1"/>
            </w14:solidFill>
          </w14:textFill>
        </w:rPr>
      </w:pPr>
      <w:r>
        <w:rPr>
          <w:rFonts w:hint="eastAsia" w:ascii="黑体" w:hAnsi="黑体" w:eastAsia="黑体"/>
          <w:color w:val="000000" w:themeColor="text1"/>
          <w:sz w:val="44"/>
          <w:szCs w:val="44"/>
          <w14:textFill>
            <w14:solidFill>
              <w14:schemeClr w14:val="tx1"/>
            </w14:solidFill>
          </w14:textFill>
        </w:rPr>
        <w:t>商务文件</w:t>
      </w:r>
      <w:r>
        <w:rPr>
          <w:rFonts w:hint="eastAsia"/>
          <w:color w:val="000000" w:themeColor="text1"/>
          <w14:textFill>
            <w14:solidFill>
              <w14:schemeClr w14:val="tx1"/>
            </w14:solidFill>
          </w14:textFill>
        </w:rPr>
        <w:t xml:space="preserve">                            </w:t>
      </w:r>
    </w:p>
    <w:p w14:paraId="0F4CEFF2">
      <w:pPr>
        <w:ind w:firstLine="640"/>
        <w:jc w:val="center"/>
        <w:rPr>
          <w:color w:val="000000" w:themeColor="text1"/>
          <w:sz w:val="32"/>
          <w:szCs w:val="32"/>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工程量清单</w:t>
      </w:r>
    </w:p>
    <w:p w14:paraId="0C58F60A">
      <w:pPr>
        <w:keepNext/>
        <w:keepLines/>
        <w:spacing w:before="120" w:after="120" w:line="560" w:lineRule="exact"/>
        <w:ind w:firstLine="602"/>
        <w:jc w:val="center"/>
        <w:outlineLvl w:val="2"/>
        <w:rPr>
          <w:rFonts w:eastAsia="黑体"/>
          <w:bCs/>
          <w:color w:val="000000" w:themeColor="text1"/>
          <w:sz w:val="32"/>
          <w:szCs w:val="32"/>
          <w14:textFill>
            <w14:solidFill>
              <w14:schemeClr w14:val="tx1"/>
            </w14:solidFill>
          </w14:textFill>
        </w:rPr>
      </w:pPr>
      <w:r>
        <w:rPr>
          <w:rFonts w:ascii="仿宋_GB2312"/>
          <w:b/>
          <w:color w:val="000000" w:themeColor="text1"/>
          <w:sz w:val="30"/>
          <w:szCs w:val="30"/>
          <w14:textFill>
            <w14:solidFill>
              <w14:schemeClr w14:val="tx1"/>
            </w14:solidFill>
          </w14:textFill>
        </w:rPr>
        <w:br w:type="page"/>
      </w:r>
      <w:r>
        <w:rPr>
          <w:rFonts w:hint="eastAsia" w:eastAsia="黑体"/>
          <w:bCs/>
          <w:color w:val="000000" w:themeColor="text1"/>
          <w:sz w:val="32"/>
          <w:szCs w:val="32"/>
          <w14:textFill>
            <w14:solidFill>
              <w14:schemeClr w14:val="tx1"/>
            </w14:solidFill>
          </w14:textFill>
        </w:rPr>
        <w:t>选派建造师委任书</w:t>
      </w:r>
    </w:p>
    <w:p w14:paraId="7E7E3464">
      <w:pPr>
        <w:spacing w:line="460" w:lineRule="atLeast"/>
        <w:ind w:firstLine="560"/>
        <w:rPr>
          <w:rFonts w:ascii="仿宋_GB2312" w:hAnsi="宋体" w:cs="宋体"/>
          <w:color w:val="000000" w:themeColor="text1"/>
          <w:szCs w:val="28"/>
          <w14:textFill>
            <w14:solidFill>
              <w14:schemeClr w14:val="tx1"/>
            </w14:solidFill>
          </w14:textFill>
        </w:rPr>
      </w:pPr>
      <w:r>
        <w:rPr>
          <w:rFonts w:hint="eastAsia" w:ascii="仿宋_GB2312" w:hAnsi="宋体" w:cs="宋体"/>
          <w:color w:val="000000" w:themeColor="text1"/>
          <w:szCs w:val="28"/>
          <w:u w:val="single"/>
          <w14:textFill>
            <w14:solidFill>
              <w14:schemeClr w14:val="tx1"/>
            </w14:solidFill>
          </w14:textFill>
        </w:rPr>
        <w:t xml:space="preserve"> </w:t>
      </w:r>
      <w:r>
        <w:rPr>
          <w:rFonts w:hint="eastAsia" w:ascii="仿宋_GB2312" w:hAnsi="宋体" w:cs="宋体"/>
          <w:color w:val="000000" w:themeColor="text1"/>
          <w:szCs w:val="28"/>
          <w:u w:val="single"/>
          <w:lang w:eastAsia="zh-CN"/>
          <w14:textFill>
            <w14:solidFill>
              <w14:schemeClr w14:val="tx1"/>
            </w14:solidFill>
          </w14:textFill>
        </w:rPr>
        <w:t>乳山市方识建设工程咨询有限公司</w:t>
      </w:r>
      <w:r>
        <w:rPr>
          <w:rFonts w:hint="eastAsia" w:ascii="仿宋_GB2312" w:hAnsi="宋体" w:cs="宋体"/>
          <w:color w:val="000000" w:themeColor="text1"/>
          <w:szCs w:val="28"/>
          <w14:textFill>
            <w14:solidFill>
              <w14:schemeClr w14:val="tx1"/>
            </w14:solidFill>
          </w14:textFill>
        </w:rPr>
        <w:t>：</w:t>
      </w:r>
    </w:p>
    <w:p w14:paraId="7E6B66D3">
      <w:pPr>
        <w:spacing w:line="460" w:lineRule="atLeast"/>
        <w:ind w:firstLine="560"/>
        <w:rPr>
          <w:rFonts w:ascii="仿宋_GB2312" w:hAnsi="宋体" w:cs="宋体"/>
          <w:color w:val="000000" w:themeColor="text1"/>
          <w:szCs w:val="28"/>
          <w14:textFill>
            <w14:solidFill>
              <w14:schemeClr w14:val="tx1"/>
            </w14:solidFill>
          </w14:textFill>
        </w:rPr>
      </w:pPr>
    </w:p>
    <w:p w14:paraId="2042C47D">
      <w:pPr>
        <w:spacing w:line="460" w:lineRule="atLeast"/>
        <w:ind w:firstLine="560"/>
        <w:rPr>
          <w:rFonts w:ascii="仿宋_GB2312" w:hAnsi="宋体" w:cs="宋体"/>
          <w:color w:val="000000" w:themeColor="text1"/>
          <w:szCs w:val="28"/>
          <w14:textFill>
            <w14:solidFill>
              <w14:schemeClr w14:val="tx1"/>
            </w14:solidFill>
          </w14:textFill>
        </w:rPr>
      </w:pPr>
      <w:r>
        <w:rPr>
          <w:rFonts w:hint="eastAsia" w:ascii="仿宋_GB2312" w:hAnsi="宋体" w:cs="宋体"/>
          <w:color w:val="000000" w:themeColor="text1"/>
          <w:szCs w:val="28"/>
          <w14:textFill>
            <w14:solidFill>
              <w14:schemeClr w14:val="tx1"/>
            </w14:solidFill>
          </w14:textFill>
        </w:rPr>
        <w:t>（投标人全称）的法定代表人同志，任本单位之职。</w:t>
      </w:r>
    </w:p>
    <w:p w14:paraId="77291A44">
      <w:pPr>
        <w:spacing w:line="460" w:lineRule="atLeast"/>
        <w:ind w:firstLine="560"/>
        <w:rPr>
          <w:rFonts w:ascii="仿宋_GB2312" w:hAnsi="宋体" w:cs="宋体"/>
          <w:color w:val="000000" w:themeColor="text1"/>
          <w:szCs w:val="28"/>
          <w14:textFill>
            <w14:solidFill>
              <w14:schemeClr w14:val="tx1"/>
            </w14:solidFill>
          </w14:textFill>
        </w:rPr>
      </w:pPr>
      <w:r>
        <w:rPr>
          <w:rFonts w:hint="eastAsia" w:ascii="仿宋_GB2312" w:hAnsi="宋体" w:cs="宋体"/>
          <w:color w:val="000000" w:themeColor="text1"/>
          <w:szCs w:val="28"/>
          <w14:textFill>
            <w14:solidFill>
              <w14:schemeClr w14:val="tx1"/>
            </w14:solidFill>
          </w14:textFill>
        </w:rPr>
        <w:t>现代表本单位委任同志为参加建设单位</w:t>
      </w:r>
      <w:r>
        <w:rPr>
          <w:rFonts w:ascii="仿宋_GB2312" w:hAnsi="宋体" w:cs="宋体"/>
          <w:color w:val="000000" w:themeColor="text1"/>
          <w:szCs w:val="28"/>
          <w:u w:val="single"/>
          <w14:textFill>
            <w14:solidFill>
              <w14:schemeClr w14:val="tx1"/>
            </w14:solidFill>
          </w14:textFill>
        </w:rPr>
        <w:t>乳山市水利事务服务中心</w:t>
      </w:r>
      <w:r>
        <w:rPr>
          <w:rFonts w:hint="eastAsia" w:ascii="仿宋_GB2312" w:hAnsi="宋体" w:cs="宋体"/>
          <w:color w:val="000000" w:themeColor="text1"/>
          <w:szCs w:val="28"/>
          <w14:textFill>
            <w14:solidFill>
              <w14:schemeClr w14:val="tx1"/>
            </w14:solidFill>
          </w14:textFill>
        </w:rPr>
        <w:t>建设的</w:t>
      </w:r>
      <w:r>
        <w:rPr>
          <w:rFonts w:ascii="仿宋_GB2312" w:hAnsi="宋体" w:cs="宋体"/>
          <w:color w:val="000000" w:themeColor="text1"/>
          <w:szCs w:val="28"/>
          <w:u w:val="single"/>
          <w14:textFill>
            <w14:solidFill>
              <w14:schemeClr w14:val="tx1"/>
            </w14:solidFill>
          </w14:textFill>
        </w:rPr>
        <w:t xml:space="preserve"> </w:t>
      </w:r>
      <w:r>
        <w:rPr>
          <w:rFonts w:hint="eastAsia" w:ascii="仿宋_GB2312" w:hAnsi="宋体" w:cs="宋体"/>
          <w:color w:val="000000" w:themeColor="text1"/>
          <w:szCs w:val="28"/>
          <w:u w:val="single"/>
          <w:lang w:eastAsia="zh-CN"/>
          <w14:textFill>
            <w14:solidFill>
              <w14:schemeClr w14:val="tx1"/>
            </w14:solidFill>
          </w14:textFill>
        </w:rPr>
        <w:t>乳山市2024年小型水库维修养护项目</w:t>
      </w:r>
      <w:r>
        <w:rPr>
          <w:rFonts w:hint="eastAsia" w:ascii="仿宋_GB2312" w:hAnsi="宋体" w:cs="宋体"/>
          <w:color w:val="000000" w:themeColor="text1"/>
          <w:szCs w:val="28"/>
          <w14:textFill>
            <w14:solidFill>
              <w14:schemeClr w14:val="tx1"/>
            </w14:solidFill>
          </w14:textFill>
        </w:rPr>
        <w:t xml:space="preserve">项目的建造师，该工程我单位若能中标，凡本工程执行中的有关技术、工程进度、现场管理、质量检验、结算与支付等方面的工作由其代表本单位全面负责。 </w:t>
      </w:r>
    </w:p>
    <w:p w14:paraId="6276BB1E">
      <w:pPr>
        <w:ind w:firstLine="980" w:firstLineChars="350"/>
        <w:rPr>
          <w:rFonts w:ascii="仿宋_GB2312" w:hAnsi="宋体" w:cs="宋体"/>
          <w:color w:val="000000" w:themeColor="text1"/>
          <w:szCs w:val="28"/>
          <w14:textFill>
            <w14:solidFill>
              <w14:schemeClr w14:val="tx1"/>
            </w14:solidFill>
          </w14:textFill>
        </w:rPr>
      </w:pPr>
    </w:p>
    <w:p w14:paraId="0CDFA4D3">
      <w:pPr>
        <w:ind w:firstLine="980" w:firstLineChars="350"/>
        <w:rPr>
          <w:rFonts w:ascii="仿宋_GB2312" w:hAnsi="宋体" w:cs="宋体"/>
          <w:color w:val="000000" w:themeColor="text1"/>
          <w:szCs w:val="28"/>
          <w14:textFill>
            <w14:solidFill>
              <w14:schemeClr w14:val="tx1"/>
            </w14:solidFill>
          </w14:textFill>
        </w:rPr>
      </w:pPr>
    </w:p>
    <w:p w14:paraId="5118E7BB">
      <w:pPr>
        <w:ind w:firstLine="980" w:firstLineChars="350"/>
        <w:rPr>
          <w:rFonts w:ascii="仿宋_GB2312" w:hAnsi="宋体" w:cs="宋体"/>
          <w:color w:val="000000" w:themeColor="text1"/>
          <w:szCs w:val="28"/>
          <w14:textFill>
            <w14:solidFill>
              <w14:schemeClr w14:val="tx1"/>
            </w14:solidFill>
          </w14:textFill>
        </w:rPr>
      </w:pPr>
    </w:p>
    <w:p w14:paraId="2ED4DEBE">
      <w:pPr>
        <w:ind w:firstLine="980" w:firstLineChars="350"/>
        <w:rPr>
          <w:rFonts w:ascii="仿宋_GB2312" w:hAnsi="宋体" w:cs="宋体"/>
          <w:color w:val="000000" w:themeColor="text1"/>
          <w:szCs w:val="28"/>
          <w14:textFill>
            <w14:solidFill>
              <w14:schemeClr w14:val="tx1"/>
            </w14:solidFill>
          </w14:textFill>
        </w:rPr>
      </w:pPr>
    </w:p>
    <w:p w14:paraId="0F85CD62">
      <w:pPr>
        <w:tabs>
          <w:tab w:val="left" w:pos="5580"/>
        </w:tabs>
        <w:wordWrap w:val="0"/>
        <w:ind w:firstLine="560"/>
        <w:jc w:val="right"/>
        <w:rPr>
          <w:rFonts w:ascii="仿宋_GB2312" w:hAnsi="宋体"/>
          <w:color w:val="000000" w:themeColor="text1"/>
          <w:kern w:val="0"/>
          <w:szCs w:val="28"/>
          <w14:textFill>
            <w14:solidFill>
              <w14:schemeClr w14:val="tx1"/>
            </w14:solidFill>
          </w14:textFill>
        </w:rPr>
      </w:pPr>
      <w:r>
        <w:rPr>
          <w:rFonts w:hint="eastAsia" w:ascii="仿宋_GB2312"/>
          <w:color w:val="000000" w:themeColor="text1"/>
          <w:kern w:val="0"/>
          <w:szCs w:val="28"/>
          <w14:textFill>
            <w14:solidFill>
              <w14:schemeClr w14:val="tx1"/>
            </w14:solidFill>
          </w14:textFill>
        </w:rPr>
        <w:t xml:space="preserve">供应商全称（公章）：          </w:t>
      </w:r>
    </w:p>
    <w:p w14:paraId="0436DF30">
      <w:pPr>
        <w:tabs>
          <w:tab w:val="left" w:pos="5580"/>
        </w:tabs>
        <w:ind w:firstLine="4132" w:firstLineChars="1476"/>
        <w:jc w:val="right"/>
        <w:rPr>
          <w:rFonts w:ascii="仿宋_GB2312"/>
          <w:color w:val="000000" w:themeColor="text1"/>
          <w:kern w:val="0"/>
          <w:szCs w:val="28"/>
          <w14:textFill>
            <w14:solidFill>
              <w14:schemeClr w14:val="tx1"/>
            </w14:solidFill>
          </w14:textFill>
        </w:rPr>
      </w:pPr>
    </w:p>
    <w:p w14:paraId="1FD4C066">
      <w:pPr>
        <w:tabs>
          <w:tab w:val="left" w:pos="5580"/>
        </w:tabs>
        <w:wordWrap w:val="0"/>
        <w:ind w:firstLine="560"/>
        <w:jc w:val="right"/>
        <w:rPr>
          <w:rFonts w:ascii="仿宋_GB2312"/>
          <w:color w:val="000000" w:themeColor="text1"/>
          <w:kern w:val="0"/>
          <w:szCs w:val="28"/>
          <w14:textFill>
            <w14:solidFill>
              <w14:schemeClr w14:val="tx1"/>
            </w14:solidFill>
          </w14:textFill>
        </w:rPr>
      </w:pPr>
      <w:r>
        <w:rPr>
          <w:rFonts w:hint="eastAsia" w:ascii="仿宋_GB2312" w:hAnsi="仿宋"/>
          <w:bCs/>
          <w:color w:val="000000" w:themeColor="text1"/>
          <w:kern w:val="0"/>
          <w:szCs w:val="28"/>
          <w14:textFill>
            <w14:solidFill>
              <w14:schemeClr w14:val="tx1"/>
            </w14:solidFill>
          </w14:textFill>
        </w:rPr>
        <w:t>法定代表人签章</w:t>
      </w:r>
      <w:r>
        <w:rPr>
          <w:rFonts w:hint="eastAsia" w:ascii="仿宋_GB2312"/>
          <w:color w:val="000000" w:themeColor="text1"/>
          <w:kern w:val="0"/>
          <w:szCs w:val="28"/>
          <w14:textFill>
            <w14:solidFill>
              <w14:schemeClr w14:val="tx1"/>
            </w14:solidFill>
          </w14:textFill>
        </w:rPr>
        <w:t xml:space="preserve">：         </w:t>
      </w:r>
    </w:p>
    <w:p w14:paraId="1E07C8F6">
      <w:pPr>
        <w:ind w:firstLine="560"/>
        <w:rPr>
          <w:rFonts w:ascii="仿宋_GB2312" w:hAnsi="宋体" w:cs="宋体"/>
          <w:color w:val="000000" w:themeColor="text1"/>
          <w:szCs w:val="21"/>
          <w14:textFill>
            <w14:solidFill>
              <w14:schemeClr w14:val="tx1"/>
            </w14:solidFill>
          </w14:textFill>
        </w:rPr>
      </w:pPr>
    </w:p>
    <w:p w14:paraId="1D20970B">
      <w:pPr>
        <w:ind w:firstLine="6160" w:firstLineChars="2200"/>
        <w:rPr>
          <w:rFonts w:ascii="仿宋_GB2312" w:hAnsi="宋体" w:cs="宋体"/>
          <w:color w:val="000000" w:themeColor="text1"/>
          <w:szCs w:val="28"/>
          <w14:textFill>
            <w14:solidFill>
              <w14:schemeClr w14:val="tx1"/>
            </w14:solidFill>
          </w14:textFill>
        </w:rPr>
      </w:pPr>
      <w:r>
        <w:rPr>
          <w:rFonts w:hint="eastAsia" w:ascii="仿宋_GB2312" w:hAnsi="宋体" w:cs="宋体"/>
          <w:color w:val="000000" w:themeColor="text1"/>
          <w:szCs w:val="28"/>
          <w14:textFill>
            <w14:solidFill>
              <w14:schemeClr w14:val="tx1"/>
            </w14:solidFill>
          </w14:textFill>
        </w:rPr>
        <w:t>年    月    日</w:t>
      </w:r>
    </w:p>
    <w:p w14:paraId="4D3104D7">
      <w:pPr>
        <w:ind w:firstLine="560"/>
        <w:rPr>
          <w:rFonts w:ascii="宋体" w:hAnsi="宋体" w:cs="宋体"/>
          <w:color w:val="000000" w:themeColor="text1"/>
          <w:szCs w:val="28"/>
          <w14:textFill>
            <w14:solidFill>
              <w14:schemeClr w14:val="tx1"/>
            </w14:solidFill>
          </w14:textFill>
        </w:rPr>
      </w:pPr>
    </w:p>
    <w:p w14:paraId="0570BBF4">
      <w:pPr>
        <w:ind w:firstLine="560"/>
        <w:rPr>
          <w:rFonts w:ascii="仿宋_GB2312" w:hAnsi="宋体" w:cs="宋体"/>
          <w:color w:val="000000" w:themeColor="text1"/>
          <w:szCs w:val="28"/>
          <w14:textFill>
            <w14:solidFill>
              <w14:schemeClr w14:val="tx1"/>
            </w14:solidFill>
          </w14:textFill>
        </w:rPr>
      </w:pPr>
      <w:r>
        <w:rPr>
          <w:rFonts w:hint="eastAsia" w:ascii="仿宋_GB2312" w:hAnsi="宋体" w:cs="宋体"/>
          <w:color w:val="000000" w:themeColor="text1"/>
          <w:szCs w:val="28"/>
          <w14:textFill>
            <w14:solidFill>
              <w14:schemeClr w14:val="tx1"/>
            </w14:solidFill>
          </w14:textFill>
        </w:rPr>
        <w:t>注：1、建造师证书、安全考核证和身份证复印件附后。</w:t>
      </w:r>
    </w:p>
    <w:p w14:paraId="3BD772A3">
      <w:pPr>
        <w:ind w:firstLine="560"/>
        <w:rPr>
          <w:color w:val="000000" w:themeColor="text1"/>
          <w14:textFill>
            <w14:solidFill>
              <w14:schemeClr w14:val="tx1"/>
            </w14:solidFill>
          </w14:textFill>
        </w:rPr>
      </w:pPr>
    </w:p>
    <w:p w14:paraId="639C5F71">
      <w:pPr>
        <w:spacing w:after="240"/>
        <w:ind w:firstLine="640"/>
        <w:jc w:val="center"/>
        <w:rPr>
          <w:rFonts w:ascii="黑体" w:hAnsi="黑体" w:eastAsia="黑体"/>
          <w:color w:val="000000" w:themeColor="text1"/>
          <w:sz w:val="32"/>
          <w:szCs w:val="32"/>
          <w14:textFill>
            <w14:solidFill>
              <w14:schemeClr w14:val="tx1"/>
            </w14:solidFill>
          </w14:textFill>
        </w:rPr>
      </w:pPr>
      <w:r>
        <w:rPr>
          <w:rFonts w:ascii="黑体" w:hAnsi="黑体" w:eastAsia="黑体"/>
          <w:color w:val="000000" w:themeColor="text1"/>
          <w:sz w:val="32"/>
          <w:szCs w:val="32"/>
          <w14:textFill>
            <w14:solidFill>
              <w14:schemeClr w14:val="tx1"/>
            </w14:solidFill>
          </w14:textFill>
        </w:rPr>
        <w:br w:type="page"/>
      </w:r>
      <w:r>
        <w:rPr>
          <w:rFonts w:hint="eastAsia" w:ascii="黑体" w:hAnsi="黑体" w:eastAsia="黑体"/>
          <w:color w:val="000000" w:themeColor="text1"/>
          <w:sz w:val="32"/>
          <w:szCs w:val="32"/>
          <w14:textFill>
            <w14:solidFill>
              <w14:schemeClr w14:val="tx1"/>
            </w14:solidFill>
          </w14:textFill>
        </w:rPr>
        <w:t>项目管理机构组成表</w:t>
      </w:r>
    </w:p>
    <w:tbl>
      <w:tblPr>
        <w:tblStyle w:val="45"/>
        <w:tblW w:w="0" w:type="auto"/>
        <w:tblInd w:w="39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72"/>
        <w:gridCol w:w="772"/>
        <w:gridCol w:w="772"/>
        <w:gridCol w:w="1235"/>
        <w:gridCol w:w="840"/>
        <w:gridCol w:w="858"/>
        <w:gridCol w:w="926"/>
        <w:gridCol w:w="2320"/>
        <w:gridCol w:w="771"/>
      </w:tblGrid>
      <w:tr w14:paraId="7879A8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vMerge w:val="restart"/>
            <w:tcBorders>
              <w:top w:val="single" w:color="auto" w:sz="4" w:space="0"/>
              <w:left w:val="single" w:color="auto" w:sz="4" w:space="0"/>
              <w:bottom w:val="single" w:color="auto" w:sz="4" w:space="0"/>
              <w:right w:val="single" w:color="auto" w:sz="4" w:space="0"/>
            </w:tcBorders>
            <w:vAlign w:val="center"/>
          </w:tcPr>
          <w:p w14:paraId="2D0E1328">
            <w:pPr>
              <w:ind w:firstLine="0" w:firstLineChars="0"/>
              <w:rPr>
                <w:rFonts w:ascii="宋体" w:hAnsi="宋体" w:cs="宋体"/>
                <w:color w:val="000000" w:themeColor="text1"/>
                <w:sz w:val="24"/>
                <w:szCs w:val="20"/>
                <w14:textFill>
                  <w14:solidFill>
                    <w14:schemeClr w14:val="tx1"/>
                  </w14:solidFill>
                </w14:textFill>
              </w:rPr>
            </w:pPr>
            <w:r>
              <w:rPr>
                <w:rFonts w:hint="eastAsia" w:ascii="宋体" w:hAnsi="宋体" w:cs="宋体"/>
                <w:color w:val="000000" w:themeColor="text1"/>
                <w:sz w:val="24"/>
                <w:szCs w:val="20"/>
                <w14:textFill>
                  <w14:solidFill>
                    <w14:schemeClr w14:val="tx1"/>
                  </w14:solidFill>
                </w14:textFill>
              </w:rPr>
              <w:t>职务</w:t>
            </w:r>
          </w:p>
        </w:tc>
        <w:tc>
          <w:tcPr>
            <w:tcW w:w="772" w:type="dxa"/>
            <w:vMerge w:val="restart"/>
            <w:tcBorders>
              <w:top w:val="single" w:color="auto" w:sz="4" w:space="0"/>
              <w:left w:val="single" w:color="auto" w:sz="4" w:space="0"/>
              <w:bottom w:val="single" w:color="auto" w:sz="4" w:space="0"/>
              <w:right w:val="single" w:color="auto" w:sz="4" w:space="0"/>
            </w:tcBorders>
            <w:vAlign w:val="center"/>
          </w:tcPr>
          <w:p w14:paraId="133341E0">
            <w:pPr>
              <w:ind w:firstLine="0" w:firstLineChars="0"/>
              <w:rPr>
                <w:rFonts w:ascii="宋体" w:hAnsi="宋体" w:cs="宋体"/>
                <w:color w:val="000000" w:themeColor="text1"/>
                <w:sz w:val="24"/>
                <w:szCs w:val="20"/>
                <w14:textFill>
                  <w14:solidFill>
                    <w14:schemeClr w14:val="tx1"/>
                  </w14:solidFill>
                </w14:textFill>
              </w:rPr>
            </w:pPr>
            <w:r>
              <w:rPr>
                <w:rFonts w:hint="eastAsia" w:ascii="宋体" w:hAnsi="宋体" w:cs="宋体"/>
                <w:color w:val="000000" w:themeColor="text1"/>
                <w:sz w:val="24"/>
                <w:szCs w:val="20"/>
                <w14:textFill>
                  <w14:solidFill>
                    <w14:schemeClr w14:val="tx1"/>
                  </w14:solidFill>
                </w14:textFill>
              </w:rPr>
              <w:t>姓名</w:t>
            </w:r>
          </w:p>
        </w:tc>
        <w:tc>
          <w:tcPr>
            <w:tcW w:w="772" w:type="dxa"/>
            <w:vMerge w:val="restart"/>
            <w:tcBorders>
              <w:top w:val="single" w:color="auto" w:sz="4" w:space="0"/>
              <w:left w:val="single" w:color="auto" w:sz="4" w:space="0"/>
              <w:bottom w:val="single" w:color="auto" w:sz="4" w:space="0"/>
              <w:right w:val="single" w:color="auto" w:sz="4" w:space="0"/>
            </w:tcBorders>
            <w:vAlign w:val="center"/>
          </w:tcPr>
          <w:p w14:paraId="0E63853C">
            <w:pPr>
              <w:ind w:firstLine="0" w:firstLineChars="0"/>
              <w:rPr>
                <w:rFonts w:ascii="宋体" w:hAnsi="宋体" w:cs="宋体"/>
                <w:color w:val="000000" w:themeColor="text1"/>
                <w:sz w:val="24"/>
                <w:szCs w:val="20"/>
                <w14:textFill>
                  <w14:solidFill>
                    <w14:schemeClr w14:val="tx1"/>
                  </w14:solidFill>
                </w14:textFill>
              </w:rPr>
            </w:pPr>
            <w:r>
              <w:rPr>
                <w:rFonts w:hint="eastAsia" w:ascii="宋体" w:hAnsi="宋体" w:cs="宋体"/>
                <w:color w:val="000000" w:themeColor="text1"/>
                <w:sz w:val="24"/>
                <w:szCs w:val="20"/>
                <w14:textFill>
                  <w14:solidFill>
                    <w14:schemeClr w14:val="tx1"/>
                  </w14:solidFill>
                </w14:textFill>
              </w:rPr>
              <w:t>职称</w:t>
            </w:r>
          </w:p>
        </w:tc>
        <w:tc>
          <w:tcPr>
            <w:tcW w:w="6179" w:type="dxa"/>
            <w:gridSpan w:val="5"/>
            <w:tcBorders>
              <w:top w:val="single" w:color="auto" w:sz="4" w:space="0"/>
              <w:left w:val="single" w:color="auto" w:sz="4" w:space="0"/>
              <w:bottom w:val="single" w:color="auto" w:sz="4" w:space="0"/>
              <w:right w:val="single" w:color="auto" w:sz="4" w:space="0"/>
            </w:tcBorders>
            <w:vAlign w:val="center"/>
          </w:tcPr>
          <w:p w14:paraId="0850AF0E">
            <w:pPr>
              <w:ind w:firstLine="480"/>
              <w:jc w:val="center"/>
              <w:rPr>
                <w:rFonts w:ascii="宋体" w:hAnsi="宋体" w:cs="宋体"/>
                <w:color w:val="000000" w:themeColor="text1"/>
                <w:sz w:val="24"/>
                <w:szCs w:val="20"/>
                <w14:textFill>
                  <w14:solidFill>
                    <w14:schemeClr w14:val="tx1"/>
                  </w14:solidFill>
                </w14:textFill>
              </w:rPr>
            </w:pPr>
            <w:r>
              <w:rPr>
                <w:rFonts w:hint="eastAsia" w:ascii="宋体" w:hAnsi="宋体" w:cs="宋体"/>
                <w:color w:val="000000" w:themeColor="text1"/>
                <w:sz w:val="24"/>
                <w:szCs w:val="20"/>
                <w14:textFill>
                  <w14:solidFill>
                    <w14:schemeClr w14:val="tx1"/>
                  </w14:solidFill>
                </w14:textFill>
              </w:rPr>
              <w:t>执业或职业资格证明</w:t>
            </w:r>
          </w:p>
        </w:tc>
        <w:tc>
          <w:tcPr>
            <w:tcW w:w="771" w:type="dxa"/>
            <w:vMerge w:val="restart"/>
            <w:tcBorders>
              <w:top w:val="single" w:color="auto" w:sz="4" w:space="0"/>
              <w:left w:val="single" w:color="auto" w:sz="4" w:space="0"/>
              <w:bottom w:val="single" w:color="auto" w:sz="4" w:space="0"/>
              <w:right w:val="single" w:color="auto" w:sz="4" w:space="0"/>
            </w:tcBorders>
            <w:vAlign w:val="center"/>
          </w:tcPr>
          <w:p w14:paraId="72E1C35A">
            <w:pPr>
              <w:ind w:firstLine="0" w:firstLineChars="0"/>
              <w:rPr>
                <w:rFonts w:ascii="宋体" w:hAnsi="宋体" w:cs="宋体"/>
                <w:color w:val="000000" w:themeColor="text1"/>
                <w:sz w:val="24"/>
                <w:szCs w:val="20"/>
                <w14:textFill>
                  <w14:solidFill>
                    <w14:schemeClr w14:val="tx1"/>
                  </w14:solidFill>
                </w14:textFill>
              </w:rPr>
            </w:pPr>
            <w:r>
              <w:rPr>
                <w:rFonts w:hint="eastAsia" w:ascii="宋体" w:hAnsi="宋体" w:cs="宋体"/>
                <w:color w:val="000000" w:themeColor="text1"/>
                <w:sz w:val="24"/>
                <w:szCs w:val="20"/>
                <w14:textFill>
                  <w14:solidFill>
                    <w14:schemeClr w14:val="tx1"/>
                  </w14:solidFill>
                </w14:textFill>
              </w:rPr>
              <w:t>备注</w:t>
            </w:r>
          </w:p>
        </w:tc>
      </w:tr>
      <w:tr w14:paraId="51191F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vMerge w:val="continue"/>
            <w:tcBorders>
              <w:top w:val="single" w:color="auto" w:sz="4" w:space="0"/>
              <w:left w:val="single" w:color="auto" w:sz="4" w:space="0"/>
              <w:bottom w:val="single" w:color="auto" w:sz="4" w:space="0"/>
              <w:right w:val="single" w:color="auto" w:sz="4" w:space="0"/>
            </w:tcBorders>
            <w:vAlign w:val="center"/>
          </w:tcPr>
          <w:p w14:paraId="7F33E7BF">
            <w:pPr>
              <w:ind w:firstLine="480"/>
              <w:jc w:val="center"/>
              <w:rPr>
                <w:rFonts w:ascii="宋体" w:hAnsi="宋体" w:cs="宋体"/>
                <w:color w:val="000000" w:themeColor="text1"/>
                <w:sz w:val="24"/>
                <w:szCs w:val="20"/>
                <w14:textFill>
                  <w14:solidFill>
                    <w14:schemeClr w14:val="tx1"/>
                  </w14:solidFill>
                </w14:textFill>
              </w:rPr>
            </w:pPr>
          </w:p>
        </w:tc>
        <w:tc>
          <w:tcPr>
            <w:tcW w:w="772" w:type="dxa"/>
            <w:vMerge w:val="continue"/>
            <w:tcBorders>
              <w:top w:val="single" w:color="auto" w:sz="4" w:space="0"/>
              <w:left w:val="single" w:color="auto" w:sz="4" w:space="0"/>
              <w:bottom w:val="single" w:color="auto" w:sz="4" w:space="0"/>
              <w:right w:val="single" w:color="auto" w:sz="4" w:space="0"/>
            </w:tcBorders>
            <w:vAlign w:val="center"/>
          </w:tcPr>
          <w:p w14:paraId="01536DFD">
            <w:pPr>
              <w:ind w:firstLine="480"/>
              <w:jc w:val="center"/>
              <w:rPr>
                <w:rFonts w:ascii="宋体" w:hAnsi="宋体" w:cs="宋体"/>
                <w:color w:val="000000" w:themeColor="text1"/>
                <w:sz w:val="24"/>
                <w:szCs w:val="20"/>
                <w14:textFill>
                  <w14:solidFill>
                    <w14:schemeClr w14:val="tx1"/>
                  </w14:solidFill>
                </w14:textFill>
              </w:rPr>
            </w:pPr>
          </w:p>
        </w:tc>
        <w:tc>
          <w:tcPr>
            <w:tcW w:w="772" w:type="dxa"/>
            <w:vMerge w:val="continue"/>
            <w:tcBorders>
              <w:top w:val="single" w:color="auto" w:sz="4" w:space="0"/>
              <w:left w:val="single" w:color="auto" w:sz="4" w:space="0"/>
              <w:bottom w:val="single" w:color="auto" w:sz="4" w:space="0"/>
              <w:right w:val="single" w:color="auto" w:sz="4" w:space="0"/>
            </w:tcBorders>
            <w:vAlign w:val="center"/>
          </w:tcPr>
          <w:p w14:paraId="3577685B">
            <w:pPr>
              <w:ind w:firstLine="480"/>
              <w:jc w:val="center"/>
              <w:rPr>
                <w:rFonts w:ascii="宋体" w:hAnsi="宋体" w:cs="宋体"/>
                <w:color w:val="000000" w:themeColor="text1"/>
                <w:sz w:val="24"/>
                <w:szCs w:val="20"/>
                <w14:textFill>
                  <w14:solidFill>
                    <w14:schemeClr w14:val="tx1"/>
                  </w14:solidFill>
                </w14:textFill>
              </w:rPr>
            </w:pPr>
          </w:p>
        </w:tc>
        <w:tc>
          <w:tcPr>
            <w:tcW w:w="1235" w:type="dxa"/>
            <w:tcBorders>
              <w:top w:val="single" w:color="auto" w:sz="4" w:space="0"/>
              <w:left w:val="single" w:color="auto" w:sz="4" w:space="0"/>
              <w:bottom w:val="single" w:color="auto" w:sz="4" w:space="0"/>
              <w:right w:val="single" w:color="auto" w:sz="4" w:space="0"/>
            </w:tcBorders>
            <w:vAlign w:val="center"/>
          </w:tcPr>
          <w:p w14:paraId="4C50CAB2">
            <w:pPr>
              <w:ind w:firstLine="0" w:firstLineChars="0"/>
              <w:rPr>
                <w:rFonts w:ascii="宋体" w:hAnsi="宋体" w:cs="宋体"/>
                <w:color w:val="000000" w:themeColor="text1"/>
                <w:sz w:val="24"/>
                <w:szCs w:val="20"/>
                <w14:textFill>
                  <w14:solidFill>
                    <w14:schemeClr w14:val="tx1"/>
                  </w14:solidFill>
                </w14:textFill>
              </w:rPr>
            </w:pPr>
            <w:r>
              <w:rPr>
                <w:rFonts w:hint="eastAsia" w:ascii="宋体" w:hAnsi="宋体" w:cs="宋体"/>
                <w:color w:val="000000" w:themeColor="text1"/>
                <w:sz w:val="24"/>
                <w:szCs w:val="20"/>
                <w14:textFill>
                  <w14:solidFill>
                    <w14:schemeClr w14:val="tx1"/>
                  </w14:solidFill>
                </w14:textFill>
              </w:rPr>
              <w:t>证书名称</w:t>
            </w:r>
          </w:p>
        </w:tc>
        <w:tc>
          <w:tcPr>
            <w:tcW w:w="840" w:type="dxa"/>
            <w:tcBorders>
              <w:top w:val="single" w:color="auto" w:sz="4" w:space="0"/>
              <w:left w:val="single" w:color="auto" w:sz="4" w:space="0"/>
              <w:bottom w:val="single" w:color="auto" w:sz="4" w:space="0"/>
              <w:right w:val="single" w:color="auto" w:sz="4" w:space="0"/>
            </w:tcBorders>
            <w:vAlign w:val="center"/>
          </w:tcPr>
          <w:p w14:paraId="78D05B7A">
            <w:pPr>
              <w:ind w:firstLine="0" w:firstLineChars="0"/>
              <w:rPr>
                <w:rFonts w:ascii="宋体" w:hAnsi="宋体" w:cs="宋体"/>
                <w:color w:val="000000" w:themeColor="text1"/>
                <w:sz w:val="24"/>
                <w:szCs w:val="20"/>
                <w14:textFill>
                  <w14:solidFill>
                    <w14:schemeClr w14:val="tx1"/>
                  </w14:solidFill>
                </w14:textFill>
              </w:rPr>
            </w:pPr>
            <w:r>
              <w:rPr>
                <w:rFonts w:hint="eastAsia" w:ascii="宋体" w:hAnsi="宋体" w:cs="宋体"/>
                <w:color w:val="000000" w:themeColor="text1"/>
                <w:sz w:val="24"/>
                <w:szCs w:val="20"/>
                <w14:textFill>
                  <w14:solidFill>
                    <w14:schemeClr w14:val="tx1"/>
                  </w14:solidFill>
                </w14:textFill>
              </w:rPr>
              <w:t>级别</w:t>
            </w:r>
          </w:p>
        </w:tc>
        <w:tc>
          <w:tcPr>
            <w:tcW w:w="858" w:type="dxa"/>
            <w:tcBorders>
              <w:top w:val="single" w:color="auto" w:sz="4" w:space="0"/>
              <w:left w:val="single" w:color="auto" w:sz="4" w:space="0"/>
              <w:bottom w:val="single" w:color="auto" w:sz="4" w:space="0"/>
              <w:right w:val="single" w:color="auto" w:sz="4" w:space="0"/>
            </w:tcBorders>
            <w:vAlign w:val="center"/>
          </w:tcPr>
          <w:p w14:paraId="60962E4E">
            <w:pPr>
              <w:ind w:firstLine="0" w:firstLineChars="0"/>
              <w:rPr>
                <w:rFonts w:ascii="宋体" w:hAnsi="宋体" w:cs="宋体"/>
                <w:color w:val="000000" w:themeColor="text1"/>
                <w:sz w:val="24"/>
                <w:szCs w:val="20"/>
                <w14:textFill>
                  <w14:solidFill>
                    <w14:schemeClr w14:val="tx1"/>
                  </w14:solidFill>
                </w14:textFill>
              </w:rPr>
            </w:pPr>
            <w:r>
              <w:rPr>
                <w:rFonts w:hint="eastAsia" w:ascii="宋体" w:hAnsi="宋体" w:cs="宋体"/>
                <w:color w:val="000000" w:themeColor="text1"/>
                <w:sz w:val="24"/>
                <w:szCs w:val="20"/>
                <w14:textFill>
                  <w14:solidFill>
                    <w14:schemeClr w14:val="tx1"/>
                  </w14:solidFill>
                </w14:textFill>
              </w:rPr>
              <w:t>证号</w:t>
            </w:r>
          </w:p>
        </w:tc>
        <w:tc>
          <w:tcPr>
            <w:tcW w:w="926" w:type="dxa"/>
            <w:tcBorders>
              <w:top w:val="single" w:color="auto" w:sz="4" w:space="0"/>
              <w:left w:val="single" w:color="auto" w:sz="4" w:space="0"/>
              <w:bottom w:val="single" w:color="auto" w:sz="4" w:space="0"/>
              <w:right w:val="single" w:color="auto" w:sz="4" w:space="0"/>
            </w:tcBorders>
            <w:vAlign w:val="center"/>
          </w:tcPr>
          <w:p w14:paraId="73A80B0B">
            <w:pPr>
              <w:ind w:firstLine="0" w:firstLineChars="0"/>
              <w:rPr>
                <w:rFonts w:ascii="宋体" w:hAnsi="宋体" w:cs="宋体"/>
                <w:color w:val="000000" w:themeColor="text1"/>
                <w:sz w:val="24"/>
                <w:szCs w:val="20"/>
                <w14:textFill>
                  <w14:solidFill>
                    <w14:schemeClr w14:val="tx1"/>
                  </w14:solidFill>
                </w14:textFill>
              </w:rPr>
            </w:pPr>
            <w:r>
              <w:rPr>
                <w:rFonts w:hint="eastAsia" w:ascii="宋体" w:hAnsi="宋体" w:cs="宋体"/>
                <w:color w:val="000000" w:themeColor="text1"/>
                <w:sz w:val="24"/>
                <w:szCs w:val="20"/>
                <w14:textFill>
                  <w14:solidFill>
                    <w14:schemeClr w14:val="tx1"/>
                  </w14:solidFill>
                </w14:textFill>
              </w:rPr>
              <w:t>专业</w:t>
            </w:r>
          </w:p>
        </w:tc>
        <w:tc>
          <w:tcPr>
            <w:tcW w:w="2320" w:type="dxa"/>
            <w:tcBorders>
              <w:top w:val="single" w:color="auto" w:sz="4" w:space="0"/>
              <w:left w:val="single" w:color="auto" w:sz="4" w:space="0"/>
              <w:bottom w:val="single" w:color="auto" w:sz="4" w:space="0"/>
              <w:right w:val="single" w:color="auto" w:sz="4" w:space="0"/>
            </w:tcBorders>
            <w:vAlign w:val="center"/>
          </w:tcPr>
          <w:p w14:paraId="4F84F635">
            <w:pPr>
              <w:ind w:firstLine="480"/>
              <w:jc w:val="center"/>
              <w:rPr>
                <w:rFonts w:ascii="宋体" w:hAnsi="宋体" w:cs="宋体"/>
                <w:color w:val="000000" w:themeColor="text1"/>
                <w:sz w:val="24"/>
                <w:szCs w:val="20"/>
                <w14:textFill>
                  <w14:solidFill>
                    <w14:schemeClr w14:val="tx1"/>
                  </w14:solidFill>
                </w14:textFill>
              </w:rPr>
            </w:pPr>
            <w:r>
              <w:rPr>
                <w:rFonts w:hint="eastAsia" w:ascii="宋体" w:hAnsi="宋体" w:cs="宋体"/>
                <w:color w:val="000000" w:themeColor="text1"/>
                <w:sz w:val="24"/>
                <w:szCs w:val="20"/>
                <w14:textFill>
                  <w14:solidFill>
                    <w14:schemeClr w14:val="tx1"/>
                  </w14:solidFill>
                </w14:textFill>
              </w:rPr>
              <w:t>养老保险</w:t>
            </w:r>
          </w:p>
        </w:tc>
        <w:tc>
          <w:tcPr>
            <w:tcW w:w="771" w:type="dxa"/>
            <w:vMerge w:val="continue"/>
            <w:tcBorders>
              <w:top w:val="single" w:color="auto" w:sz="4" w:space="0"/>
              <w:left w:val="single" w:color="auto" w:sz="4" w:space="0"/>
              <w:bottom w:val="single" w:color="auto" w:sz="4" w:space="0"/>
              <w:right w:val="single" w:color="auto" w:sz="4" w:space="0"/>
            </w:tcBorders>
            <w:vAlign w:val="center"/>
          </w:tcPr>
          <w:p w14:paraId="012B9DBC">
            <w:pPr>
              <w:ind w:firstLine="480"/>
              <w:jc w:val="center"/>
              <w:rPr>
                <w:rFonts w:ascii="宋体" w:hAnsi="宋体" w:cs="宋体"/>
                <w:color w:val="000000" w:themeColor="text1"/>
                <w:sz w:val="24"/>
                <w:szCs w:val="20"/>
                <w14:textFill>
                  <w14:solidFill>
                    <w14:schemeClr w14:val="tx1"/>
                  </w14:solidFill>
                </w14:textFill>
              </w:rPr>
            </w:pPr>
          </w:p>
        </w:tc>
      </w:tr>
      <w:tr w14:paraId="1BDA22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2F9337B4">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46D89B81">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0B82ECB0">
            <w:pPr>
              <w:ind w:firstLine="480"/>
              <w:jc w:val="center"/>
              <w:rPr>
                <w:rFonts w:ascii="宋体" w:hAnsi="宋体" w:cs="宋体"/>
                <w:color w:val="000000" w:themeColor="text1"/>
                <w:sz w:val="24"/>
                <w:szCs w:val="20"/>
                <w14:textFill>
                  <w14:solidFill>
                    <w14:schemeClr w14:val="tx1"/>
                  </w14:solidFill>
                </w14:textFill>
              </w:rPr>
            </w:pPr>
          </w:p>
        </w:tc>
        <w:tc>
          <w:tcPr>
            <w:tcW w:w="1235" w:type="dxa"/>
            <w:tcBorders>
              <w:top w:val="single" w:color="auto" w:sz="4" w:space="0"/>
              <w:left w:val="single" w:color="auto" w:sz="4" w:space="0"/>
              <w:bottom w:val="single" w:color="auto" w:sz="4" w:space="0"/>
              <w:right w:val="single" w:color="auto" w:sz="4" w:space="0"/>
            </w:tcBorders>
            <w:vAlign w:val="center"/>
          </w:tcPr>
          <w:p w14:paraId="4439D6CE">
            <w:pPr>
              <w:ind w:firstLine="480"/>
              <w:jc w:val="center"/>
              <w:rPr>
                <w:rFonts w:ascii="宋体" w:hAnsi="宋体" w:cs="宋体"/>
                <w:color w:val="000000" w:themeColor="text1"/>
                <w:sz w:val="24"/>
                <w:szCs w:val="20"/>
                <w14:textFill>
                  <w14:solidFill>
                    <w14:schemeClr w14:val="tx1"/>
                  </w14:solidFill>
                </w14:textFill>
              </w:rPr>
            </w:pPr>
          </w:p>
        </w:tc>
        <w:tc>
          <w:tcPr>
            <w:tcW w:w="840" w:type="dxa"/>
            <w:tcBorders>
              <w:top w:val="single" w:color="auto" w:sz="4" w:space="0"/>
              <w:left w:val="single" w:color="auto" w:sz="4" w:space="0"/>
              <w:bottom w:val="single" w:color="auto" w:sz="4" w:space="0"/>
              <w:right w:val="single" w:color="auto" w:sz="4" w:space="0"/>
            </w:tcBorders>
            <w:vAlign w:val="center"/>
          </w:tcPr>
          <w:p w14:paraId="44D7C226">
            <w:pPr>
              <w:ind w:firstLine="480"/>
              <w:jc w:val="center"/>
              <w:rPr>
                <w:rFonts w:ascii="宋体" w:hAnsi="宋体" w:cs="宋体"/>
                <w:color w:val="000000" w:themeColor="text1"/>
                <w:sz w:val="24"/>
                <w:szCs w:val="20"/>
                <w14:textFill>
                  <w14:solidFill>
                    <w14:schemeClr w14:val="tx1"/>
                  </w14:solidFill>
                </w14:textFill>
              </w:rPr>
            </w:pPr>
          </w:p>
        </w:tc>
        <w:tc>
          <w:tcPr>
            <w:tcW w:w="858" w:type="dxa"/>
            <w:tcBorders>
              <w:top w:val="single" w:color="auto" w:sz="4" w:space="0"/>
              <w:left w:val="single" w:color="auto" w:sz="4" w:space="0"/>
              <w:bottom w:val="single" w:color="auto" w:sz="4" w:space="0"/>
              <w:right w:val="single" w:color="auto" w:sz="4" w:space="0"/>
            </w:tcBorders>
            <w:vAlign w:val="center"/>
          </w:tcPr>
          <w:p w14:paraId="3C535C96">
            <w:pPr>
              <w:ind w:firstLine="480"/>
              <w:jc w:val="center"/>
              <w:rPr>
                <w:rFonts w:ascii="宋体" w:hAnsi="宋体" w:cs="宋体"/>
                <w:color w:val="000000" w:themeColor="text1"/>
                <w:sz w:val="24"/>
                <w:szCs w:val="20"/>
                <w14:textFill>
                  <w14:solidFill>
                    <w14:schemeClr w14:val="tx1"/>
                  </w14:solidFill>
                </w14:textFill>
              </w:rPr>
            </w:pPr>
          </w:p>
        </w:tc>
        <w:tc>
          <w:tcPr>
            <w:tcW w:w="926" w:type="dxa"/>
            <w:tcBorders>
              <w:top w:val="single" w:color="auto" w:sz="4" w:space="0"/>
              <w:left w:val="single" w:color="auto" w:sz="4" w:space="0"/>
              <w:bottom w:val="single" w:color="auto" w:sz="4" w:space="0"/>
              <w:right w:val="single" w:color="auto" w:sz="4" w:space="0"/>
            </w:tcBorders>
            <w:vAlign w:val="center"/>
          </w:tcPr>
          <w:p w14:paraId="3BE7825E">
            <w:pPr>
              <w:ind w:firstLine="480"/>
              <w:jc w:val="center"/>
              <w:rPr>
                <w:rFonts w:ascii="宋体" w:hAnsi="宋体" w:cs="宋体"/>
                <w:color w:val="000000" w:themeColor="text1"/>
                <w:sz w:val="24"/>
                <w:szCs w:val="20"/>
                <w14:textFill>
                  <w14:solidFill>
                    <w14:schemeClr w14:val="tx1"/>
                  </w14:solidFill>
                </w14:textFill>
              </w:rPr>
            </w:pPr>
          </w:p>
        </w:tc>
        <w:tc>
          <w:tcPr>
            <w:tcW w:w="2320" w:type="dxa"/>
            <w:tcBorders>
              <w:top w:val="single" w:color="auto" w:sz="4" w:space="0"/>
              <w:left w:val="single" w:color="auto" w:sz="4" w:space="0"/>
              <w:bottom w:val="single" w:color="auto" w:sz="4" w:space="0"/>
              <w:right w:val="single" w:color="auto" w:sz="4" w:space="0"/>
            </w:tcBorders>
            <w:vAlign w:val="center"/>
          </w:tcPr>
          <w:p w14:paraId="048A619F">
            <w:pPr>
              <w:ind w:firstLine="480"/>
              <w:jc w:val="center"/>
              <w:rPr>
                <w:rFonts w:ascii="宋体" w:hAnsi="宋体" w:cs="宋体"/>
                <w:color w:val="000000" w:themeColor="text1"/>
                <w:sz w:val="24"/>
                <w:szCs w:val="20"/>
                <w14:textFill>
                  <w14:solidFill>
                    <w14:schemeClr w14:val="tx1"/>
                  </w14:solidFill>
                </w14:textFill>
              </w:rPr>
            </w:pPr>
          </w:p>
        </w:tc>
        <w:tc>
          <w:tcPr>
            <w:tcW w:w="771" w:type="dxa"/>
            <w:tcBorders>
              <w:top w:val="single" w:color="auto" w:sz="4" w:space="0"/>
              <w:left w:val="single" w:color="auto" w:sz="4" w:space="0"/>
              <w:bottom w:val="single" w:color="auto" w:sz="4" w:space="0"/>
              <w:right w:val="single" w:color="auto" w:sz="4" w:space="0"/>
            </w:tcBorders>
            <w:vAlign w:val="center"/>
          </w:tcPr>
          <w:p w14:paraId="117810E5">
            <w:pPr>
              <w:ind w:firstLine="480"/>
              <w:jc w:val="center"/>
              <w:rPr>
                <w:rFonts w:ascii="宋体" w:hAnsi="宋体" w:cs="宋体"/>
                <w:color w:val="000000" w:themeColor="text1"/>
                <w:sz w:val="24"/>
                <w:szCs w:val="20"/>
                <w14:textFill>
                  <w14:solidFill>
                    <w14:schemeClr w14:val="tx1"/>
                  </w14:solidFill>
                </w14:textFill>
              </w:rPr>
            </w:pPr>
          </w:p>
        </w:tc>
      </w:tr>
      <w:tr w14:paraId="5259CC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75887F9E">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01AB2DAB">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51A5A0FB">
            <w:pPr>
              <w:ind w:firstLine="480"/>
              <w:jc w:val="center"/>
              <w:rPr>
                <w:rFonts w:ascii="宋体" w:hAnsi="宋体" w:cs="宋体"/>
                <w:color w:val="000000" w:themeColor="text1"/>
                <w:sz w:val="24"/>
                <w:szCs w:val="20"/>
                <w14:textFill>
                  <w14:solidFill>
                    <w14:schemeClr w14:val="tx1"/>
                  </w14:solidFill>
                </w14:textFill>
              </w:rPr>
            </w:pPr>
          </w:p>
        </w:tc>
        <w:tc>
          <w:tcPr>
            <w:tcW w:w="1235" w:type="dxa"/>
            <w:tcBorders>
              <w:top w:val="single" w:color="auto" w:sz="4" w:space="0"/>
              <w:left w:val="single" w:color="auto" w:sz="4" w:space="0"/>
              <w:bottom w:val="single" w:color="auto" w:sz="4" w:space="0"/>
              <w:right w:val="single" w:color="auto" w:sz="4" w:space="0"/>
            </w:tcBorders>
            <w:vAlign w:val="center"/>
          </w:tcPr>
          <w:p w14:paraId="53F80B53">
            <w:pPr>
              <w:ind w:firstLine="480"/>
              <w:jc w:val="center"/>
              <w:rPr>
                <w:rFonts w:ascii="宋体" w:hAnsi="宋体" w:cs="宋体"/>
                <w:color w:val="000000" w:themeColor="text1"/>
                <w:sz w:val="24"/>
                <w:szCs w:val="20"/>
                <w14:textFill>
                  <w14:solidFill>
                    <w14:schemeClr w14:val="tx1"/>
                  </w14:solidFill>
                </w14:textFill>
              </w:rPr>
            </w:pPr>
          </w:p>
        </w:tc>
        <w:tc>
          <w:tcPr>
            <w:tcW w:w="840" w:type="dxa"/>
            <w:tcBorders>
              <w:top w:val="single" w:color="auto" w:sz="4" w:space="0"/>
              <w:left w:val="single" w:color="auto" w:sz="4" w:space="0"/>
              <w:bottom w:val="single" w:color="auto" w:sz="4" w:space="0"/>
              <w:right w:val="single" w:color="auto" w:sz="4" w:space="0"/>
            </w:tcBorders>
            <w:vAlign w:val="center"/>
          </w:tcPr>
          <w:p w14:paraId="6D0E4C9F">
            <w:pPr>
              <w:ind w:firstLine="480"/>
              <w:jc w:val="center"/>
              <w:rPr>
                <w:rFonts w:ascii="宋体" w:hAnsi="宋体" w:cs="宋体"/>
                <w:color w:val="000000" w:themeColor="text1"/>
                <w:sz w:val="24"/>
                <w:szCs w:val="20"/>
                <w14:textFill>
                  <w14:solidFill>
                    <w14:schemeClr w14:val="tx1"/>
                  </w14:solidFill>
                </w14:textFill>
              </w:rPr>
            </w:pPr>
          </w:p>
        </w:tc>
        <w:tc>
          <w:tcPr>
            <w:tcW w:w="858" w:type="dxa"/>
            <w:tcBorders>
              <w:top w:val="single" w:color="auto" w:sz="4" w:space="0"/>
              <w:left w:val="single" w:color="auto" w:sz="4" w:space="0"/>
              <w:bottom w:val="single" w:color="auto" w:sz="4" w:space="0"/>
              <w:right w:val="single" w:color="auto" w:sz="4" w:space="0"/>
            </w:tcBorders>
            <w:vAlign w:val="center"/>
          </w:tcPr>
          <w:p w14:paraId="215D4906">
            <w:pPr>
              <w:ind w:firstLine="480"/>
              <w:jc w:val="center"/>
              <w:rPr>
                <w:rFonts w:ascii="宋体" w:hAnsi="宋体" w:cs="宋体"/>
                <w:color w:val="000000" w:themeColor="text1"/>
                <w:sz w:val="24"/>
                <w:szCs w:val="20"/>
                <w14:textFill>
                  <w14:solidFill>
                    <w14:schemeClr w14:val="tx1"/>
                  </w14:solidFill>
                </w14:textFill>
              </w:rPr>
            </w:pPr>
          </w:p>
        </w:tc>
        <w:tc>
          <w:tcPr>
            <w:tcW w:w="926" w:type="dxa"/>
            <w:tcBorders>
              <w:top w:val="single" w:color="auto" w:sz="4" w:space="0"/>
              <w:left w:val="single" w:color="auto" w:sz="4" w:space="0"/>
              <w:bottom w:val="single" w:color="auto" w:sz="4" w:space="0"/>
              <w:right w:val="single" w:color="auto" w:sz="4" w:space="0"/>
            </w:tcBorders>
            <w:vAlign w:val="center"/>
          </w:tcPr>
          <w:p w14:paraId="6284F277">
            <w:pPr>
              <w:ind w:firstLine="480"/>
              <w:jc w:val="center"/>
              <w:rPr>
                <w:rFonts w:ascii="宋体" w:hAnsi="宋体" w:cs="宋体"/>
                <w:color w:val="000000" w:themeColor="text1"/>
                <w:sz w:val="24"/>
                <w:szCs w:val="20"/>
                <w14:textFill>
                  <w14:solidFill>
                    <w14:schemeClr w14:val="tx1"/>
                  </w14:solidFill>
                </w14:textFill>
              </w:rPr>
            </w:pPr>
          </w:p>
        </w:tc>
        <w:tc>
          <w:tcPr>
            <w:tcW w:w="2320" w:type="dxa"/>
            <w:tcBorders>
              <w:top w:val="single" w:color="auto" w:sz="4" w:space="0"/>
              <w:left w:val="single" w:color="auto" w:sz="4" w:space="0"/>
              <w:bottom w:val="single" w:color="auto" w:sz="4" w:space="0"/>
              <w:right w:val="single" w:color="auto" w:sz="4" w:space="0"/>
            </w:tcBorders>
            <w:vAlign w:val="center"/>
          </w:tcPr>
          <w:p w14:paraId="4C95F856">
            <w:pPr>
              <w:ind w:firstLine="480"/>
              <w:jc w:val="center"/>
              <w:rPr>
                <w:rFonts w:ascii="宋体" w:hAnsi="宋体" w:cs="宋体"/>
                <w:color w:val="000000" w:themeColor="text1"/>
                <w:sz w:val="24"/>
                <w:szCs w:val="20"/>
                <w14:textFill>
                  <w14:solidFill>
                    <w14:schemeClr w14:val="tx1"/>
                  </w14:solidFill>
                </w14:textFill>
              </w:rPr>
            </w:pPr>
          </w:p>
        </w:tc>
        <w:tc>
          <w:tcPr>
            <w:tcW w:w="771" w:type="dxa"/>
            <w:tcBorders>
              <w:top w:val="single" w:color="auto" w:sz="4" w:space="0"/>
              <w:left w:val="single" w:color="auto" w:sz="4" w:space="0"/>
              <w:bottom w:val="single" w:color="auto" w:sz="4" w:space="0"/>
              <w:right w:val="single" w:color="auto" w:sz="4" w:space="0"/>
            </w:tcBorders>
            <w:vAlign w:val="center"/>
          </w:tcPr>
          <w:p w14:paraId="68F8D96F">
            <w:pPr>
              <w:ind w:firstLine="480"/>
              <w:jc w:val="center"/>
              <w:rPr>
                <w:rFonts w:ascii="宋体" w:hAnsi="宋体" w:cs="宋体"/>
                <w:color w:val="000000" w:themeColor="text1"/>
                <w:sz w:val="24"/>
                <w:szCs w:val="20"/>
                <w14:textFill>
                  <w14:solidFill>
                    <w14:schemeClr w14:val="tx1"/>
                  </w14:solidFill>
                </w14:textFill>
              </w:rPr>
            </w:pPr>
          </w:p>
        </w:tc>
      </w:tr>
      <w:tr w14:paraId="442A53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081F8420">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0555A6E3">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5C9802EC">
            <w:pPr>
              <w:ind w:firstLine="480"/>
              <w:jc w:val="center"/>
              <w:rPr>
                <w:rFonts w:ascii="宋体" w:hAnsi="宋体" w:cs="宋体"/>
                <w:color w:val="000000" w:themeColor="text1"/>
                <w:sz w:val="24"/>
                <w:szCs w:val="20"/>
                <w14:textFill>
                  <w14:solidFill>
                    <w14:schemeClr w14:val="tx1"/>
                  </w14:solidFill>
                </w14:textFill>
              </w:rPr>
            </w:pPr>
          </w:p>
        </w:tc>
        <w:tc>
          <w:tcPr>
            <w:tcW w:w="1235" w:type="dxa"/>
            <w:tcBorders>
              <w:top w:val="single" w:color="auto" w:sz="4" w:space="0"/>
              <w:left w:val="single" w:color="auto" w:sz="4" w:space="0"/>
              <w:bottom w:val="single" w:color="auto" w:sz="4" w:space="0"/>
              <w:right w:val="single" w:color="auto" w:sz="4" w:space="0"/>
            </w:tcBorders>
            <w:vAlign w:val="center"/>
          </w:tcPr>
          <w:p w14:paraId="2431C0BD">
            <w:pPr>
              <w:ind w:firstLine="480"/>
              <w:jc w:val="center"/>
              <w:rPr>
                <w:rFonts w:ascii="宋体" w:hAnsi="宋体" w:cs="宋体"/>
                <w:color w:val="000000" w:themeColor="text1"/>
                <w:sz w:val="24"/>
                <w:szCs w:val="20"/>
                <w14:textFill>
                  <w14:solidFill>
                    <w14:schemeClr w14:val="tx1"/>
                  </w14:solidFill>
                </w14:textFill>
              </w:rPr>
            </w:pPr>
          </w:p>
        </w:tc>
        <w:tc>
          <w:tcPr>
            <w:tcW w:w="840" w:type="dxa"/>
            <w:tcBorders>
              <w:top w:val="single" w:color="auto" w:sz="4" w:space="0"/>
              <w:left w:val="single" w:color="auto" w:sz="4" w:space="0"/>
              <w:bottom w:val="single" w:color="auto" w:sz="4" w:space="0"/>
              <w:right w:val="single" w:color="auto" w:sz="4" w:space="0"/>
            </w:tcBorders>
            <w:vAlign w:val="center"/>
          </w:tcPr>
          <w:p w14:paraId="64520AA3">
            <w:pPr>
              <w:ind w:firstLine="480"/>
              <w:jc w:val="center"/>
              <w:rPr>
                <w:rFonts w:ascii="宋体" w:hAnsi="宋体" w:cs="宋体"/>
                <w:color w:val="000000" w:themeColor="text1"/>
                <w:sz w:val="24"/>
                <w:szCs w:val="20"/>
                <w14:textFill>
                  <w14:solidFill>
                    <w14:schemeClr w14:val="tx1"/>
                  </w14:solidFill>
                </w14:textFill>
              </w:rPr>
            </w:pPr>
          </w:p>
        </w:tc>
        <w:tc>
          <w:tcPr>
            <w:tcW w:w="858" w:type="dxa"/>
            <w:tcBorders>
              <w:top w:val="single" w:color="auto" w:sz="4" w:space="0"/>
              <w:left w:val="single" w:color="auto" w:sz="4" w:space="0"/>
              <w:bottom w:val="single" w:color="auto" w:sz="4" w:space="0"/>
              <w:right w:val="single" w:color="auto" w:sz="4" w:space="0"/>
            </w:tcBorders>
            <w:vAlign w:val="center"/>
          </w:tcPr>
          <w:p w14:paraId="46775583">
            <w:pPr>
              <w:ind w:firstLine="480"/>
              <w:jc w:val="center"/>
              <w:rPr>
                <w:rFonts w:ascii="宋体" w:hAnsi="宋体" w:cs="宋体"/>
                <w:color w:val="000000" w:themeColor="text1"/>
                <w:sz w:val="24"/>
                <w:szCs w:val="20"/>
                <w14:textFill>
                  <w14:solidFill>
                    <w14:schemeClr w14:val="tx1"/>
                  </w14:solidFill>
                </w14:textFill>
              </w:rPr>
            </w:pPr>
          </w:p>
        </w:tc>
        <w:tc>
          <w:tcPr>
            <w:tcW w:w="926" w:type="dxa"/>
            <w:tcBorders>
              <w:top w:val="single" w:color="auto" w:sz="4" w:space="0"/>
              <w:left w:val="single" w:color="auto" w:sz="4" w:space="0"/>
              <w:bottom w:val="single" w:color="auto" w:sz="4" w:space="0"/>
              <w:right w:val="single" w:color="auto" w:sz="4" w:space="0"/>
            </w:tcBorders>
            <w:vAlign w:val="center"/>
          </w:tcPr>
          <w:p w14:paraId="059B706D">
            <w:pPr>
              <w:ind w:firstLine="480"/>
              <w:jc w:val="center"/>
              <w:rPr>
                <w:rFonts w:ascii="宋体" w:hAnsi="宋体" w:cs="宋体"/>
                <w:color w:val="000000" w:themeColor="text1"/>
                <w:sz w:val="24"/>
                <w:szCs w:val="20"/>
                <w14:textFill>
                  <w14:solidFill>
                    <w14:schemeClr w14:val="tx1"/>
                  </w14:solidFill>
                </w14:textFill>
              </w:rPr>
            </w:pPr>
          </w:p>
        </w:tc>
        <w:tc>
          <w:tcPr>
            <w:tcW w:w="2320" w:type="dxa"/>
            <w:tcBorders>
              <w:top w:val="single" w:color="auto" w:sz="4" w:space="0"/>
              <w:left w:val="single" w:color="auto" w:sz="4" w:space="0"/>
              <w:bottom w:val="single" w:color="auto" w:sz="4" w:space="0"/>
              <w:right w:val="single" w:color="auto" w:sz="4" w:space="0"/>
            </w:tcBorders>
            <w:vAlign w:val="center"/>
          </w:tcPr>
          <w:p w14:paraId="1EF8C1E7">
            <w:pPr>
              <w:ind w:firstLine="480"/>
              <w:jc w:val="center"/>
              <w:rPr>
                <w:rFonts w:ascii="宋体" w:hAnsi="宋体" w:cs="宋体"/>
                <w:color w:val="000000" w:themeColor="text1"/>
                <w:sz w:val="24"/>
                <w:szCs w:val="20"/>
                <w14:textFill>
                  <w14:solidFill>
                    <w14:schemeClr w14:val="tx1"/>
                  </w14:solidFill>
                </w14:textFill>
              </w:rPr>
            </w:pPr>
          </w:p>
        </w:tc>
        <w:tc>
          <w:tcPr>
            <w:tcW w:w="771" w:type="dxa"/>
            <w:tcBorders>
              <w:top w:val="single" w:color="auto" w:sz="4" w:space="0"/>
              <w:left w:val="single" w:color="auto" w:sz="4" w:space="0"/>
              <w:bottom w:val="single" w:color="auto" w:sz="4" w:space="0"/>
              <w:right w:val="single" w:color="auto" w:sz="4" w:space="0"/>
            </w:tcBorders>
            <w:vAlign w:val="center"/>
          </w:tcPr>
          <w:p w14:paraId="36BE0921">
            <w:pPr>
              <w:ind w:firstLine="480"/>
              <w:jc w:val="center"/>
              <w:rPr>
                <w:rFonts w:ascii="宋体" w:hAnsi="宋体" w:cs="宋体"/>
                <w:color w:val="000000" w:themeColor="text1"/>
                <w:sz w:val="24"/>
                <w:szCs w:val="20"/>
                <w14:textFill>
                  <w14:solidFill>
                    <w14:schemeClr w14:val="tx1"/>
                  </w14:solidFill>
                </w14:textFill>
              </w:rPr>
            </w:pPr>
          </w:p>
        </w:tc>
      </w:tr>
      <w:tr w14:paraId="683D61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6448F1E4">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4C9EDA55">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4449CAB8">
            <w:pPr>
              <w:ind w:firstLine="480"/>
              <w:jc w:val="center"/>
              <w:rPr>
                <w:rFonts w:ascii="宋体" w:hAnsi="宋体" w:cs="宋体"/>
                <w:color w:val="000000" w:themeColor="text1"/>
                <w:sz w:val="24"/>
                <w:szCs w:val="20"/>
                <w14:textFill>
                  <w14:solidFill>
                    <w14:schemeClr w14:val="tx1"/>
                  </w14:solidFill>
                </w14:textFill>
              </w:rPr>
            </w:pPr>
          </w:p>
        </w:tc>
        <w:tc>
          <w:tcPr>
            <w:tcW w:w="1235" w:type="dxa"/>
            <w:tcBorders>
              <w:top w:val="single" w:color="auto" w:sz="4" w:space="0"/>
              <w:left w:val="single" w:color="auto" w:sz="4" w:space="0"/>
              <w:bottom w:val="single" w:color="auto" w:sz="4" w:space="0"/>
              <w:right w:val="single" w:color="auto" w:sz="4" w:space="0"/>
            </w:tcBorders>
            <w:vAlign w:val="center"/>
          </w:tcPr>
          <w:p w14:paraId="7D1D6FFC">
            <w:pPr>
              <w:ind w:firstLine="480"/>
              <w:jc w:val="center"/>
              <w:rPr>
                <w:rFonts w:ascii="宋体" w:hAnsi="宋体" w:cs="宋体"/>
                <w:color w:val="000000" w:themeColor="text1"/>
                <w:sz w:val="24"/>
                <w:szCs w:val="20"/>
                <w14:textFill>
                  <w14:solidFill>
                    <w14:schemeClr w14:val="tx1"/>
                  </w14:solidFill>
                </w14:textFill>
              </w:rPr>
            </w:pPr>
          </w:p>
        </w:tc>
        <w:tc>
          <w:tcPr>
            <w:tcW w:w="840" w:type="dxa"/>
            <w:tcBorders>
              <w:top w:val="single" w:color="auto" w:sz="4" w:space="0"/>
              <w:left w:val="single" w:color="auto" w:sz="4" w:space="0"/>
              <w:bottom w:val="single" w:color="auto" w:sz="4" w:space="0"/>
              <w:right w:val="single" w:color="auto" w:sz="4" w:space="0"/>
            </w:tcBorders>
            <w:vAlign w:val="center"/>
          </w:tcPr>
          <w:p w14:paraId="08C6A35F">
            <w:pPr>
              <w:ind w:firstLine="480"/>
              <w:jc w:val="center"/>
              <w:rPr>
                <w:rFonts w:ascii="宋体" w:hAnsi="宋体" w:cs="宋体"/>
                <w:color w:val="000000" w:themeColor="text1"/>
                <w:sz w:val="24"/>
                <w:szCs w:val="20"/>
                <w14:textFill>
                  <w14:solidFill>
                    <w14:schemeClr w14:val="tx1"/>
                  </w14:solidFill>
                </w14:textFill>
              </w:rPr>
            </w:pPr>
          </w:p>
        </w:tc>
        <w:tc>
          <w:tcPr>
            <w:tcW w:w="858" w:type="dxa"/>
            <w:tcBorders>
              <w:top w:val="single" w:color="auto" w:sz="4" w:space="0"/>
              <w:left w:val="single" w:color="auto" w:sz="4" w:space="0"/>
              <w:bottom w:val="single" w:color="auto" w:sz="4" w:space="0"/>
              <w:right w:val="single" w:color="auto" w:sz="4" w:space="0"/>
            </w:tcBorders>
            <w:vAlign w:val="center"/>
          </w:tcPr>
          <w:p w14:paraId="6D561F0B">
            <w:pPr>
              <w:ind w:firstLine="480"/>
              <w:jc w:val="center"/>
              <w:rPr>
                <w:rFonts w:ascii="宋体" w:hAnsi="宋体" w:cs="宋体"/>
                <w:color w:val="000000" w:themeColor="text1"/>
                <w:sz w:val="24"/>
                <w:szCs w:val="20"/>
                <w14:textFill>
                  <w14:solidFill>
                    <w14:schemeClr w14:val="tx1"/>
                  </w14:solidFill>
                </w14:textFill>
              </w:rPr>
            </w:pPr>
          </w:p>
        </w:tc>
        <w:tc>
          <w:tcPr>
            <w:tcW w:w="926" w:type="dxa"/>
            <w:tcBorders>
              <w:top w:val="single" w:color="auto" w:sz="4" w:space="0"/>
              <w:left w:val="single" w:color="auto" w:sz="4" w:space="0"/>
              <w:bottom w:val="single" w:color="auto" w:sz="4" w:space="0"/>
              <w:right w:val="single" w:color="auto" w:sz="4" w:space="0"/>
            </w:tcBorders>
            <w:vAlign w:val="center"/>
          </w:tcPr>
          <w:p w14:paraId="2CC8EF83">
            <w:pPr>
              <w:ind w:firstLine="480"/>
              <w:jc w:val="center"/>
              <w:rPr>
                <w:rFonts w:ascii="宋体" w:hAnsi="宋体" w:cs="宋体"/>
                <w:color w:val="000000" w:themeColor="text1"/>
                <w:sz w:val="24"/>
                <w:szCs w:val="20"/>
                <w14:textFill>
                  <w14:solidFill>
                    <w14:schemeClr w14:val="tx1"/>
                  </w14:solidFill>
                </w14:textFill>
              </w:rPr>
            </w:pPr>
          </w:p>
        </w:tc>
        <w:tc>
          <w:tcPr>
            <w:tcW w:w="2320" w:type="dxa"/>
            <w:tcBorders>
              <w:top w:val="single" w:color="auto" w:sz="4" w:space="0"/>
              <w:left w:val="single" w:color="auto" w:sz="4" w:space="0"/>
              <w:bottom w:val="single" w:color="auto" w:sz="4" w:space="0"/>
              <w:right w:val="single" w:color="auto" w:sz="4" w:space="0"/>
            </w:tcBorders>
            <w:vAlign w:val="center"/>
          </w:tcPr>
          <w:p w14:paraId="148C3885">
            <w:pPr>
              <w:ind w:firstLine="480"/>
              <w:jc w:val="center"/>
              <w:rPr>
                <w:rFonts w:ascii="宋体" w:hAnsi="宋体" w:cs="宋体"/>
                <w:color w:val="000000" w:themeColor="text1"/>
                <w:sz w:val="24"/>
                <w:szCs w:val="20"/>
                <w14:textFill>
                  <w14:solidFill>
                    <w14:schemeClr w14:val="tx1"/>
                  </w14:solidFill>
                </w14:textFill>
              </w:rPr>
            </w:pPr>
          </w:p>
        </w:tc>
        <w:tc>
          <w:tcPr>
            <w:tcW w:w="771" w:type="dxa"/>
            <w:tcBorders>
              <w:top w:val="single" w:color="auto" w:sz="4" w:space="0"/>
              <w:left w:val="single" w:color="auto" w:sz="4" w:space="0"/>
              <w:bottom w:val="single" w:color="auto" w:sz="4" w:space="0"/>
              <w:right w:val="single" w:color="auto" w:sz="4" w:space="0"/>
            </w:tcBorders>
            <w:vAlign w:val="center"/>
          </w:tcPr>
          <w:p w14:paraId="4AAC8719">
            <w:pPr>
              <w:ind w:firstLine="480"/>
              <w:jc w:val="center"/>
              <w:rPr>
                <w:rFonts w:ascii="宋体" w:hAnsi="宋体" w:cs="宋体"/>
                <w:color w:val="000000" w:themeColor="text1"/>
                <w:sz w:val="24"/>
                <w:szCs w:val="20"/>
                <w14:textFill>
                  <w14:solidFill>
                    <w14:schemeClr w14:val="tx1"/>
                  </w14:solidFill>
                </w14:textFill>
              </w:rPr>
            </w:pPr>
          </w:p>
        </w:tc>
      </w:tr>
      <w:tr w14:paraId="6CF2BA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7E0AFA13">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5AA4D87F">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4B905F3B">
            <w:pPr>
              <w:ind w:firstLine="480"/>
              <w:jc w:val="center"/>
              <w:rPr>
                <w:rFonts w:ascii="宋体" w:hAnsi="宋体" w:cs="宋体"/>
                <w:color w:val="000000" w:themeColor="text1"/>
                <w:sz w:val="24"/>
                <w:szCs w:val="20"/>
                <w14:textFill>
                  <w14:solidFill>
                    <w14:schemeClr w14:val="tx1"/>
                  </w14:solidFill>
                </w14:textFill>
              </w:rPr>
            </w:pPr>
          </w:p>
        </w:tc>
        <w:tc>
          <w:tcPr>
            <w:tcW w:w="1235" w:type="dxa"/>
            <w:tcBorders>
              <w:top w:val="single" w:color="auto" w:sz="4" w:space="0"/>
              <w:left w:val="single" w:color="auto" w:sz="4" w:space="0"/>
              <w:bottom w:val="single" w:color="auto" w:sz="4" w:space="0"/>
              <w:right w:val="single" w:color="auto" w:sz="4" w:space="0"/>
            </w:tcBorders>
            <w:vAlign w:val="center"/>
          </w:tcPr>
          <w:p w14:paraId="4F9DAC40">
            <w:pPr>
              <w:ind w:firstLine="480"/>
              <w:jc w:val="center"/>
              <w:rPr>
                <w:rFonts w:ascii="宋体" w:hAnsi="宋体" w:cs="宋体"/>
                <w:color w:val="000000" w:themeColor="text1"/>
                <w:sz w:val="24"/>
                <w:szCs w:val="20"/>
                <w14:textFill>
                  <w14:solidFill>
                    <w14:schemeClr w14:val="tx1"/>
                  </w14:solidFill>
                </w14:textFill>
              </w:rPr>
            </w:pPr>
          </w:p>
        </w:tc>
        <w:tc>
          <w:tcPr>
            <w:tcW w:w="840" w:type="dxa"/>
            <w:tcBorders>
              <w:top w:val="single" w:color="auto" w:sz="4" w:space="0"/>
              <w:left w:val="single" w:color="auto" w:sz="4" w:space="0"/>
              <w:bottom w:val="single" w:color="auto" w:sz="4" w:space="0"/>
              <w:right w:val="single" w:color="auto" w:sz="4" w:space="0"/>
            </w:tcBorders>
            <w:vAlign w:val="center"/>
          </w:tcPr>
          <w:p w14:paraId="7ECF3809">
            <w:pPr>
              <w:ind w:firstLine="480"/>
              <w:jc w:val="center"/>
              <w:rPr>
                <w:rFonts w:ascii="宋体" w:hAnsi="宋体" w:cs="宋体"/>
                <w:color w:val="000000" w:themeColor="text1"/>
                <w:sz w:val="24"/>
                <w:szCs w:val="20"/>
                <w14:textFill>
                  <w14:solidFill>
                    <w14:schemeClr w14:val="tx1"/>
                  </w14:solidFill>
                </w14:textFill>
              </w:rPr>
            </w:pPr>
          </w:p>
        </w:tc>
        <w:tc>
          <w:tcPr>
            <w:tcW w:w="858" w:type="dxa"/>
            <w:tcBorders>
              <w:top w:val="single" w:color="auto" w:sz="4" w:space="0"/>
              <w:left w:val="single" w:color="auto" w:sz="4" w:space="0"/>
              <w:bottom w:val="single" w:color="auto" w:sz="4" w:space="0"/>
              <w:right w:val="single" w:color="auto" w:sz="4" w:space="0"/>
            </w:tcBorders>
            <w:vAlign w:val="center"/>
          </w:tcPr>
          <w:p w14:paraId="7DFC8274">
            <w:pPr>
              <w:ind w:firstLine="480"/>
              <w:jc w:val="center"/>
              <w:rPr>
                <w:rFonts w:ascii="宋体" w:hAnsi="宋体" w:cs="宋体"/>
                <w:color w:val="000000" w:themeColor="text1"/>
                <w:sz w:val="24"/>
                <w:szCs w:val="20"/>
                <w14:textFill>
                  <w14:solidFill>
                    <w14:schemeClr w14:val="tx1"/>
                  </w14:solidFill>
                </w14:textFill>
              </w:rPr>
            </w:pPr>
          </w:p>
        </w:tc>
        <w:tc>
          <w:tcPr>
            <w:tcW w:w="926" w:type="dxa"/>
            <w:tcBorders>
              <w:top w:val="single" w:color="auto" w:sz="4" w:space="0"/>
              <w:left w:val="single" w:color="auto" w:sz="4" w:space="0"/>
              <w:bottom w:val="single" w:color="auto" w:sz="4" w:space="0"/>
              <w:right w:val="single" w:color="auto" w:sz="4" w:space="0"/>
            </w:tcBorders>
            <w:vAlign w:val="center"/>
          </w:tcPr>
          <w:p w14:paraId="26F539ED">
            <w:pPr>
              <w:ind w:firstLine="480"/>
              <w:jc w:val="center"/>
              <w:rPr>
                <w:rFonts w:ascii="宋体" w:hAnsi="宋体" w:cs="宋体"/>
                <w:color w:val="000000" w:themeColor="text1"/>
                <w:sz w:val="24"/>
                <w:szCs w:val="20"/>
                <w14:textFill>
                  <w14:solidFill>
                    <w14:schemeClr w14:val="tx1"/>
                  </w14:solidFill>
                </w14:textFill>
              </w:rPr>
            </w:pPr>
          </w:p>
        </w:tc>
        <w:tc>
          <w:tcPr>
            <w:tcW w:w="2320" w:type="dxa"/>
            <w:tcBorders>
              <w:top w:val="single" w:color="auto" w:sz="4" w:space="0"/>
              <w:left w:val="single" w:color="auto" w:sz="4" w:space="0"/>
              <w:bottom w:val="single" w:color="auto" w:sz="4" w:space="0"/>
              <w:right w:val="single" w:color="auto" w:sz="4" w:space="0"/>
            </w:tcBorders>
            <w:vAlign w:val="center"/>
          </w:tcPr>
          <w:p w14:paraId="52AFC446">
            <w:pPr>
              <w:ind w:firstLine="480"/>
              <w:jc w:val="center"/>
              <w:rPr>
                <w:rFonts w:ascii="宋体" w:hAnsi="宋体" w:cs="宋体"/>
                <w:color w:val="000000" w:themeColor="text1"/>
                <w:sz w:val="24"/>
                <w:szCs w:val="20"/>
                <w14:textFill>
                  <w14:solidFill>
                    <w14:schemeClr w14:val="tx1"/>
                  </w14:solidFill>
                </w14:textFill>
              </w:rPr>
            </w:pPr>
          </w:p>
        </w:tc>
        <w:tc>
          <w:tcPr>
            <w:tcW w:w="771" w:type="dxa"/>
            <w:tcBorders>
              <w:top w:val="single" w:color="auto" w:sz="4" w:space="0"/>
              <w:left w:val="single" w:color="auto" w:sz="4" w:space="0"/>
              <w:bottom w:val="single" w:color="auto" w:sz="4" w:space="0"/>
              <w:right w:val="single" w:color="auto" w:sz="4" w:space="0"/>
            </w:tcBorders>
            <w:vAlign w:val="center"/>
          </w:tcPr>
          <w:p w14:paraId="286A165C">
            <w:pPr>
              <w:ind w:firstLine="480"/>
              <w:jc w:val="center"/>
              <w:rPr>
                <w:rFonts w:ascii="宋体" w:hAnsi="宋体" w:cs="宋体"/>
                <w:color w:val="000000" w:themeColor="text1"/>
                <w:sz w:val="24"/>
                <w:szCs w:val="20"/>
                <w14:textFill>
                  <w14:solidFill>
                    <w14:schemeClr w14:val="tx1"/>
                  </w14:solidFill>
                </w14:textFill>
              </w:rPr>
            </w:pPr>
          </w:p>
        </w:tc>
      </w:tr>
      <w:tr w14:paraId="300549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209E3DBD">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07812145">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19C7BB8C">
            <w:pPr>
              <w:ind w:firstLine="480"/>
              <w:jc w:val="center"/>
              <w:rPr>
                <w:rFonts w:ascii="宋体" w:hAnsi="宋体" w:cs="宋体"/>
                <w:color w:val="000000" w:themeColor="text1"/>
                <w:sz w:val="24"/>
                <w:szCs w:val="20"/>
                <w14:textFill>
                  <w14:solidFill>
                    <w14:schemeClr w14:val="tx1"/>
                  </w14:solidFill>
                </w14:textFill>
              </w:rPr>
            </w:pPr>
          </w:p>
        </w:tc>
        <w:tc>
          <w:tcPr>
            <w:tcW w:w="1235" w:type="dxa"/>
            <w:tcBorders>
              <w:top w:val="single" w:color="auto" w:sz="4" w:space="0"/>
              <w:left w:val="single" w:color="auto" w:sz="4" w:space="0"/>
              <w:bottom w:val="single" w:color="auto" w:sz="4" w:space="0"/>
              <w:right w:val="single" w:color="auto" w:sz="4" w:space="0"/>
            </w:tcBorders>
            <w:vAlign w:val="center"/>
          </w:tcPr>
          <w:p w14:paraId="2B2355DC">
            <w:pPr>
              <w:ind w:firstLine="480"/>
              <w:jc w:val="center"/>
              <w:rPr>
                <w:rFonts w:ascii="宋体" w:hAnsi="宋体" w:cs="宋体"/>
                <w:color w:val="000000" w:themeColor="text1"/>
                <w:sz w:val="24"/>
                <w:szCs w:val="20"/>
                <w14:textFill>
                  <w14:solidFill>
                    <w14:schemeClr w14:val="tx1"/>
                  </w14:solidFill>
                </w14:textFill>
              </w:rPr>
            </w:pPr>
          </w:p>
        </w:tc>
        <w:tc>
          <w:tcPr>
            <w:tcW w:w="840" w:type="dxa"/>
            <w:tcBorders>
              <w:top w:val="single" w:color="auto" w:sz="4" w:space="0"/>
              <w:left w:val="single" w:color="auto" w:sz="4" w:space="0"/>
              <w:bottom w:val="single" w:color="auto" w:sz="4" w:space="0"/>
              <w:right w:val="single" w:color="auto" w:sz="4" w:space="0"/>
            </w:tcBorders>
            <w:vAlign w:val="center"/>
          </w:tcPr>
          <w:p w14:paraId="471870C9">
            <w:pPr>
              <w:ind w:firstLine="480"/>
              <w:jc w:val="center"/>
              <w:rPr>
                <w:rFonts w:ascii="宋体" w:hAnsi="宋体" w:cs="宋体"/>
                <w:color w:val="000000" w:themeColor="text1"/>
                <w:sz w:val="24"/>
                <w:szCs w:val="20"/>
                <w14:textFill>
                  <w14:solidFill>
                    <w14:schemeClr w14:val="tx1"/>
                  </w14:solidFill>
                </w14:textFill>
              </w:rPr>
            </w:pPr>
          </w:p>
        </w:tc>
        <w:tc>
          <w:tcPr>
            <w:tcW w:w="858" w:type="dxa"/>
            <w:tcBorders>
              <w:top w:val="single" w:color="auto" w:sz="4" w:space="0"/>
              <w:left w:val="single" w:color="auto" w:sz="4" w:space="0"/>
              <w:bottom w:val="single" w:color="auto" w:sz="4" w:space="0"/>
              <w:right w:val="single" w:color="auto" w:sz="4" w:space="0"/>
            </w:tcBorders>
            <w:vAlign w:val="center"/>
          </w:tcPr>
          <w:p w14:paraId="71DCB98A">
            <w:pPr>
              <w:ind w:firstLine="480"/>
              <w:jc w:val="center"/>
              <w:rPr>
                <w:rFonts w:ascii="宋体" w:hAnsi="宋体" w:cs="宋体"/>
                <w:color w:val="000000" w:themeColor="text1"/>
                <w:sz w:val="24"/>
                <w:szCs w:val="20"/>
                <w14:textFill>
                  <w14:solidFill>
                    <w14:schemeClr w14:val="tx1"/>
                  </w14:solidFill>
                </w14:textFill>
              </w:rPr>
            </w:pPr>
          </w:p>
        </w:tc>
        <w:tc>
          <w:tcPr>
            <w:tcW w:w="926" w:type="dxa"/>
            <w:tcBorders>
              <w:top w:val="single" w:color="auto" w:sz="4" w:space="0"/>
              <w:left w:val="single" w:color="auto" w:sz="4" w:space="0"/>
              <w:bottom w:val="single" w:color="auto" w:sz="4" w:space="0"/>
              <w:right w:val="single" w:color="auto" w:sz="4" w:space="0"/>
            </w:tcBorders>
            <w:vAlign w:val="center"/>
          </w:tcPr>
          <w:p w14:paraId="7F581221">
            <w:pPr>
              <w:ind w:firstLine="480"/>
              <w:jc w:val="center"/>
              <w:rPr>
                <w:rFonts w:ascii="宋体" w:hAnsi="宋体" w:cs="宋体"/>
                <w:color w:val="000000" w:themeColor="text1"/>
                <w:sz w:val="24"/>
                <w:szCs w:val="20"/>
                <w14:textFill>
                  <w14:solidFill>
                    <w14:schemeClr w14:val="tx1"/>
                  </w14:solidFill>
                </w14:textFill>
              </w:rPr>
            </w:pPr>
          </w:p>
        </w:tc>
        <w:tc>
          <w:tcPr>
            <w:tcW w:w="2320" w:type="dxa"/>
            <w:tcBorders>
              <w:top w:val="single" w:color="auto" w:sz="4" w:space="0"/>
              <w:left w:val="single" w:color="auto" w:sz="4" w:space="0"/>
              <w:bottom w:val="single" w:color="auto" w:sz="4" w:space="0"/>
              <w:right w:val="single" w:color="auto" w:sz="4" w:space="0"/>
            </w:tcBorders>
            <w:vAlign w:val="center"/>
          </w:tcPr>
          <w:p w14:paraId="2198A034">
            <w:pPr>
              <w:ind w:firstLine="480"/>
              <w:jc w:val="center"/>
              <w:rPr>
                <w:rFonts w:ascii="宋体" w:hAnsi="宋体" w:cs="宋体"/>
                <w:color w:val="000000" w:themeColor="text1"/>
                <w:sz w:val="24"/>
                <w:szCs w:val="20"/>
                <w14:textFill>
                  <w14:solidFill>
                    <w14:schemeClr w14:val="tx1"/>
                  </w14:solidFill>
                </w14:textFill>
              </w:rPr>
            </w:pPr>
          </w:p>
        </w:tc>
        <w:tc>
          <w:tcPr>
            <w:tcW w:w="771" w:type="dxa"/>
            <w:tcBorders>
              <w:top w:val="single" w:color="auto" w:sz="4" w:space="0"/>
              <w:left w:val="single" w:color="auto" w:sz="4" w:space="0"/>
              <w:bottom w:val="single" w:color="auto" w:sz="4" w:space="0"/>
              <w:right w:val="single" w:color="auto" w:sz="4" w:space="0"/>
            </w:tcBorders>
            <w:vAlign w:val="center"/>
          </w:tcPr>
          <w:p w14:paraId="2AC3ADEC">
            <w:pPr>
              <w:ind w:firstLine="480"/>
              <w:jc w:val="center"/>
              <w:rPr>
                <w:rFonts w:ascii="宋体" w:hAnsi="宋体" w:cs="宋体"/>
                <w:color w:val="000000" w:themeColor="text1"/>
                <w:sz w:val="24"/>
                <w:szCs w:val="20"/>
                <w14:textFill>
                  <w14:solidFill>
                    <w14:schemeClr w14:val="tx1"/>
                  </w14:solidFill>
                </w14:textFill>
              </w:rPr>
            </w:pPr>
          </w:p>
        </w:tc>
      </w:tr>
      <w:tr w14:paraId="6341B1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46AD1A60">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31F06822">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52391A78">
            <w:pPr>
              <w:ind w:firstLine="480"/>
              <w:jc w:val="center"/>
              <w:rPr>
                <w:rFonts w:ascii="宋体" w:hAnsi="宋体" w:cs="宋体"/>
                <w:color w:val="000000" w:themeColor="text1"/>
                <w:sz w:val="24"/>
                <w:szCs w:val="20"/>
                <w14:textFill>
                  <w14:solidFill>
                    <w14:schemeClr w14:val="tx1"/>
                  </w14:solidFill>
                </w14:textFill>
              </w:rPr>
            </w:pPr>
          </w:p>
        </w:tc>
        <w:tc>
          <w:tcPr>
            <w:tcW w:w="1235" w:type="dxa"/>
            <w:tcBorders>
              <w:top w:val="single" w:color="auto" w:sz="4" w:space="0"/>
              <w:left w:val="single" w:color="auto" w:sz="4" w:space="0"/>
              <w:bottom w:val="single" w:color="auto" w:sz="4" w:space="0"/>
              <w:right w:val="single" w:color="auto" w:sz="4" w:space="0"/>
            </w:tcBorders>
            <w:vAlign w:val="center"/>
          </w:tcPr>
          <w:p w14:paraId="4D384167">
            <w:pPr>
              <w:ind w:firstLine="480"/>
              <w:jc w:val="center"/>
              <w:rPr>
                <w:rFonts w:ascii="宋体" w:hAnsi="宋体" w:cs="宋体"/>
                <w:color w:val="000000" w:themeColor="text1"/>
                <w:sz w:val="24"/>
                <w:szCs w:val="20"/>
                <w14:textFill>
                  <w14:solidFill>
                    <w14:schemeClr w14:val="tx1"/>
                  </w14:solidFill>
                </w14:textFill>
              </w:rPr>
            </w:pPr>
          </w:p>
        </w:tc>
        <w:tc>
          <w:tcPr>
            <w:tcW w:w="840" w:type="dxa"/>
            <w:tcBorders>
              <w:top w:val="single" w:color="auto" w:sz="4" w:space="0"/>
              <w:left w:val="single" w:color="auto" w:sz="4" w:space="0"/>
              <w:bottom w:val="single" w:color="auto" w:sz="4" w:space="0"/>
              <w:right w:val="single" w:color="auto" w:sz="4" w:space="0"/>
            </w:tcBorders>
            <w:vAlign w:val="center"/>
          </w:tcPr>
          <w:p w14:paraId="06128D7F">
            <w:pPr>
              <w:ind w:firstLine="480"/>
              <w:jc w:val="center"/>
              <w:rPr>
                <w:rFonts w:ascii="宋体" w:hAnsi="宋体" w:cs="宋体"/>
                <w:color w:val="000000" w:themeColor="text1"/>
                <w:sz w:val="24"/>
                <w:szCs w:val="20"/>
                <w14:textFill>
                  <w14:solidFill>
                    <w14:schemeClr w14:val="tx1"/>
                  </w14:solidFill>
                </w14:textFill>
              </w:rPr>
            </w:pPr>
          </w:p>
        </w:tc>
        <w:tc>
          <w:tcPr>
            <w:tcW w:w="858" w:type="dxa"/>
            <w:tcBorders>
              <w:top w:val="single" w:color="auto" w:sz="4" w:space="0"/>
              <w:left w:val="single" w:color="auto" w:sz="4" w:space="0"/>
              <w:bottom w:val="single" w:color="auto" w:sz="4" w:space="0"/>
              <w:right w:val="single" w:color="auto" w:sz="4" w:space="0"/>
            </w:tcBorders>
            <w:vAlign w:val="center"/>
          </w:tcPr>
          <w:p w14:paraId="0613FAC2">
            <w:pPr>
              <w:ind w:firstLine="480"/>
              <w:jc w:val="center"/>
              <w:rPr>
                <w:rFonts w:ascii="宋体" w:hAnsi="宋体" w:cs="宋体"/>
                <w:color w:val="000000" w:themeColor="text1"/>
                <w:sz w:val="24"/>
                <w:szCs w:val="20"/>
                <w14:textFill>
                  <w14:solidFill>
                    <w14:schemeClr w14:val="tx1"/>
                  </w14:solidFill>
                </w14:textFill>
              </w:rPr>
            </w:pPr>
          </w:p>
        </w:tc>
        <w:tc>
          <w:tcPr>
            <w:tcW w:w="926" w:type="dxa"/>
            <w:tcBorders>
              <w:top w:val="single" w:color="auto" w:sz="4" w:space="0"/>
              <w:left w:val="single" w:color="auto" w:sz="4" w:space="0"/>
              <w:bottom w:val="single" w:color="auto" w:sz="4" w:space="0"/>
              <w:right w:val="single" w:color="auto" w:sz="4" w:space="0"/>
            </w:tcBorders>
            <w:vAlign w:val="center"/>
          </w:tcPr>
          <w:p w14:paraId="0BC426EC">
            <w:pPr>
              <w:ind w:firstLine="480"/>
              <w:jc w:val="center"/>
              <w:rPr>
                <w:rFonts w:ascii="宋体" w:hAnsi="宋体" w:cs="宋体"/>
                <w:color w:val="000000" w:themeColor="text1"/>
                <w:sz w:val="24"/>
                <w:szCs w:val="20"/>
                <w14:textFill>
                  <w14:solidFill>
                    <w14:schemeClr w14:val="tx1"/>
                  </w14:solidFill>
                </w14:textFill>
              </w:rPr>
            </w:pPr>
          </w:p>
        </w:tc>
        <w:tc>
          <w:tcPr>
            <w:tcW w:w="2320" w:type="dxa"/>
            <w:tcBorders>
              <w:top w:val="single" w:color="auto" w:sz="4" w:space="0"/>
              <w:left w:val="single" w:color="auto" w:sz="4" w:space="0"/>
              <w:bottom w:val="single" w:color="auto" w:sz="4" w:space="0"/>
              <w:right w:val="single" w:color="auto" w:sz="4" w:space="0"/>
            </w:tcBorders>
            <w:vAlign w:val="center"/>
          </w:tcPr>
          <w:p w14:paraId="34D099A6">
            <w:pPr>
              <w:ind w:firstLine="480"/>
              <w:jc w:val="center"/>
              <w:rPr>
                <w:rFonts w:ascii="宋体" w:hAnsi="宋体" w:cs="宋体"/>
                <w:color w:val="000000" w:themeColor="text1"/>
                <w:sz w:val="24"/>
                <w:szCs w:val="20"/>
                <w14:textFill>
                  <w14:solidFill>
                    <w14:schemeClr w14:val="tx1"/>
                  </w14:solidFill>
                </w14:textFill>
              </w:rPr>
            </w:pPr>
          </w:p>
        </w:tc>
        <w:tc>
          <w:tcPr>
            <w:tcW w:w="771" w:type="dxa"/>
            <w:tcBorders>
              <w:top w:val="single" w:color="auto" w:sz="4" w:space="0"/>
              <w:left w:val="single" w:color="auto" w:sz="4" w:space="0"/>
              <w:bottom w:val="single" w:color="auto" w:sz="4" w:space="0"/>
              <w:right w:val="single" w:color="auto" w:sz="4" w:space="0"/>
            </w:tcBorders>
            <w:vAlign w:val="center"/>
          </w:tcPr>
          <w:p w14:paraId="1A4FAAAC">
            <w:pPr>
              <w:ind w:firstLine="480"/>
              <w:jc w:val="center"/>
              <w:rPr>
                <w:rFonts w:ascii="宋体" w:hAnsi="宋体" w:cs="宋体"/>
                <w:color w:val="000000" w:themeColor="text1"/>
                <w:sz w:val="24"/>
                <w:szCs w:val="20"/>
                <w14:textFill>
                  <w14:solidFill>
                    <w14:schemeClr w14:val="tx1"/>
                  </w14:solidFill>
                </w14:textFill>
              </w:rPr>
            </w:pPr>
          </w:p>
        </w:tc>
      </w:tr>
      <w:tr w14:paraId="6A410F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20DD3B7C">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6379C7D4">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75A656CD">
            <w:pPr>
              <w:ind w:firstLine="480"/>
              <w:jc w:val="center"/>
              <w:rPr>
                <w:rFonts w:ascii="宋体" w:hAnsi="宋体" w:cs="宋体"/>
                <w:color w:val="000000" w:themeColor="text1"/>
                <w:sz w:val="24"/>
                <w:szCs w:val="20"/>
                <w14:textFill>
                  <w14:solidFill>
                    <w14:schemeClr w14:val="tx1"/>
                  </w14:solidFill>
                </w14:textFill>
              </w:rPr>
            </w:pPr>
          </w:p>
        </w:tc>
        <w:tc>
          <w:tcPr>
            <w:tcW w:w="1235" w:type="dxa"/>
            <w:tcBorders>
              <w:top w:val="single" w:color="auto" w:sz="4" w:space="0"/>
              <w:left w:val="single" w:color="auto" w:sz="4" w:space="0"/>
              <w:bottom w:val="single" w:color="auto" w:sz="4" w:space="0"/>
              <w:right w:val="single" w:color="auto" w:sz="4" w:space="0"/>
            </w:tcBorders>
            <w:vAlign w:val="center"/>
          </w:tcPr>
          <w:p w14:paraId="6724F026">
            <w:pPr>
              <w:ind w:firstLine="480"/>
              <w:jc w:val="center"/>
              <w:rPr>
                <w:rFonts w:ascii="宋体" w:hAnsi="宋体" w:cs="宋体"/>
                <w:color w:val="000000" w:themeColor="text1"/>
                <w:sz w:val="24"/>
                <w:szCs w:val="20"/>
                <w14:textFill>
                  <w14:solidFill>
                    <w14:schemeClr w14:val="tx1"/>
                  </w14:solidFill>
                </w14:textFill>
              </w:rPr>
            </w:pPr>
          </w:p>
        </w:tc>
        <w:tc>
          <w:tcPr>
            <w:tcW w:w="840" w:type="dxa"/>
            <w:tcBorders>
              <w:top w:val="single" w:color="auto" w:sz="4" w:space="0"/>
              <w:left w:val="single" w:color="auto" w:sz="4" w:space="0"/>
              <w:bottom w:val="single" w:color="auto" w:sz="4" w:space="0"/>
              <w:right w:val="single" w:color="auto" w:sz="4" w:space="0"/>
            </w:tcBorders>
            <w:vAlign w:val="center"/>
          </w:tcPr>
          <w:p w14:paraId="59E76592">
            <w:pPr>
              <w:ind w:firstLine="480"/>
              <w:jc w:val="center"/>
              <w:rPr>
                <w:rFonts w:ascii="宋体" w:hAnsi="宋体" w:cs="宋体"/>
                <w:color w:val="000000" w:themeColor="text1"/>
                <w:sz w:val="24"/>
                <w:szCs w:val="20"/>
                <w14:textFill>
                  <w14:solidFill>
                    <w14:schemeClr w14:val="tx1"/>
                  </w14:solidFill>
                </w14:textFill>
              </w:rPr>
            </w:pPr>
          </w:p>
        </w:tc>
        <w:tc>
          <w:tcPr>
            <w:tcW w:w="858" w:type="dxa"/>
            <w:tcBorders>
              <w:top w:val="single" w:color="auto" w:sz="4" w:space="0"/>
              <w:left w:val="single" w:color="auto" w:sz="4" w:space="0"/>
              <w:bottom w:val="single" w:color="auto" w:sz="4" w:space="0"/>
              <w:right w:val="single" w:color="auto" w:sz="4" w:space="0"/>
            </w:tcBorders>
            <w:vAlign w:val="center"/>
          </w:tcPr>
          <w:p w14:paraId="06E37F30">
            <w:pPr>
              <w:ind w:firstLine="480"/>
              <w:jc w:val="center"/>
              <w:rPr>
                <w:rFonts w:ascii="宋体" w:hAnsi="宋体" w:cs="宋体"/>
                <w:color w:val="000000" w:themeColor="text1"/>
                <w:sz w:val="24"/>
                <w:szCs w:val="20"/>
                <w14:textFill>
                  <w14:solidFill>
                    <w14:schemeClr w14:val="tx1"/>
                  </w14:solidFill>
                </w14:textFill>
              </w:rPr>
            </w:pPr>
          </w:p>
        </w:tc>
        <w:tc>
          <w:tcPr>
            <w:tcW w:w="926" w:type="dxa"/>
            <w:tcBorders>
              <w:top w:val="single" w:color="auto" w:sz="4" w:space="0"/>
              <w:left w:val="single" w:color="auto" w:sz="4" w:space="0"/>
              <w:bottom w:val="single" w:color="auto" w:sz="4" w:space="0"/>
              <w:right w:val="single" w:color="auto" w:sz="4" w:space="0"/>
            </w:tcBorders>
            <w:vAlign w:val="center"/>
          </w:tcPr>
          <w:p w14:paraId="235456DC">
            <w:pPr>
              <w:ind w:firstLine="480"/>
              <w:jc w:val="center"/>
              <w:rPr>
                <w:rFonts w:ascii="宋体" w:hAnsi="宋体" w:cs="宋体"/>
                <w:color w:val="000000" w:themeColor="text1"/>
                <w:sz w:val="24"/>
                <w:szCs w:val="20"/>
                <w14:textFill>
                  <w14:solidFill>
                    <w14:schemeClr w14:val="tx1"/>
                  </w14:solidFill>
                </w14:textFill>
              </w:rPr>
            </w:pPr>
          </w:p>
        </w:tc>
        <w:tc>
          <w:tcPr>
            <w:tcW w:w="2320" w:type="dxa"/>
            <w:tcBorders>
              <w:top w:val="single" w:color="auto" w:sz="4" w:space="0"/>
              <w:left w:val="single" w:color="auto" w:sz="4" w:space="0"/>
              <w:bottom w:val="single" w:color="auto" w:sz="4" w:space="0"/>
              <w:right w:val="single" w:color="auto" w:sz="4" w:space="0"/>
            </w:tcBorders>
            <w:vAlign w:val="center"/>
          </w:tcPr>
          <w:p w14:paraId="0F739952">
            <w:pPr>
              <w:ind w:firstLine="480"/>
              <w:jc w:val="center"/>
              <w:rPr>
                <w:rFonts w:ascii="宋体" w:hAnsi="宋体" w:cs="宋体"/>
                <w:color w:val="000000" w:themeColor="text1"/>
                <w:sz w:val="24"/>
                <w:szCs w:val="20"/>
                <w14:textFill>
                  <w14:solidFill>
                    <w14:schemeClr w14:val="tx1"/>
                  </w14:solidFill>
                </w14:textFill>
              </w:rPr>
            </w:pPr>
          </w:p>
        </w:tc>
        <w:tc>
          <w:tcPr>
            <w:tcW w:w="771" w:type="dxa"/>
            <w:tcBorders>
              <w:top w:val="single" w:color="auto" w:sz="4" w:space="0"/>
              <w:left w:val="single" w:color="auto" w:sz="4" w:space="0"/>
              <w:bottom w:val="single" w:color="auto" w:sz="4" w:space="0"/>
              <w:right w:val="single" w:color="auto" w:sz="4" w:space="0"/>
            </w:tcBorders>
            <w:vAlign w:val="center"/>
          </w:tcPr>
          <w:p w14:paraId="49A38A21">
            <w:pPr>
              <w:ind w:firstLine="480"/>
              <w:jc w:val="center"/>
              <w:rPr>
                <w:rFonts w:ascii="宋体" w:hAnsi="宋体" w:cs="宋体"/>
                <w:color w:val="000000" w:themeColor="text1"/>
                <w:sz w:val="24"/>
                <w:szCs w:val="20"/>
                <w14:textFill>
                  <w14:solidFill>
                    <w14:schemeClr w14:val="tx1"/>
                  </w14:solidFill>
                </w14:textFill>
              </w:rPr>
            </w:pPr>
          </w:p>
        </w:tc>
      </w:tr>
      <w:tr w14:paraId="70B6D9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3BE43031">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58EDD3FE">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00491C16">
            <w:pPr>
              <w:ind w:firstLine="480"/>
              <w:jc w:val="center"/>
              <w:rPr>
                <w:rFonts w:ascii="宋体" w:hAnsi="宋体" w:cs="宋体"/>
                <w:color w:val="000000" w:themeColor="text1"/>
                <w:sz w:val="24"/>
                <w:szCs w:val="20"/>
                <w14:textFill>
                  <w14:solidFill>
                    <w14:schemeClr w14:val="tx1"/>
                  </w14:solidFill>
                </w14:textFill>
              </w:rPr>
            </w:pPr>
          </w:p>
        </w:tc>
        <w:tc>
          <w:tcPr>
            <w:tcW w:w="1235" w:type="dxa"/>
            <w:tcBorders>
              <w:top w:val="single" w:color="auto" w:sz="4" w:space="0"/>
              <w:left w:val="single" w:color="auto" w:sz="4" w:space="0"/>
              <w:bottom w:val="single" w:color="auto" w:sz="4" w:space="0"/>
              <w:right w:val="single" w:color="auto" w:sz="4" w:space="0"/>
            </w:tcBorders>
            <w:vAlign w:val="center"/>
          </w:tcPr>
          <w:p w14:paraId="2CDEF7D8">
            <w:pPr>
              <w:ind w:firstLine="480"/>
              <w:jc w:val="center"/>
              <w:rPr>
                <w:rFonts w:ascii="宋体" w:hAnsi="宋体" w:cs="宋体"/>
                <w:color w:val="000000" w:themeColor="text1"/>
                <w:sz w:val="24"/>
                <w:szCs w:val="20"/>
                <w14:textFill>
                  <w14:solidFill>
                    <w14:schemeClr w14:val="tx1"/>
                  </w14:solidFill>
                </w14:textFill>
              </w:rPr>
            </w:pPr>
          </w:p>
        </w:tc>
        <w:tc>
          <w:tcPr>
            <w:tcW w:w="840" w:type="dxa"/>
            <w:tcBorders>
              <w:top w:val="single" w:color="auto" w:sz="4" w:space="0"/>
              <w:left w:val="single" w:color="auto" w:sz="4" w:space="0"/>
              <w:bottom w:val="single" w:color="auto" w:sz="4" w:space="0"/>
              <w:right w:val="single" w:color="auto" w:sz="4" w:space="0"/>
            </w:tcBorders>
            <w:vAlign w:val="center"/>
          </w:tcPr>
          <w:p w14:paraId="361292F8">
            <w:pPr>
              <w:ind w:firstLine="480"/>
              <w:jc w:val="center"/>
              <w:rPr>
                <w:rFonts w:ascii="宋体" w:hAnsi="宋体" w:cs="宋体"/>
                <w:color w:val="000000" w:themeColor="text1"/>
                <w:sz w:val="24"/>
                <w:szCs w:val="20"/>
                <w14:textFill>
                  <w14:solidFill>
                    <w14:schemeClr w14:val="tx1"/>
                  </w14:solidFill>
                </w14:textFill>
              </w:rPr>
            </w:pPr>
          </w:p>
        </w:tc>
        <w:tc>
          <w:tcPr>
            <w:tcW w:w="858" w:type="dxa"/>
            <w:tcBorders>
              <w:top w:val="single" w:color="auto" w:sz="4" w:space="0"/>
              <w:left w:val="single" w:color="auto" w:sz="4" w:space="0"/>
              <w:bottom w:val="single" w:color="auto" w:sz="4" w:space="0"/>
              <w:right w:val="single" w:color="auto" w:sz="4" w:space="0"/>
            </w:tcBorders>
            <w:vAlign w:val="center"/>
          </w:tcPr>
          <w:p w14:paraId="573B0E23">
            <w:pPr>
              <w:ind w:firstLine="480"/>
              <w:jc w:val="center"/>
              <w:rPr>
                <w:rFonts w:ascii="宋体" w:hAnsi="宋体" w:cs="宋体"/>
                <w:color w:val="000000" w:themeColor="text1"/>
                <w:sz w:val="24"/>
                <w:szCs w:val="20"/>
                <w14:textFill>
                  <w14:solidFill>
                    <w14:schemeClr w14:val="tx1"/>
                  </w14:solidFill>
                </w14:textFill>
              </w:rPr>
            </w:pPr>
          </w:p>
        </w:tc>
        <w:tc>
          <w:tcPr>
            <w:tcW w:w="926" w:type="dxa"/>
            <w:tcBorders>
              <w:top w:val="single" w:color="auto" w:sz="4" w:space="0"/>
              <w:left w:val="single" w:color="auto" w:sz="4" w:space="0"/>
              <w:bottom w:val="single" w:color="auto" w:sz="4" w:space="0"/>
              <w:right w:val="single" w:color="auto" w:sz="4" w:space="0"/>
            </w:tcBorders>
            <w:vAlign w:val="center"/>
          </w:tcPr>
          <w:p w14:paraId="75A83CE9">
            <w:pPr>
              <w:ind w:firstLine="480"/>
              <w:jc w:val="center"/>
              <w:rPr>
                <w:rFonts w:ascii="宋体" w:hAnsi="宋体" w:cs="宋体"/>
                <w:color w:val="000000" w:themeColor="text1"/>
                <w:sz w:val="24"/>
                <w:szCs w:val="20"/>
                <w14:textFill>
                  <w14:solidFill>
                    <w14:schemeClr w14:val="tx1"/>
                  </w14:solidFill>
                </w14:textFill>
              </w:rPr>
            </w:pPr>
          </w:p>
        </w:tc>
        <w:tc>
          <w:tcPr>
            <w:tcW w:w="2320" w:type="dxa"/>
            <w:tcBorders>
              <w:top w:val="single" w:color="auto" w:sz="4" w:space="0"/>
              <w:left w:val="single" w:color="auto" w:sz="4" w:space="0"/>
              <w:bottom w:val="single" w:color="auto" w:sz="4" w:space="0"/>
              <w:right w:val="single" w:color="auto" w:sz="4" w:space="0"/>
            </w:tcBorders>
            <w:vAlign w:val="center"/>
          </w:tcPr>
          <w:p w14:paraId="28186451">
            <w:pPr>
              <w:ind w:firstLine="480"/>
              <w:jc w:val="center"/>
              <w:rPr>
                <w:rFonts w:ascii="宋体" w:hAnsi="宋体" w:cs="宋体"/>
                <w:color w:val="000000" w:themeColor="text1"/>
                <w:sz w:val="24"/>
                <w:szCs w:val="20"/>
                <w14:textFill>
                  <w14:solidFill>
                    <w14:schemeClr w14:val="tx1"/>
                  </w14:solidFill>
                </w14:textFill>
              </w:rPr>
            </w:pPr>
          </w:p>
        </w:tc>
        <w:tc>
          <w:tcPr>
            <w:tcW w:w="771" w:type="dxa"/>
            <w:tcBorders>
              <w:top w:val="single" w:color="auto" w:sz="4" w:space="0"/>
              <w:left w:val="single" w:color="auto" w:sz="4" w:space="0"/>
              <w:bottom w:val="single" w:color="auto" w:sz="4" w:space="0"/>
              <w:right w:val="single" w:color="auto" w:sz="4" w:space="0"/>
            </w:tcBorders>
            <w:vAlign w:val="center"/>
          </w:tcPr>
          <w:p w14:paraId="20BD208F">
            <w:pPr>
              <w:ind w:firstLine="480"/>
              <w:jc w:val="center"/>
              <w:rPr>
                <w:rFonts w:ascii="宋体" w:hAnsi="宋体" w:cs="宋体"/>
                <w:color w:val="000000" w:themeColor="text1"/>
                <w:sz w:val="24"/>
                <w:szCs w:val="20"/>
                <w14:textFill>
                  <w14:solidFill>
                    <w14:schemeClr w14:val="tx1"/>
                  </w14:solidFill>
                </w14:textFill>
              </w:rPr>
            </w:pPr>
          </w:p>
        </w:tc>
      </w:tr>
      <w:tr w14:paraId="351CCD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487652BD">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5B1FB7F2">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7FFEFDF5">
            <w:pPr>
              <w:ind w:firstLine="480"/>
              <w:jc w:val="center"/>
              <w:rPr>
                <w:rFonts w:ascii="宋体" w:hAnsi="宋体" w:cs="宋体"/>
                <w:color w:val="000000" w:themeColor="text1"/>
                <w:sz w:val="24"/>
                <w:szCs w:val="20"/>
                <w14:textFill>
                  <w14:solidFill>
                    <w14:schemeClr w14:val="tx1"/>
                  </w14:solidFill>
                </w14:textFill>
              </w:rPr>
            </w:pPr>
          </w:p>
        </w:tc>
        <w:tc>
          <w:tcPr>
            <w:tcW w:w="1235" w:type="dxa"/>
            <w:tcBorders>
              <w:top w:val="single" w:color="auto" w:sz="4" w:space="0"/>
              <w:left w:val="single" w:color="auto" w:sz="4" w:space="0"/>
              <w:bottom w:val="single" w:color="auto" w:sz="4" w:space="0"/>
              <w:right w:val="single" w:color="auto" w:sz="4" w:space="0"/>
            </w:tcBorders>
            <w:vAlign w:val="center"/>
          </w:tcPr>
          <w:p w14:paraId="0DE878F6">
            <w:pPr>
              <w:ind w:firstLine="480"/>
              <w:jc w:val="center"/>
              <w:rPr>
                <w:rFonts w:ascii="宋体" w:hAnsi="宋体" w:cs="宋体"/>
                <w:color w:val="000000" w:themeColor="text1"/>
                <w:sz w:val="24"/>
                <w:szCs w:val="20"/>
                <w14:textFill>
                  <w14:solidFill>
                    <w14:schemeClr w14:val="tx1"/>
                  </w14:solidFill>
                </w14:textFill>
              </w:rPr>
            </w:pPr>
          </w:p>
        </w:tc>
        <w:tc>
          <w:tcPr>
            <w:tcW w:w="840" w:type="dxa"/>
            <w:tcBorders>
              <w:top w:val="single" w:color="auto" w:sz="4" w:space="0"/>
              <w:left w:val="single" w:color="auto" w:sz="4" w:space="0"/>
              <w:bottom w:val="single" w:color="auto" w:sz="4" w:space="0"/>
              <w:right w:val="single" w:color="auto" w:sz="4" w:space="0"/>
            </w:tcBorders>
            <w:vAlign w:val="center"/>
          </w:tcPr>
          <w:p w14:paraId="5A8BD62E">
            <w:pPr>
              <w:ind w:firstLine="480"/>
              <w:jc w:val="center"/>
              <w:rPr>
                <w:rFonts w:ascii="宋体" w:hAnsi="宋体" w:cs="宋体"/>
                <w:color w:val="000000" w:themeColor="text1"/>
                <w:sz w:val="24"/>
                <w:szCs w:val="20"/>
                <w14:textFill>
                  <w14:solidFill>
                    <w14:schemeClr w14:val="tx1"/>
                  </w14:solidFill>
                </w14:textFill>
              </w:rPr>
            </w:pPr>
          </w:p>
        </w:tc>
        <w:tc>
          <w:tcPr>
            <w:tcW w:w="858" w:type="dxa"/>
            <w:tcBorders>
              <w:top w:val="single" w:color="auto" w:sz="4" w:space="0"/>
              <w:left w:val="single" w:color="auto" w:sz="4" w:space="0"/>
              <w:bottom w:val="single" w:color="auto" w:sz="4" w:space="0"/>
              <w:right w:val="single" w:color="auto" w:sz="4" w:space="0"/>
            </w:tcBorders>
            <w:vAlign w:val="center"/>
          </w:tcPr>
          <w:p w14:paraId="7FA92747">
            <w:pPr>
              <w:ind w:firstLine="480"/>
              <w:jc w:val="center"/>
              <w:rPr>
                <w:rFonts w:ascii="宋体" w:hAnsi="宋体" w:cs="宋体"/>
                <w:color w:val="000000" w:themeColor="text1"/>
                <w:sz w:val="24"/>
                <w:szCs w:val="20"/>
                <w14:textFill>
                  <w14:solidFill>
                    <w14:schemeClr w14:val="tx1"/>
                  </w14:solidFill>
                </w14:textFill>
              </w:rPr>
            </w:pPr>
          </w:p>
        </w:tc>
        <w:tc>
          <w:tcPr>
            <w:tcW w:w="926" w:type="dxa"/>
            <w:tcBorders>
              <w:top w:val="single" w:color="auto" w:sz="4" w:space="0"/>
              <w:left w:val="single" w:color="auto" w:sz="4" w:space="0"/>
              <w:bottom w:val="single" w:color="auto" w:sz="4" w:space="0"/>
              <w:right w:val="single" w:color="auto" w:sz="4" w:space="0"/>
            </w:tcBorders>
            <w:vAlign w:val="center"/>
          </w:tcPr>
          <w:p w14:paraId="6D348783">
            <w:pPr>
              <w:ind w:firstLine="480"/>
              <w:jc w:val="center"/>
              <w:rPr>
                <w:rFonts w:ascii="宋体" w:hAnsi="宋体" w:cs="宋体"/>
                <w:color w:val="000000" w:themeColor="text1"/>
                <w:sz w:val="24"/>
                <w:szCs w:val="20"/>
                <w14:textFill>
                  <w14:solidFill>
                    <w14:schemeClr w14:val="tx1"/>
                  </w14:solidFill>
                </w14:textFill>
              </w:rPr>
            </w:pPr>
          </w:p>
        </w:tc>
        <w:tc>
          <w:tcPr>
            <w:tcW w:w="2320" w:type="dxa"/>
            <w:tcBorders>
              <w:top w:val="single" w:color="auto" w:sz="4" w:space="0"/>
              <w:left w:val="single" w:color="auto" w:sz="4" w:space="0"/>
              <w:bottom w:val="single" w:color="auto" w:sz="4" w:space="0"/>
              <w:right w:val="single" w:color="auto" w:sz="4" w:space="0"/>
            </w:tcBorders>
            <w:vAlign w:val="center"/>
          </w:tcPr>
          <w:p w14:paraId="35FF854A">
            <w:pPr>
              <w:ind w:firstLine="480"/>
              <w:jc w:val="center"/>
              <w:rPr>
                <w:rFonts w:ascii="宋体" w:hAnsi="宋体" w:cs="宋体"/>
                <w:color w:val="000000" w:themeColor="text1"/>
                <w:sz w:val="24"/>
                <w:szCs w:val="20"/>
                <w14:textFill>
                  <w14:solidFill>
                    <w14:schemeClr w14:val="tx1"/>
                  </w14:solidFill>
                </w14:textFill>
              </w:rPr>
            </w:pPr>
          </w:p>
        </w:tc>
        <w:tc>
          <w:tcPr>
            <w:tcW w:w="771" w:type="dxa"/>
            <w:tcBorders>
              <w:top w:val="single" w:color="auto" w:sz="4" w:space="0"/>
              <w:left w:val="single" w:color="auto" w:sz="4" w:space="0"/>
              <w:bottom w:val="single" w:color="auto" w:sz="4" w:space="0"/>
              <w:right w:val="single" w:color="auto" w:sz="4" w:space="0"/>
            </w:tcBorders>
            <w:vAlign w:val="center"/>
          </w:tcPr>
          <w:p w14:paraId="7638FD82">
            <w:pPr>
              <w:ind w:firstLine="480"/>
              <w:jc w:val="center"/>
              <w:rPr>
                <w:rFonts w:ascii="宋体" w:hAnsi="宋体" w:cs="宋体"/>
                <w:color w:val="000000" w:themeColor="text1"/>
                <w:sz w:val="24"/>
                <w:szCs w:val="20"/>
                <w14:textFill>
                  <w14:solidFill>
                    <w14:schemeClr w14:val="tx1"/>
                  </w14:solidFill>
                </w14:textFill>
              </w:rPr>
            </w:pPr>
          </w:p>
        </w:tc>
      </w:tr>
      <w:tr w14:paraId="37CC11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1B38DD67">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0A6CEC2C">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2ED99C36">
            <w:pPr>
              <w:ind w:firstLine="480"/>
              <w:jc w:val="center"/>
              <w:rPr>
                <w:rFonts w:ascii="宋体" w:hAnsi="宋体" w:cs="宋体"/>
                <w:color w:val="000000" w:themeColor="text1"/>
                <w:sz w:val="24"/>
                <w:szCs w:val="20"/>
                <w14:textFill>
                  <w14:solidFill>
                    <w14:schemeClr w14:val="tx1"/>
                  </w14:solidFill>
                </w14:textFill>
              </w:rPr>
            </w:pPr>
          </w:p>
        </w:tc>
        <w:tc>
          <w:tcPr>
            <w:tcW w:w="1235" w:type="dxa"/>
            <w:tcBorders>
              <w:top w:val="single" w:color="auto" w:sz="4" w:space="0"/>
              <w:left w:val="single" w:color="auto" w:sz="4" w:space="0"/>
              <w:bottom w:val="single" w:color="auto" w:sz="4" w:space="0"/>
              <w:right w:val="single" w:color="auto" w:sz="4" w:space="0"/>
            </w:tcBorders>
            <w:vAlign w:val="center"/>
          </w:tcPr>
          <w:p w14:paraId="004B5888">
            <w:pPr>
              <w:ind w:firstLine="480"/>
              <w:jc w:val="center"/>
              <w:rPr>
                <w:rFonts w:ascii="宋体" w:hAnsi="宋体" w:cs="宋体"/>
                <w:color w:val="000000" w:themeColor="text1"/>
                <w:sz w:val="24"/>
                <w:szCs w:val="20"/>
                <w14:textFill>
                  <w14:solidFill>
                    <w14:schemeClr w14:val="tx1"/>
                  </w14:solidFill>
                </w14:textFill>
              </w:rPr>
            </w:pPr>
          </w:p>
        </w:tc>
        <w:tc>
          <w:tcPr>
            <w:tcW w:w="840" w:type="dxa"/>
            <w:tcBorders>
              <w:top w:val="single" w:color="auto" w:sz="4" w:space="0"/>
              <w:left w:val="single" w:color="auto" w:sz="4" w:space="0"/>
              <w:bottom w:val="single" w:color="auto" w:sz="4" w:space="0"/>
              <w:right w:val="single" w:color="auto" w:sz="4" w:space="0"/>
            </w:tcBorders>
            <w:vAlign w:val="center"/>
          </w:tcPr>
          <w:p w14:paraId="3B6D8088">
            <w:pPr>
              <w:ind w:firstLine="480"/>
              <w:jc w:val="center"/>
              <w:rPr>
                <w:rFonts w:ascii="宋体" w:hAnsi="宋体" w:cs="宋体"/>
                <w:color w:val="000000" w:themeColor="text1"/>
                <w:sz w:val="24"/>
                <w:szCs w:val="20"/>
                <w14:textFill>
                  <w14:solidFill>
                    <w14:schemeClr w14:val="tx1"/>
                  </w14:solidFill>
                </w14:textFill>
              </w:rPr>
            </w:pPr>
          </w:p>
        </w:tc>
        <w:tc>
          <w:tcPr>
            <w:tcW w:w="858" w:type="dxa"/>
            <w:tcBorders>
              <w:top w:val="single" w:color="auto" w:sz="4" w:space="0"/>
              <w:left w:val="single" w:color="auto" w:sz="4" w:space="0"/>
              <w:bottom w:val="single" w:color="auto" w:sz="4" w:space="0"/>
              <w:right w:val="single" w:color="auto" w:sz="4" w:space="0"/>
            </w:tcBorders>
            <w:vAlign w:val="center"/>
          </w:tcPr>
          <w:p w14:paraId="15E1C615">
            <w:pPr>
              <w:ind w:firstLine="480"/>
              <w:jc w:val="center"/>
              <w:rPr>
                <w:rFonts w:ascii="宋体" w:hAnsi="宋体" w:cs="宋体"/>
                <w:color w:val="000000" w:themeColor="text1"/>
                <w:sz w:val="24"/>
                <w:szCs w:val="20"/>
                <w14:textFill>
                  <w14:solidFill>
                    <w14:schemeClr w14:val="tx1"/>
                  </w14:solidFill>
                </w14:textFill>
              </w:rPr>
            </w:pPr>
          </w:p>
        </w:tc>
        <w:tc>
          <w:tcPr>
            <w:tcW w:w="926" w:type="dxa"/>
            <w:tcBorders>
              <w:top w:val="single" w:color="auto" w:sz="4" w:space="0"/>
              <w:left w:val="single" w:color="auto" w:sz="4" w:space="0"/>
              <w:bottom w:val="single" w:color="auto" w:sz="4" w:space="0"/>
              <w:right w:val="single" w:color="auto" w:sz="4" w:space="0"/>
            </w:tcBorders>
            <w:vAlign w:val="center"/>
          </w:tcPr>
          <w:p w14:paraId="602D8344">
            <w:pPr>
              <w:ind w:firstLine="480"/>
              <w:jc w:val="center"/>
              <w:rPr>
                <w:rFonts w:ascii="宋体" w:hAnsi="宋体" w:cs="宋体"/>
                <w:color w:val="000000" w:themeColor="text1"/>
                <w:sz w:val="24"/>
                <w:szCs w:val="20"/>
                <w14:textFill>
                  <w14:solidFill>
                    <w14:schemeClr w14:val="tx1"/>
                  </w14:solidFill>
                </w14:textFill>
              </w:rPr>
            </w:pPr>
          </w:p>
        </w:tc>
        <w:tc>
          <w:tcPr>
            <w:tcW w:w="2320" w:type="dxa"/>
            <w:tcBorders>
              <w:top w:val="single" w:color="auto" w:sz="4" w:space="0"/>
              <w:left w:val="single" w:color="auto" w:sz="4" w:space="0"/>
              <w:bottom w:val="single" w:color="auto" w:sz="4" w:space="0"/>
              <w:right w:val="single" w:color="auto" w:sz="4" w:space="0"/>
            </w:tcBorders>
            <w:vAlign w:val="center"/>
          </w:tcPr>
          <w:p w14:paraId="565D117F">
            <w:pPr>
              <w:ind w:firstLine="480"/>
              <w:jc w:val="center"/>
              <w:rPr>
                <w:rFonts w:ascii="宋体" w:hAnsi="宋体" w:cs="宋体"/>
                <w:color w:val="000000" w:themeColor="text1"/>
                <w:sz w:val="24"/>
                <w:szCs w:val="20"/>
                <w14:textFill>
                  <w14:solidFill>
                    <w14:schemeClr w14:val="tx1"/>
                  </w14:solidFill>
                </w14:textFill>
              </w:rPr>
            </w:pPr>
          </w:p>
        </w:tc>
        <w:tc>
          <w:tcPr>
            <w:tcW w:w="771" w:type="dxa"/>
            <w:tcBorders>
              <w:top w:val="single" w:color="auto" w:sz="4" w:space="0"/>
              <w:left w:val="single" w:color="auto" w:sz="4" w:space="0"/>
              <w:bottom w:val="single" w:color="auto" w:sz="4" w:space="0"/>
              <w:right w:val="single" w:color="auto" w:sz="4" w:space="0"/>
            </w:tcBorders>
            <w:vAlign w:val="center"/>
          </w:tcPr>
          <w:p w14:paraId="14874224">
            <w:pPr>
              <w:ind w:firstLine="480"/>
              <w:jc w:val="center"/>
              <w:rPr>
                <w:rFonts w:ascii="宋体" w:hAnsi="宋体" w:cs="宋体"/>
                <w:color w:val="000000" w:themeColor="text1"/>
                <w:sz w:val="24"/>
                <w:szCs w:val="20"/>
                <w14:textFill>
                  <w14:solidFill>
                    <w14:schemeClr w14:val="tx1"/>
                  </w14:solidFill>
                </w14:textFill>
              </w:rPr>
            </w:pPr>
          </w:p>
        </w:tc>
      </w:tr>
      <w:tr w14:paraId="492AAD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3A7D116C">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31004986">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51BBFA83">
            <w:pPr>
              <w:ind w:firstLine="480"/>
              <w:jc w:val="center"/>
              <w:rPr>
                <w:rFonts w:ascii="宋体" w:hAnsi="宋体" w:cs="宋体"/>
                <w:color w:val="000000" w:themeColor="text1"/>
                <w:sz w:val="24"/>
                <w:szCs w:val="20"/>
                <w14:textFill>
                  <w14:solidFill>
                    <w14:schemeClr w14:val="tx1"/>
                  </w14:solidFill>
                </w14:textFill>
              </w:rPr>
            </w:pPr>
          </w:p>
        </w:tc>
        <w:tc>
          <w:tcPr>
            <w:tcW w:w="1235" w:type="dxa"/>
            <w:tcBorders>
              <w:top w:val="single" w:color="auto" w:sz="4" w:space="0"/>
              <w:left w:val="single" w:color="auto" w:sz="4" w:space="0"/>
              <w:bottom w:val="single" w:color="auto" w:sz="4" w:space="0"/>
              <w:right w:val="single" w:color="auto" w:sz="4" w:space="0"/>
            </w:tcBorders>
            <w:vAlign w:val="center"/>
          </w:tcPr>
          <w:p w14:paraId="4100A253">
            <w:pPr>
              <w:ind w:firstLine="480"/>
              <w:jc w:val="center"/>
              <w:rPr>
                <w:rFonts w:ascii="宋体" w:hAnsi="宋体" w:cs="宋体"/>
                <w:color w:val="000000" w:themeColor="text1"/>
                <w:sz w:val="24"/>
                <w:szCs w:val="20"/>
                <w14:textFill>
                  <w14:solidFill>
                    <w14:schemeClr w14:val="tx1"/>
                  </w14:solidFill>
                </w14:textFill>
              </w:rPr>
            </w:pPr>
          </w:p>
        </w:tc>
        <w:tc>
          <w:tcPr>
            <w:tcW w:w="840" w:type="dxa"/>
            <w:tcBorders>
              <w:top w:val="single" w:color="auto" w:sz="4" w:space="0"/>
              <w:left w:val="single" w:color="auto" w:sz="4" w:space="0"/>
              <w:bottom w:val="single" w:color="auto" w:sz="4" w:space="0"/>
              <w:right w:val="single" w:color="auto" w:sz="4" w:space="0"/>
            </w:tcBorders>
            <w:vAlign w:val="center"/>
          </w:tcPr>
          <w:p w14:paraId="292AA843">
            <w:pPr>
              <w:ind w:firstLine="480"/>
              <w:jc w:val="center"/>
              <w:rPr>
                <w:rFonts w:ascii="宋体" w:hAnsi="宋体" w:cs="宋体"/>
                <w:color w:val="000000" w:themeColor="text1"/>
                <w:sz w:val="24"/>
                <w:szCs w:val="20"/>
                <w14:textFill>
                  <w14:solidFill>
                    <w14:schemeClr w14:val="tx1"/>
                  </w14:solidFill>
                </w14:textFill>
              </w:rPr>
            </w:pPr>
          </w:p>
        </w:tc>
        <w:tc>
          <w:tcPr>
            <w:tcW w:w="858" w:type="dxa"/>
            <w:tcBorders>
              <w:top w:val="single" w:color="auto" w:sz="4" w:space="0"/>
              <w:left w:val="single" w:color="auto" w:sz="4" w:space="0"/>
              <w:bottom w:val="single" w:color="auto" w:sz="4" w:space="0"/>
              <w:right w:val="single" w:color="auto" w:sz="4" w:space="0"/>
            </w:tcBorders>
            <w:vAlign w:val="center"/>
          </w:tcPr>
          <w:p w14:paraId="2816D84A">
            <w:pPr>
              <w:ind w:firstLine="480"/>
              <w:jc w:val="center"/>
              <w:rPr>
                <w:rFonts w:ascii="宋体" w:hAnsi="宋体" w:cs="宋体"/>
                <w:color w:val="000000" w:themeColor="text1"/>
                <w:sz w:val="24"/>
                <w:szCs w:val="20"/>
                <w14:textFill>
                  <w14:solidFill>
                    <w14:schemeClr w14:val="tx1"/>
                  </w14:solidFill>
                </w14:textFill>
              </w:rPr>
            </w:pPr>
          </w:p>
        </w:tc>
        <w:tc>
          <w:tcPr>
            <w:tcW w:w="926" w:type="dxa"/>
            <w:tcBorders>
              <w:top w:val="single" w:color="auto" w:sz="4" w:space="0"/>
              <w:left w:val="single" w:color="auto" w:sz="4" w:space="0"/>
              <w:bottom w:val="single" w:color="auto" w:sz="4" w:space="0"/>
              <w:right w:val="single" w:color="auto" w:sz="4" w:space="0"/>
            </w:tcBorders>
            <w:vAlign w:val="center"/>
          </w:tcPr>
          <w:p w14:paraId="58BE970C">
            <w:pPr>
              <w:ind w:firstLine="480"/>
              <w:jc w:val="center"/>
              <w:rPr>
                <w:rFonts w:ascii="宋体" w:hAnsi="宋体" w:cs="宋体"/>
                <w:color w:val="000000" w:themeColor="text1"/>
                <w:sz w:val="24"/>
                <w:szCs w:val="20"/>
                <w14:textFill>
                  <w14:solidFill>
                    <w14:schemeClr w14:val="tx1"/>
                  </w14:solidFill>
                </w14:textFill>
              </w:rPr>
            </w:pPr>
          </w:p>
        </w:tc>
        <w:tc>
          <w:tcPr>
            <w:tcW w:w="2320" w:type="dxa"/>
            <w:tcBorders>
              <w:top w:val="single" w:color="auto" w:sz="4" w:space="0"/>
              <w:left w:val="single" w:color="auto" w:sz="4" w:space="0"/>
              <w:bottom w:val="single" w:color="auto" w:sz="4" w:space="0"/>
              <w:right w:val="single" w:color="auto" w:sz="4" w:space="0"/>
            </w:tcBorders>
            <w:vAlign w:val="center"/>
          </w:tcPr>
          <w:p w14:paraId="5681BFAD">
            <w:pPr>
              <w:ind w:firstLine="480"/>
              <w:jc w:val="center"/>
              <w:rPr>
                <w:rFonts w:ascii="宋体" w:hAnsi="宋体" w:cs="宋体"/>
                <w:color w:val="000000" w:themeColor="text1"/>
                <w:sz w:val="24"/>
                <w:szCs w:val="20"/>
                <w14:textFill>
                  <w14:solidFill>
                    <w14:schemeClr w14:val="tx1"/>
                  </w14:solidFill>
                </w14:textFill>
              </w:rPr>
            </w:pPr>
          </w:p>
        </w:tc>
        <w:tc>
          <w:tcPr>
            <w:tcW w:w="771" w:type="dxa"/>
            <w:tcBorders>
              <w:top w:val="single" w:color="auto" w:sz="4" w:space="0"/>
              <w:left w:val="single" w:color="auto" w:sz="4" w:space="0"/>
              <w:bottom w:val="single" w:color="auto" w:sz="4" w:space="0"/>
              <w:right w:val="single" w:color="auto" w:sz="4" w:space="0"/>
            </w:tcBorders>
            <w:vAlign w:val="center"/>
          </w:tcPr>
          <w:p w14:paraId="48AE1C39">
            <w:pPr>
              <w:ind w:firstLine="480"/>
              <w:jc w:val="center"/>
              <w:rPr>
                <w:rFonts w:ascii="宋体" w:hAnsi="宋体" w:cs="宋体"/>
                <w:color w:val="000000" w:themeColor="text1"/>
                <w:sz w:val="24"/>
                <w:szCs w:val="20"/>
                <w14:textFill>
                  <w14:solidFill>
                    <w14:schemeClr w14:val="tx1"/>
                  </w14:solidFill>
                </w14:textFill>
              </w:rPr>
            </w:pPr>
          </w:p>
        </w:tc>
      </w:tr>
      <w:tr w14:paraId="33ACCE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1F4D2163">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3CCFB126">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2205E660">
            <w:pPr>
              <w:ind w:firstLine="480"/>
              <w:jc w:val="center"/>
              <w:rPr>
                <w:rFonts w:ascii="宋体" w:hAnsi="宋体" w:cs="宋体"/>
                <w:color w:val="000000" w:themeColor="text1"/>
                <w:sz w:val="24"/>
                <w:szCs w:val="20"/>
                <w14:textFill>
                  <w14:solidFill>
                    <w14:schemeClr w14:val="tx1"/>
                  </w14:solidFill>
                </w14:textFill>
              </w:rPr>
            </w:pPr>
          </w:p>
        </w:tc>
        <w:tc>
          <w:tcPr>
            <w:tcW w:w="1235" w:type="dxa"/>
            <w:tcBorders>
              <w:top w:val="single" w:color="auto" w:sz="4" w:space="0"/>
              <w:left w:val="single" w:color="auto" w:sz="4" w:space="0"/>
              <w:bottom w:val="single" w:color="auto" w:sz="4" w:space="0"/>
              <w:right w:val="single" w:color="auto" w:sz="4" w:space="0"/>
            </w:tcBorders>
            <w:vAlign w:val="center"/>
          </w:tcPr>
          <w:p w14:paraId="74EF05BB">
            <w:pPr>
              <w:ind w:firstLine="480"/>
              <w:jc w:val="center"/>
              <w:rPr>
                <w:rFonts w:ascii="宋体" w:hAnsi="宋体" w:cs="宋体"/>
                <w:color w:val="000000" w:themeColor="text1"/>
                <w:sz w:val="24"/>
                <w:szCs w:val="20"/>
                <w14:textFill>
                  <w14:solidFill>
                    <w14:schemeClr w14:val="tx1"/>
                  </w14:solidFill>
                </w14:textFill>
              </w:rPr>
            </w:pPr>
          </w:p>
        </w:tc>
        <w:tc>
          <w:tcPr>
            <w:tcW w:w="840" w:type="dxa"/>
            <w:tcBorders>
              <w:top w:val="single" w:color="auto" w:sz="4" w:space="0"/>
              <w:left w:val="single" w:color="auto" w:sz="4" w:space="0"/>
              <w:bottom w:val="single" w:color="auto" w:sz="4" w:space="0"/>
              <w:right w:val="single" w:color="auto" w:sz="4" w:space="0"/>
            </w:tcBorders>
            <w:vAlign w:val="center"/>
          </w:tcPr>
          <w:p w14:paraId="409F7FF5">
            <w:pPr>
              <w:ind w:firstLine="480"/>
              <w:jc w:val="center"/>
              <w:rPr>
                <w:rFonts w:ascii="宋体" w:hAnsi="宋体" w:cs="宋体"/>
                <w:color w:val="000000" w:themeColor="text1"/>
                <w:sz w:val="24"/>
                <w:szCs w:val="20"/>
                <w14:textFill>
                  <w14:solidFill>
                    <w14:schemeClr w14:val="tx1"/>
                  </w14:solidFill>
                </w14:textFill>
              </w:rPr>
            </w:pPr>
          </w:p>
        </w:tc>
        <w:tc>
          <w:tcPr>
            <w:tcW w:w="858" w:type="dxa"/>
            <w:tcBorders>
              <w:top w:val="single" w:color="auto" w:sz="4" w:space="0"/>
              <w:left w:val="single" w:color="auto" w:sz="4" w:space="0"/>
              <w:bottom w:val="single" w:color="auto" w:sz="4" w:space="0"/>
              <w:right w:val="single" w:color="auto" w:sz="4" w:space="0"/>
            </w:tcBorders>
            <w:vAlign w:val="center"/>
          </w:tcPr>
          <w:p w14:paraId="514777E9">
            <w:pPr>
              <w:ind w:firstLine="480"/>
              <w:jc w:val="center"/>
              <w:rPr>
                <w:rFonts w:ascii="宋体" w:hAnsi="宋体" w:cs="宋体"/>
                <w:color w:val="000000" w:themeColor="text1"/>
                <w:sz w:val="24"/>
                <w:szCs w:val="20"/>
                <w14:textFill>
                  <w14:solidFill>
                    <w14:schemeClr w14:val="tx1"/>
                  </w14:solidFill>
                </w14:textFill>
              </w:rPr>
            </w:pPr>
          </w:p>
        </w:tc>
        <w:tc>
          <w:tcPr>
            <w:tcW w:w="926" w:type="dxa"/>
            <w:tcBorders>
              <w:top w:val="single" w:color="auto" w:sz="4" w:space="0"/>
              <w:left w:val="single" w:color="auto" w:sz="4" w:space="0"/>
              <w:bottom w:val="single" w:color="auto" w:sz="4" w:space="0"/>
              <w:right w:val="single" w:color="auto" w:sz="4" w:space="0"/>
            </w:tcBorders>
            <w:vAlign w:val="center"/>
          </w:tcPr>
          <w:p w14:paraId="1A524952">
            <w:pPr>
              <w:ind w:firstLine="480"/>
              <w:jc w:val="center"/>
              <w:rPr>
                <w:rFonts w:ascii="宋体" w:hAnsi="宋体" w:cs="宋体"/>
                <w:color w:val="000000" w:themeColor="text1"/>
                <w:sz w:val="24"/>
                <w:szCs w:val="20"/>
                <w14:textFill>
                  <w14:solidFill>
                    <w14:schemeClr w14:val="tx1"/>
                  </w14:solidFill>
                </w14:textFill>
              </w:rPr>
            </w:pPr>
          </w:p>
        </w:tc>
        <w:tc>
          <w:tcPr>
            <w:tcW w:w="2320" w:type="dxa"/>
            <w:tcBorders>
              <w:top w:val="single" w:color="auto" w:sz="4" w:space="0"/>
              <w:left w:val="single" w:color="auto" w:sz="4" w:space="0"/>
              <w:bottom w:val="single" w:color="auto" w:sz="4" w:space="0"/>
              <w:right w:val="single" w:color="auto" w:sz="4" w:space="0"/>
            </w:tcBorders>
            <w:vAlign w:val="center"/>
          </w:tcPr>
          <w:p w14:paraId="1452D310">
            <w:pPr>
              <w:ind w:firstLine="480"/>
              <w:jc w:val="center"/>
              <w:rPr>
                <w:rFonts w:ascii="宋体" w:hAnsi="宋体" w:cs="宋体"/>
                <w:color w:val="000000" w:themeColor="text1"/>
                <w:sz w:val="24"/>
                <w:szCs w:val="20"/>
                <w14:textFill>
                  <w14:solidFill>
                    <w14:schemeClr w14:val="tx1"/>
                  </w14:solidFill>
                </w14:textFill>
              </w:rPr>
            </w:pPr>
          </w:p>
        </w:tc>
        <w:tc>
          <w:tcPr>
            <w:tcW w:w="771" w:type="dxa"/>
            <w:tcBorders>
              <w:top w:val="single" w:color="auto" w:sz="4" w:space="0"/>
              <w:left w:val="single" w:color="auto" w:sz="4" w:space="0"/>
              <w:bottom w:val="single" w:color="auto" w:sz="4" w:space="0"/>
              <w:right w:val="single" w:color="auto" w:sz="4" w:space="0"/>
            </w:tcBorders>
            <w:vAlign w:val="center"/>
          </w:tcPr>
          <w:p w14:paraId="208A44CB">
            <w:pPr>
              <w:ind w:firstLine="480"/>
              <w:jc w:val="center"/>
              <w:rPr>
                <w:rFonts w:ascii="宋体" w:hAnsi="宋体" w:cs="宋体"/>
                <w:color w:val="000000" w:themeColor="text1"/>
                <w:sz w:val="24"/>
                <w:szCs w:val="20"/>
                <w14:textFill>
                  <w14:solidFill>
                    <w14:schemeClr w14:val="tx1"/>
                  </w14:solidFill>
                </w14:textFill>
              </w:rPr>
            </w:pPr>
          </w:p>
        </w:tc>
      </w:tr>
      <w:tr w14:paraId="383BE1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60612F3A">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0B1D73B3">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41B9C423">
            <w:pPr>
              <w:ind w:firstLine="480"/>
              <w:jc w:val="center"/>
              <w:rPr>
                <w:rFonts w:ascii="宋体" w:hAnsi="宋体" w:cs="宋体"/>
                <w:color w:val="000000" w:themeColor="text1"/>
                <w:sz w:val="24"/>
                <w:szCs w:val="20"/>
                <w14:textFill>
                  <w14:solidFill>
                    <w14:schemeClr w14:val="tx1"/>
                  </w14:solidFill>
                </w14:textFill>
              </w:rPr>
            </w:pPr>
          </w:p>
        </w:tc>
        <w:tc>
          <w:tcPr>
            <w:tcW w:w="1235" w:type="dxa"/>
            <w:tcBorders>
              <w:top w:val="single" w:color="auto" w:sz="4" w:space="0"/>
              <w:left w:val="single" w:color="auto" w:sz="4" w:space="0"/>
              <w:bottom w:val="single" w:color="auto" w:sz="4" w:space="0"/>
              <w:right w:val="single" w:color="auto" w:sz="4" w:space="0"/>
            </w:tcBorders>
            <w:vAlign w:val="center"/>
          </w:tcPr>
          <w:p w14:paraId="7029FCCB">
            <w:pPr>
              <w:ind w:firstLine="480"/>
              <w:jc w:val="center"/>
              <w:rPr>
                <w:rFonts w:ascii="宋体" w:hAnsi="宋体" w:cs="宋体"/>
                <w:color w:val="000000" w:themeColor="text1"/>
                <w:sz w:val="24"/>
                <w:szCs w:val="20"/>
                <w14:textFill>
                  <w14:solidFill>
                    <w14:schemeClr w14:val="tx1"/>
                  </w14:solidFill>
                </w14:textFill>
              </w:rPr>
            </w:pPr>
          </w:p>
        </w:tc>
        <w:tc>
          <w:tcPr>
            <w:tcW w:w="840" w:type="dxa"/>
            <w:tcBorders>
              <w:top w:val="single" w:color="auto" w:sz="4" w:space="0"/>
              <w:left w:val="single" w:color="auto" w:sz="4" w:space="0"/>
              <w:bottom w:val="single" w:color="auto" w:sz="4" w:space="0"/>
              <w:right w:val="single" w:color="auto" w:sz="4" w:space="0"/>
            </w:tcBorders>
            <w:vAlign w:val="center"/>
          </w:tcPr>
          <w:p w14:paraId="32656527">
            <w:pPr>
              <w:ind w:firstLine="480"/>
              <w:jc w:val="center"/>
              <w:rPr>
                <w:rFonts w:ascii="宋体" w:hAnsi="宋体" w:cs="宋体"/>
                <w:color w:val="000000" w:themeColor="text1"/>
                <w:sz w:val="24"/>
                <w:szCs w:val="20"/>
                <w14:textFill>
                  <w14:solidFill>
                    <w14:schemeClr w14:val="tx1"/>
                  </w14:solidFill>
                </w14:textFill>
              </w:rPr>
            </w:pPr>
          </w:p>
        </w:tc>
        <w:tc>
          <w:tcPr>
            <w:tcW w:w="858" w:type="dxa"/>
            <w:tcBorders>
              <w:top w:val="single" w:color="auto" w:sz="4" w:space="0"/>
              <w:left w:val="single" w:color="auto" w:sz="4" w:space="0"/>
              <w:bottom w:val="single" w:color="auto" w:sz="4" w:space="0"/>
              <w:right w:val="single" w:color="auto" w:sz="4" w:space="0"/>
            </w:tcBorders>
            <w:vAlign w:val="center"/>
          </w:tcPr>
          <w:p w14:paraId="390942EB">
            <w:pPr>
              <w:ind w:firstLine="480"/>
              <w:jc w:val="center"/>
              <w:rPr>
                <w:rFonts w:ascii="宋体" w:hAnsi="宋体" w:cs="宋体"/>
                <w:color w:val="000000" w:themeColor="text1"/>
                <w:sz w:val="24"/>
                <w:szCs w:val="20"/>
                <w14:textFill>
                  <w14:solidFill>
                    <w14:schemeClr w14:val="tx1"/>
                  </w14:solidFill>
                </w14:textFill>
              </w:rPr>
            </w:pPr>
          </w:p>
        </w:tc>
        <w:tc>
          <w:tcPr>
            <w:tcW w:w="926" w:type="dxa"/>
            <w:tcBorders>
              <w:top w:val="single" w:color="auto" w:sz="4" w:space="0"/>
              <w:left w:val="single" w:color="auto" w:sz="4" w:space="0"/>
              <w:bottom w:val="single" w:color="auto" w:sz="4" w:space="0"/>
              <w:right w:val="single" w:color="auto" w:sz="4" w:space="0"/>
            </w:tcBorders>
            <w:vAlign w:val="center"/>
          </w:tcPr>
          <w:p w14:paraId="2B120E17">
            <w:pPr>
              <w:ind w:firstLine="480"/>
              <w:jc w:val="center"/>
              <w:rPr>
                <w:rFonts w:ascii="宋体" w:hAnsi="宋体" w:cs="宋体"/>
                <w:color w:val="000000" w:themeColor="text1"/>
                <w:sz w:val="24"/>
                <w:szCs w:val="20"/>
                <w14:textFill>
                  <w14:solidFill>
                    <w14:schemeClr w14:val="tx1"/>
                  </w14:solidFill>
                </w14:textFill>
              </w:rPr>
            </w:pPr>
          </w:p>
        </w:tc>
        <w:tc>
          <w:tcPr>
            <w:tcW w:w="2320" w:type="dxa"/>
            <w:tcBorders>
              <w:top w:val="single" w:color="auto" w:sz="4" w:space="0"/>
              <w:left w:val="single" w:color="auto" w:sz="4" w:space="0"/>
              <w:bottom w:val="single" w:color="auto" w:sz="4" w:space="0"/>
              <w:right w:val="single" w:color="auto" w:sz="4" w:space="0"/>
            </w:tcBorders>
            <w:vAlign w:val="center"/>
          </w:tcPr>
          <w:p w14:paraId="4CFFD16E">
            <w:pPr>
              <w:ind w:firstLine="480"/>
              <w:jc w:val="center"/>
              <w:rPr>
                <w:rFonts w:ascii="宋体" w:hAnsi="宋体" w:cs="宋体"/>
                <w:color w:val="000000" w:themeColor="text1"/>
                <w:sz w:val="24"/>
                <w:szCs w:val="20"/>
                <w14:textFill>
                  <w14:solidFill>
                    <w14:schemeClr w14:val="tx1"/>
                  </w14:solidFill>
                </w14:textFill>
              </w:rPr>
            </w:pPr>
          </w:p>
        </w:tc>
        <w:tc>
          <w:tcPr>
            <w:tcW w:w="771" w:type="dxa"/>
            <w:tcBorders>
              <w:top w:val="single" w:color="auto" w:sz="4" w:space="0"/>
              <w:left w:val="single" w:color="auto" w:sz="4" w:space="0"/>
              <w:bottom w:val="single" w:color="auto" w:sz="4" w:space="0"/>
              <w:right w:val="single" w:color="auto" w:sz="4" w:space="0"/>
            </w:tcBorders>
            <w:vAlign w:val="center"/>
          </w:tcPr>
          <w:p w14:paraId="0D63DDF9">
            <w:pPr>
              <w:ind w:firstLine="480"/>
              <w:jc w:val="center"/>
              <w:rPr>
                <w:rFonts w:ascii="宋体" w:hAnsi="宋体" w:cs="宋体"/>
                <w:color w:val="000000" w:themeColor="text1"/>
                <w:sz w:val="24"/>
                <w:szCs w:val="20"/>
                <w14:textFill>
                  <w14:solidFill>
                    <w14:schemeClr w14:val="tx1"/>
                  </w14:solidFill>
                </w14:textFill>
              </w:rPr>
            </w:pPr>
          </w:p>
        </w:tc>
      </w:tr>
      <w:tr w14:paraId="09B3BD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0B9FDD21">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4AEC9A31">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4263D7ED">
            <w:pPr>
              <w:ind w:firstLine="480"/>
              <w:jc w:val="center"/>
              <w:rPr>
                <w:rFonts w:ascii="宋体" w:hAnsi="宋体" w:cs="宋体"/>
                <w:color w:val="000000" w:themeColor="text1"/>
                <w:sz w:val="24"/>
                <w:szCs w:val="20"/>
                <w14:textFill>
                  <w14:solidFill>
                    <w14:schemeClr w14:val="tx1"/>
                  </w14:solidFill>
                </w14:textFill>
              </w:rPr>
            </w:pPr>
          </w:p>
        </w:tc>
        <w:tc>
          <w:tcPr>
            <w:tcW w:w="1235" w:type="dxa"/>
            <w:tcBorders>
              <w:top w:val="single" w:color="auto" w:sz="4" w:space="0"/>
              <w:left w:val="single" w:color="auto" w:sz="4" w:space="0"/>
              <w:bottom w:val="single" w:color="auto" w:sz="4" w:space="0"/>
              <w:right w:val="single" w:color="auto" w:sz="4" w:space="0"/>
            </w:tcBorders>
            <w:vAlign w:val="center"/>
          </w:tcPr>
          <w:p w14:paraId="349F41E0">
            <w:pPr>
              <w:ind w:firstLine="480"/>
              <w:jc w:val="center"/>
              <w:rPr>
                <w:rFonts w:ascii="宋体" w:hAnsi="宋体" w:cs="宋体"/>
                <w:color w:val="000000" w:themeColor="text1"/>
                <w:sz w:val="24"/>
                <w:szCs w:val="20"/>
                <w14:textFill>
                  <w14:solidFill>
                    <w14:schemeClr w14:val="tx1"/>
                  </w14:solidFill>
                </w14:textFill>
              </w:rPr>
            </w:pPr>
          </w:p>
        </w:tc>
        <w:tc>
          <w:tcPr>
            <w:tcW w:w="840" w:type="dxa"/>
            <w:tcBorders>
              <w:top w:val="single" w:color="auto" w:sz="4" w:space="0"/>
              <w:left w:val="single" w:color="auto" w:sz="4" w:space="0"/>
              <w:bottom w:val="single" w:color="auto" w:sz="4" w:space="0"/>
              <w:right w:val="single" w:color="auto" w:sz="4" w:space="0"/>
            </w:tcBorders>
            <w:vAlign w:val="center"/>
          </w:tcPr>
          <w:p w14:paraId="0E19F712">
            <w:pPr>
              <w:ind w:firstLine="480"/>
              <w:jc w:val="center"/>
              <w:rPr>
                <w:rFonts w:ascii="宋体" w:hAnsi="宋体" w:cs="宋体"/>
                <w:color w:val="000000" w:themeColor="text1"/>
                <w:sz w:val="24"/>
                <w:szCs w:val="20"/>
                <w14:textFill>
                  <w14:solidFill>
                    <w14:schemeClr w14:val="tx1"/>
                  </w14:solidFill>
                </w14:textFill>
              </w:rPr>
            </w:pPr>
          </w:p>
        </w:tc>
        <w:tc>
          <w:tcPr>
            <w:tcW w:w="858" w:type="dxa"/>
            <w:tcBorders>
              <w:top w:val="single" w:color="auto" w:sz="4" w:space="0"/>
              <w:left w:val="single" w:color="auto" w:sz="4" w:space="0"/>
              <w:bottom w:val="single" w:color="auto" w:sz="4" w:space="0"/>
              <w:right w:val="single" w:color="auto" w:sz="4" w:space="0"/>
            </w:tcBorders>
            <w:vAlign w:val="center"/>
          </w:tcPr>
          <w:p w14:paraId="61345E55">
            <w:pPr>
              <w:ind w:firstLine="480"/>
              <w:jc w:val="center"/>
              <w:rPr>
                <w:rFonts w:ascii="宋体" w:hAnsi="宋体" w:cs="宋体"/>
                <w:color w:val="000000" w:themeColor="text1"/>
                <w:sz w:val="24"/>
                <w:szCs w:val="20"/>
                <w14:textFill>
                  <w14:solidFill>
                    <w14:schemeClr w14:val="tx1"/>
                  </w14:solidFill>
                </w14:textFill>
              </w:rPr>
            </w:pPr>
          </w:p>
        </w:tc>
        <w:tc>
          <w:tcPr>
            <w:tcW w:w="926" w:type="dxa"/>
            <w:tcBorders>
              <w:top w:val="single" w:color="auto" w:sz="4" w:space="0"/>
              <w:left w:val="single" w:color="auto" w:sz="4" w:space="0"/>
              <w:bottom w:val="single" w:color="auto" w:sz="4" w:space="0"/>
              <w:right w:val="single" w:color="auto" w:sz="4" w:space="0"/>
            </w:tcBorders>
            <w:vAlign w:val="center"/>
          </w:tcPr>
          <w:p w14:paraId="5885A942">
            <w:pPr>
              <w:ind w:firstLine="480"/>
              <w:jc w:val="center"/>
              <w:rPr>
                <w:rFonts w:ascii="宋体" w:hAnsi="宋体" w:cs="宋体"/>
                <w:color w:val="000000" w:themeColor="text1"/>
                <w:sz w:val="24"/>
                <w:szCs w:val="20"/>
                <w14:textFill>
                  <w14:solidFill>
                    <w14:schemeClr w14:val="tx1"/>
                  </w14:solidFill>
                </w14:textFill>
              </w:rPr>
            </w:pPr>
          </w:p>
        </w:tc>
        <w:tc>
          <w:tcPr>
            <w:tcW w:w="2320" w:type="dxa"/>
            <w:tcBorders>
              <w:top w:val="single" w:color="auto" w:sz="4" w:space="0"/>
              <w:left w:val="single" w:color="auto" w:sz="4" w:space="0"/>
              <w:bottom w:val="single" w:color="auto" w:sz="4" w:space="0"/>
              <w:right w:val="single" w:color="auto" w:sz="4" w:space="0"/>
            </w:tcBorders>
            <w:vAlign w:val="center"/>
          </w:tcPr>
          <w:p w14:paraId="58722CD9">
            <w:pPr>
              <w:ind w:firstLine="480"/>
              <w:jc w:val="center"/>
              <w:rPr>
                <w:rFonts w:ascii="宋体" w:hAnsi="宋体" w:cs="宋体"/>
                <w:color w:val="000000" w:themeColor="text1"/>
                <w:sz w:val="24"/>
                <w:szCs w:val="20"/>
                <w14:textFill>
                  <w14:solidFill>
                    <w14:schemeClr w14:val="tx1"/>
                  </w14:solidFill>
                </w14:textFill>
              </w:rPr>
            </w:pPr>
          </w:p>
        </w:tc>
        <w:tc>
          <w:tcPr>
            <w:tcW w:w="771" w:type="dxa"/>
            <w:tcBorders>
              <w:top w:val="single" w:color="auto" w:sz="4" w:space="0"/>
              <w:left w:val="single" w:color="auto" w:sz="4" w:space="0"/>
              <w:bottom w:val="single" w:color="auto" w:sz="4" w:space="0"/>
              <w:right w:val="single" w:color="auto" w:sz="4" w:space="0"/>
            </w:tcBorders>
            <w:vAlign w:val="center"/>
          </w:tcPr>
          <w:p w14:paraId="52BBEF6E">
            <w:pPr>
              <w:ind w:firstLine="480"/>
              <w:jc w:val="center"/>
              <w:rPr>
                <w:rFonts w:ascii="宋体" w:hAnsi="宋体" w:cs="宋体"/>
                <w:color w:val="000000" w:themeColor="text1"/>
                <w:sz w:val="24"/>
                <w:szCs w:val="20"/>
                <w14:textFill>
                  <w14:solidFill>
                    <w14:schemeClr w14:val="tx1"/>
                  </w14:solidFill>
                </w14:textFill>
              </w:rPr>
            </w:pPr>
          </w:p>
        </w:tc>
      </w:tr>
      <w:tr w14:paraId="51DB8B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212761FF">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6F4EB939">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208F0FDF">
            <w:pPr>
              <w:ind w:firstLine="480"/>
              <w:jc w:val="center"/>
              <w:rPr>
                <w:rFonts w:ascii="宋体" w:hAnsi="宋体" w:cs="宋体"/>
                <w:color w:val="000000" w:themeColor="text1"/>
                <w:sz w:val="24"/>
                <w:szCs w:val="20"/>
                <w14:textFill>
                  <w14:solidFill>
                    <w14:schemeClr w14:val="tx1"/>
                  </w14:solidFill>
                </w14:textFill>
              </w:rPr>
            </w:pPr>
          </w:p>
        </w:tc>
        <w:tc>
          <w:tcPr>
            <w:tcW w:w="1235" w:type="dxa"/>
            <w:tcBorders>
              <w:top w:val="single" w:color="auto" w:sz="4" w:space="0"/>
              <w:left w:val="single" w:color="auto" w:sz="4" w:space="0"/>
              <w:bottom w:val="single" w:color="auto" w:sz="4" w:space="0"/>
              <w:right w:val="single" w:color="auto" w:sz="4" w:space="0"/>
            </w:tcBorders>
            <w:vAlign w:val="center"/>
          </w:tcPr>
          <w:p w14:paraId="750CF175">
            <w:pPr>
              <w:ind w:firstLine="480"/>
              <w:jc w:val="center"/>
              <w:rPr>
                <w:rFonts w:ascii="宋体" w:hAnsi="宋体" w:cs="宋体"/>
                <w:color w:val="000000" w:themeColor="text1"/>
                <w:sz w:val="24"/>
                <w:szCs w:val="20"/>
                <w14:textFill>
                  <w14:solidFill>
                    <w14:schemeClr w14:val="tx1"/>
                  </w14:solidFill>
                </w14:textFill>
              </w:rPr>
            </w:pPr>
          </w:p>
        </w:tc>
        <w:tc>
          <w:tcPr>
            <w:tcW w:w="840" w:type="dxa"/>
            <w:tcBorders>
              <w:top w:val="single" w:color="auto" w:sz="4" w:space="0"/>
              <w:left w:val="single" w:color="auto" w:sz="4" w:space="0"/>
              <w:bottom w:val="single" w:color="auto" w:sz="4" w:space="0"/>
              <w:right w:val="single" w:color="auto" w:sz="4" w:space="0"/>
            </w:tcBorders>
            <w:vAlign w:val="center"/>
          </w:tcPr>
          <w:p w14:paraId="36D78EDD">
            <w:pPr>
              <w:ind w:firstLine="480"/>
              <w:jc w:val="center"/>
              <w:rPr>
                <w:rFonts w:ascii="宋体" w:hAnsi="宋体" w:cs="宋体"/>
                <w:color w:val="000000" w:themeColor="text1"/>
                <w:sz w:val="24"/>
                <w:szCs w:val="20"/>
                <w14:textFill>
                  <w14:solidFill>
                    <w14:schemeClr w14:val="tx1"/>
                  </w14:solidFill>
                </w14:textFill>
              </w:rPr>
            </w:pPr>
          </w:p>
        </w:tc>
        <w:tc>
          <w:tcPr>
            <w:tcW w:w="858" w:type="dxa"/>
            <w:tcBorders>
              <w:top w:val="single" w:color="auto" w:sz="4" w:space="0"/>
              <w:left w:val="single" w:color="auto" w:sz="4" w:space="0"/>
              <w:bottom w:val="single" w:color="auto" w:sz="4" w:space="0"/>
              <w:right w:val="single" w:color="auto" w:sz="4" w:space="0"/>
            </w:tcBorders>
            <w:vAlign w:val="center"/>
          </w:tcPr>
          <w:p w14:paraId="73072D01">
            <w:pPr>
              <w:ind w:firstLine="480"/>
              <w:jc w:val="center"/>
              <w:rPr>
                <w:rFonts w:ascii="宋体" w:hAnsi="宋体" w:cs="宋体"/>
                <w:color w:val="000000" w:themeColor="text1"/>
                <w:sz w:val="24"/>
                <w:szCs w:val="20"/>
                <w14:textFill>
                  <w14:solidFill>
                    <w14:schemeClr w14:val="tx1"/>
                  </w14:solidFill>
                </w14:textFill>
              </w:rPr>
            </w:pPr>
          </w:p>
        </w:tc>
        <w:tc>
          <w:tcPr>
            <w:tcW w:w="926" w:type="dxa"/>
            <w:tcBorders>
              <w:top w:val="single" w:color="auto" w:sz="4" w:space="0"/>
              <w:left w:val="single" w:color="auto" w:sz="4" w:space="0"/>
              <w:bottom w:val="single" w:color="auto" w:sz="4" w:space="0"/>
              <w:right w:val="single" w:color="auto" w:sz="4" w:space="0"/>
            </w:tcBorders>
            <w:vAlign w:val="center"/>
          </w:tcPr>
          <w:p w14:paraId="6287547E">
            <w:pPr>
              <w:ind w:firstLine="480"/>
              <w:jc w:val="center"/>
              <w:rPr>
                <w:rFonts w:ascii="宋体" w:hAnsi="宋体" w:cs="宋体"/>
                <w:color w:val="000000" w:themeColor="text1"/>
                <w:sz w:val="24"/>
                <w:szCs w:val="20"/>
                <w14:textFill>
                  <w14:solidFill>
                    <w14:schemeClr w14:val="tx1"/>
                  </w14:solidFill>
                </w14:textFill>
              </w:rPr>
            </w:pPr>
          </w:p>
        </w:tc>
        <w:tc>
          <w:tcPr>
            <w:tcW w:w="2320" w:type="dxa"/>
            <w:tcBorders>
              <w:top w:val="single" w:color="auto" w:sz="4" w:space="0"/>
              <w:left w:val="single" w:color="auto" w:sz="4" w:space="0"/>
              <w:bottom w:val="single" w:color="auto" w:sz="4" w:space="0"/>
              <w:right w:val="single" w:color="auto" w:sz="4" w:space="0"/>
            </w:tcBorders>
            <w:vAlign w:val="center"/>
          </w:tcPr>
          <w:p w14:paraId="149EA073">
            <w:pPr>
              <w:ind w:firstLine="480"/>
              <w:jc w:val="center"/>
              <w:rPr>
                <w:rFonts w:ascii="宋体" w:hAnsi="宋体" w:cs="宋体"/>
                <w:color w:val="000000" w:themeColor="text1"/>
                <w:sz w:val="24"/>
                <w:szCs w:val="20"/>
                <w14:textFill>
                  <w14:solidFill>
                    <w14:schemeClr w14:val="tx1"/>
                  </w14:solidFill>
                </w14:textFill>
              </w:rPr>
            </w:pPr>
          </w:p>
        </w:tc>
        <w:tc>
          <w:tcPr>
            <w:tcW w:w="771" w:type="dxa"/>
            <w:tcBorders>
              <w:top w:val="single" w:color="auto" w:sz="4" w:space="0"/>
              <w:left w:val="single" w:color="auto" w:sz="4" w:space="0"/>
              <w:bottom w:val="single" w:color="auto" w:sz="4" w:space="0"/>
              <w:right w:val="single" w:color="auto" w:sz="4" w:space="0"/>
            </w:tcBorders>
            <w:vAlign w:val="center"/>
          </w:tcPr>
          <w:p w14:paraId="5C2D2EC6">
            <w:pPr>
              <w:ind w:firstLine="480"/>
              <w:jc w:val="center"/>
              <w:rPr>
                <w:rFonts w:ascii="宋体" w:hAnsi="宋体" w:cs="宋体"/>
                <w:color w:val="000000" w:themeColor="text1"/>
                <w:sz w:val="24"/>
                <w:szCs w:val="20"/>
                <w14:textFill>
                  <w14:solidFill>
                    <w14:schemeClr w14:val="tx1"/>
                  </w14:solidFill>
                </w14:textFill>
              </w:rPr>
            </w:pPr>
          </w:p>
        </w:tc>
      </w:tr>
      <w:tr w14:paraId="6945CC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4C860053">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37B1D05B">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3996BE6A">
            <w:pPr>
              <w:ind w:firstLine="480"/>
              <w:jc w:val="center"/>
              <w:rPr>
                <w:rFonts w:ascii="宋体" w:hAnsi="宋体" w:cs="宋体"/>
                <w:color w:val="000000" w:themeColor="text1"/>
                <w:sz w:val="24"/>
                <w:szCs w:val="20"/>
                <w14:textFill>
                  <w14:solidFill>
                    <w14:schemeClr w14:val="tx1"/>
                  </w14:solidFill>
                </w14:textFill>
              </w:rPr>
            </w:pPr>
          </w:p>
        </w:tc>
        <w:tc>
          <w:tcPr>
            <w:tcW w:w="1235" w:type="dxa"/>
            <w:tcBorders>
              <w:top w:val="single" w:color="auto" w:sz="4" w:space="0"/>
              <w:left w:val="single" w:color="auto" w:sz="4" w:space="0"/>
              <w:bottom w:val="single" w:color="auto" w:sz="4" w:space="0"/>
              <w:right w:val="single" w:color="auto" w:sz="4" w:space="0"/>
            </w:tcBorders>
            <w:vAlign w:val="center"/>
          </w:tcPr>
          <w:p w14:paraId="0EE61887">
            <w:pPr>
              <w:ind w:firstLine="480"/>
              <w:jc w:val="center"/>
              <w:rPr>
                <w:rFonts w:ascii="宋体" w:hAnsi="宋体" w:cs="宋体"/>
                <w:color w:val="000000" w:themeColor="text1"/>
                <w:sz w:val="24"/>
                <w:szCs w:val="20"/>
                <w14:textFill>
                  <w14:solidFill>
                    <w14:schemeClr w14:val="tx1"/>
                  </w14:solidFill>
                </w14:textFill>
              </w:rPr>
            </w:pPr>
          </w:p>
        </w:tc>
        <w:tc>
          <w:tcPr>
            <w:tcW w:w="840" w:type="dxa"/>
            <w:tcBorders>
              <w:top w:val="single" w:color="auto" w:sz="4" w:space="0"/>
              <w:left w:val="single" w:color="auto" w:sz="4" w:space="0"/>
              <w:bottom w:val="single" w:color="auto" w:sz="4" w:space="0"/>
              <w:right w:val="single" w:color="auto" w:sz="4" w:space="0"/>
            </w:tcBorders>
            <w:vAlign w:val="center"/>
          </w:tcPr>
          <w:p w14:paraId="41D69615">
            <w:pPr>
              <w:ind w:firstLine="480"/>
              <w:jc w:val="center"/>
              <w:rPr>
                <w:rFonts w:ascii="宋体" w:hAnsi="宋体" w:cs="宋体"/>
                <w:color w:val="000000" w:themeColor="text1"/>
                <w:sz w:val="24"/>
                <w:szCs w:val="20"/>
                <w14:textFill>
                  <w14:solidFill>
                    <w14:schemeClr w14:val="tx1"/>
                  </w14:solidFill>
                </w14:textFill>
              </w:rPr>
            </w:pPr>
          </w:p>
        </w:tc>
        <w:tc>
          <w:tcPr>
            <w:tcW w:w="858" w:type="dxa"/>
            <w:tcBorders>
              <w:top w:val="single" w:color="auto" w:sz="4" w:space="0"/>
              <w:left w:val="single" w:color="auto" w:sz="4" w:space="0"/>
              <w:bottom w:val="single" w:color="auto" w:sz="4" w:space="0"/>
              <w:right w:val="single" w:color="auto" w:sz="4" w:space="0"/>
            </w:tcBorders>
            <w:vAlign w:val="center"/>
          </w:tcPr>
          <w:p w14:paraId="431515D4">
            <w:pPr>
              <w:ind w:firstLine="480"/>
              <w:jc w:val="center"/>
              <w:rPr>
                <w:rFonts w:ascii="宋体" w:hAnsi="宋体" w:cs="宋体"/>
                <w:color w:val="000000" w:themeColor="text1"/>
                <w:sz w:val="24"/>
                <w:szCs w:val="20"/>
                <w14:textFill>
                  <w14:solidFill>
                    <w14:schemeClr w14:val="tx1"/>
                  </w14:solidFill>
                </w14:textFill>
              </w:rPr>
            </w:pPr>
          </w:p>
        </w:tc>
        <w:tc>
          <w:tcPr>
            <w:tcW w:w="926" w:type="dxa"/>
            <w:tcBorders>
              <w:top w:val="single" w:color="auto" w:sz="4" w:space="0"/>
              <w:left w:val="single" w:color="auto" w:sz="4" w:space="0"/>
              <w:bottom w:val="single" w:color="auto" w:sz="4" w:space="0"/>
              <w:right w:val="single" w:color="auto" w:sz="4" w:space="0"/>
            </w:tcBorders>
            <w:vAlign w:val="center"/>
          </w:tcPr>
          <w:p w14:paraId="19A7765E">
            <w:pPr>
              <w:ind w:firstLine="480"/>
              <w:jc w:val="center"/>
              <w:rPr>
                <w:rFonts w:ascii="宋体" w:hAnsi="宋体" w:cs="宋体"/>
                <w:color w:val="000000" w:themeColor="text1"/>
                <w:sz w:val="24"/>
                <w:szCs w:val="20"/>
                <w14:textFill>
                  <w14:solidFill>
                    <w14:schemeClr w14:val="tx1"/>
                  </w14:solidFill>
                </w14:textFill>
              </w:rPr>
            </w:pPr>
          </w:p>
        </w:tc>
        <w:tc>
          <w:tcPr>
            <w:tcW w:w="2320" w:type="dxa"/>
            <w:tcBorders>
              <w:top w:val="single" w:color="auto" w:sz="4" w:space="0"/>
              <w:left w:val="single" w:color="auto" w:sz="4" w:space="0"/>
              <w:bottom w:val="single" w:color="auto" w:sz="4" w:space="0"/>
              <w:right w:val="single" w:color="auto" w:sz="4" w:space="0"/>
            </w:tcBorders>
            <w:vAlign w:val="center"/>
          </w:tcPr>
          <w:p w14:paraId="3386F9F3">
            <w:pPr>
              <w:ind w:firstLine="480"/>
              <w:jc w:val="center"/>
              <w:rPr>
                <w:rFonts w:ascii="宋体" w:hAnsi="宋体" w:cs="宋体"/>
                <w:color w:val="000000" w:themeColor="text1"/>
                <w:sz w:val="24"/>
                <w:szCs w:val="20"/>
                <w14:textFill>
                  <w14:solidFill>
                    <w14:schemeClr w14:val="tx1"/>
                  </w14:solidFill>
                </w14:textFill>
              </w:rPr>
            </w:pPr>
          </w:p>
        </w:tc>
        <w:tc>
          <w:tcPr>
            <w:tcW w:w="771" w:type="dxa"/>
            <w:tcBorders>
              <w:top w:val="single" w:color="auto" w:sz="4" w:space="0"/>
              <w:left w:val="single" w:color="auto" w:sz="4" w:space="0"/>
              <w:bottom w:val="single" w:color="auto" w:sz="4" w:space="0"/>
              <w:right w:val="single" w:color="auto" w:sz="4" w:space="0"/>
            </w:tcBorders>
            <w:vAlign w:val="center"/>
          </w:tcPr>
          <w:p w14:paraId="640C7D0C">
            <w:pPr>
              <w:ind w:firstLine="480"/>
              <w:jc w:val="center"/>
              <w:rPr>
                <w:rFonts w:ascii="宋体" w:hAnsi="宋体" w:cs="宋体"/>
                <w:color w:val="000000" w:themeColor="text1"/>
                <w:sz w:val="24"/>
                <w:szCs w:val="20"/>
                <w14:textFill>
                  <w14:solidFill>
                    <w14:schemeClr w14:val="tx1"/>
                  </w14:solidFill>
                </w14:textFill>
              </w:rPr>
            </w:pPr>
          </w:p>
        </w:tc>
      </w:tr>
      <w:tr w14:paraId="423578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3E06FA46">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28F5BCE5">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4975D4A5">
            <w:pPr>
              <w:ind w:firstLine="480"/>
              <w:jc w:val="center"/>
              <w:rPr>
                <w:rFonts w:ascii="宋体" w:hAnsi="宋体" w:cs="宋体"/>
                <w:color w:val="000000" w:themeColor="text1"/>
                <w:sz w:val="24"/>
                <w:szCs w:val="20"/>
                <w14:textFill>
                  <w14:solidFill>
                    <w14:schemeClr w14:val="tx1"/>
                  </w14:solidFill>
                </w14:textFill>
              </w:rPr>
            </w:pPr>
          </w:p>
        </w:tc>
        <w:tc>
          <w:tcPr>
            <w:tcW w:w="1235" w:type="dxa"/>
            <w:tcBorders>
              <w:top w:val="single" w:color="auto" w:sz="4" w:space="0"/>
              <w:left w:val="single" w:color="auto" w:sz="4" w:space="0"/>
              <w:bottom w:val="single" w:color="auto" w:sz="4" w:space="0"/>
              <w:right w:val="single" w:color="auto" w:sz="4" w:space="0"/>
            </w:tcBorders>
            <w:vAlign w:val="center"/>
          </w:tcPr>
          <w:p w14:paraId="618E9F0D">
            <w:pPr>
              <w:ind w:firstLine="480"/>
              <w:jc w:val="center"/>
              <w:rPr>
                <w:rFonts w:ascii="宋体" w:hAnsi="宋体" w:cs="宋体"/>
                <w:color w:val="000000" w:themeColor="text1"/>
                <w:sz w:val="24"/>
                <w:szCs w:val="20"/>
                <w14:textFill>
                  <w14:solidFill>
                    <w14:schemeClr w14:val="tx1"/>
                  </w14:solidFill>
                </w14:textFill>
              </w:rPr>
            </w:pPr>
          </w:p>
        </w:tc>
        <w:tc>
          <w:tcPr>
            <w:tcW w:w="840" w:type="dxa"/>
            <w:tcBorders>
              <w:top w:val="single" w:color="auto" w:sz="4" w:space="0"/>
              <w:left w:val="single" w:color="auto" w:sz="4" w:space="0"/>
              <w:bottom w:val="single" w:color="auto" w:sz="4" w:space="0"/>
              <w:right w:val="single" w:color="auto" w:sz="4" w:space="0"/>
            </w:tcBorders>
            <w:vAlign w:val="center"/>
          </w:tcPr>
          <w:p w14:paraId="680775E5">
            <w:pPr>
              <w:ind w:firstLine="480"/>
              <w:jc w:val="center"/>
              <w:rPr>
                <w:rFonts w:ascii="宋体" w:hAnsi="宋体" w:cs="宋体"/>
                <w:color w:val="000000" w:themeColor="text1"/>
                <w:sz w:val="24"/>
                <w:szCs w:val="20"/>
                <w14:textFill>
                  <w14:solidFill>
                    <w14:schemeClr w14:val="tx1"/>
                  </w14:solidFill>
                </w14:textFill>
              </w:rPr>
            </w:pPr>
          </w:p>
        </w:tc>
        <w:tc>
          <w:tcPr>
            <w:tcW w:w="858" w:type="dxa"/>
            <w:tcBorders>
              <w:top w:val="single" w:color="auto" w:sz="4" w:space="0"/>
              <w:left w:val="single" w:color="auto" w:sz="4" w:space="0"/>
              <w:bottom w:val="single" w:color="auto" w:sz="4" w:space="0"/>
              <w:right w:val="single" w:color="auto" w:sz="4" w:space="0"/>
            </w:tcBorders>
            <w:vAlign w:val="center"/>
          </w:tcPr>
          <w:p w14:paraId="772CBCB8">
            <w:pPr>
              <w:ind w:firstLine="480"/>
              <w:jc w:val="center"/>
              <w:rPr>
                <w:rFonts w:ascii="宋体" w:hAnsi="宋体" w:cs="宋体"/>
                <w:color w:val="000000" w:themeColor="text1"/>
                <w:sz w:val="24"/>
                <w:szCs w:val="20"/>
                <w14:textFill>
                  <w14:solidFill>
                    <w14:schemeClr w14:val="tx1"/>
                  </w14:solidFill>
                </w14:textFill>
              </w:rPr>
            </w:pPr>
          </w:p>
        </w:tc>
        <w:tc>
          <w:tcPr>
            <w:tcW w:w="926" w:type="dxa"/>
            <w:tcBorders>
              <w:top w:val="single" w:color="auto" w:sz="4" w:space="0"/>
              <w:left w:val="single" w:color="auto" w:sz="4" w:space="0"/>
              <w:bottom w:val="single" w:color="auto" w:sz="4" w:space="0"/>
              <w:right w:val="single" w:color="auto" w:sz="4" w:space="0"/>
            </w:tcBorders>
            <w:vAlign w:val="center"/>
          </w:tcPr>
          <w:p w14:paraId="3A0A0EF7">
            <w:pPr>
              <w:ind w:firstLine="480"/>
              <w:jc w:val="center"/>
              <w:rPr>
                <w:rFonts w:ascii="宋体" w:hAnsi="宋体" w:cs="宋体"/>
                <w:color w:val="000000" w:themeColor="text1"/>
                <w:sz w:val="24"/>
                <w:szCs w:val="20"/>
                <w14:textFill>
                  <w14:solidFill>
                    <w14:schemeClr w14:val="tx1"/>
                  </w14:solidFill>
                </w14:textFill>
              </w:rPr>
            </w:pPr>
          </w:p>
        </w:tc>
        <w:tc>
          <w:tcPr>
            <w:tcW w:w="2320" w:type="dxa"/>
            <w:tcBorders>
              <w:top w:val="single" w:color="auto" w:sz="4" w:space="0"/>
              <w:left w:val="single" w:color="auto" w:sz="4" w:space="0"/>
              <w:bottom w:val="single" w:color="auto" w:sz="4" w:space="0"/>
              <w:right w:val="single" w:color="auto" w:sz="4" w:space="0"/>
            </w:tcBorders>
            <w:vAlign w:val="center"/>
          </w:tcPr>
          <w:p w14:paraId="6A184FC8">
            <w:pPr>
              <w:ind w:firstLine="480"/>
              <w:jc w:val="center"/>
              <w:rPr>
                <w:rFonts w:ascii="宋体" w:hAnsi="宋体" w:cs="宋体"/>
                <w:color w:val="000000" w:themeColor="text1"/>
                <w:sz w:val="24"/>
                <w:szCs w:val="20"/>
                <w14:textFill>
                  <w14:solidFill>
                    <w14:schemeClr w14:val="tx1"/>
                  </w14:solidFill>
                </w14:textFill>
              </w:rPr>
            </w:pPr>
          </w:p>
        </w:tc>
        <w:tc>
          <w:tcPr>
            <w:tcW w:w="771" w:type="dxa"/>
            <w:tcBorders>
              <w:top w:val="single" w:color="auto" w:sz="4" w:space="0"/>
              <w:left w:val="single" w:color="auto" w:sz="4" w:space="0"/>
              <w:bottom w:val="single" w:color="auto" w:sz="4" w:space="0"/>
              <w:right w:val="single" w:color="auto" w:sz="4" w:space="0"/>
            </w:tcBorders>
            <w:vAlign w:val="center"/>
          </w:tcPr>
          <w:p w14:paraId="27932DFE">
            <w:pPr>
              <w:ind w:firstLine="480"/>
              <w:jc w:val="center"/>
              <w:rPr>
                <w:rFonts w:ascii="宋体" w:hAnsi="宋体" w:cs="宋体"/>
                <w:color w:val="000000" w:themeColor="text1"/>
                <w:sz w:val="24"/>
                <w:szCs w:val="20"/>
                <w14:textFill>
                  <w14:solidFill>
                    <w14:schemeClr w14:val="tx1"/>
                  </w14:solidFill>
                </w14:textFill>
              </w:rPr>
            </w:pPr>
          </w:p>
        </w:tc>
      </w:tr>
      <w:tr w14:paraId="454055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456F156B">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253C9E8D">
            <w:pPr>
              <w:ind w:firstLine="480"/>
              <w:jc w:val="center"/>
              <w:rPr>
                <w:rFonts w:ascii="宋体" w:hAnsi="宋体" w:cs="宋体"/>
                <w:color w:val="000000" w:themeColor="text1"/>
                <w:sz w:val="24"/>
                <w:szCs w:val="20"/>
                <w14:textFill>
                  <w14:solidFill>
                    <w14:schemeClr w14:val="tx1"/>
                  </w14:solidFill>
                </w14:textFill>
              </w:rPr>
            </w:pPr>
          </w:p>
        </w:tc>
        <w:tc>
          <w:tcPr>
            <w:tcW w:w="772" w:type="dxa"/>
            <w:tcBorders>
              <w:top w:val="single" w:color="auto" w:sz="4" w:space="0"/>
              <w:left w:val="single" w:color="auto" w:sz="4" w:space="0"/>
              <w:bottom w:val="single" w:color="auto" w:sz="4" w:space="0"/>
              <w:right w:val="single" w:color="auto" w:sz="4" w:space="0"/>
            </w:tcBorders>
            <w:vAlign w:val="center"/>
          </w:tcPr>
          <w:p w14:paraId="206FAE26">
            <w:pPr>
              <w:ind w:firstLine="480"/>
              <w:jc w:val="center"/>
              <w:rPr>
                <w:rFonts w:ascii="宋体" w:hAnsi="宋体" w:cs="宋体"/>
                <w:color w:val="000000" w:themeColor="text1"/>
                <w:sz w:val="24"/>
                <w:szCs w:val="20"/>
                <w14:textFill>
                  <w14:solidFill>
                    <w14:schemeClr w14:val="tx1"/>
                  </w14:solidFill>
                </w14:textFill>
              </w:rPr>
            </w:pPr>
          </w:p>
        </w:tc>
        <w:tc>
          <w:tcPr>
            <w:tcW w:w="1235" w:type="dxa"/>
            <w:tcBorders>
              <w:top w:val="single" w:color="auto" w:sz="4" w:space="0"/>
              <w:left w:val="single" w:color="auto" w:sz="4" w:space="0"/>
              <w:bottom w:val="single" w:color="auto" w:sz="4" w:space="0"/>
              <w:right w:val="single" w:color="auto" w:sz="4" w:space="0"/>
            </w:tcBorders>
            <w:vAlign w:val="center"/>
          </w:tcPr>
          <w:p w14:paraId="3E3050F7">
            <w:pPr>
              <w:ind w:firstLine="480"/>
              <w:jc w:val="center"/>
              <w:rPr>
                <w:rFonts w:ascii="宋体" w:hAnsi="宋体" w:cs="宋体"/>
                <w:color w:val="000000" w:themeColor="text1"/>
                <w:sz w:val="24"/>
                <w:szCs w:val="20"/>
                <w14:textFill>
                  <w14:solidFill>
                    <w14:schemeClr w14:val="tx1"/>
                  </w14:solidFill>
                </w14:textFill>
              </w:rPr>
            </w:pPr>
          </w:p>
        </w:tc>
        <w:tc>
          <w:tcPr>
            <w:tcW w:w="840" w:type="dxa"/>
            <w:tcBorders>
              <w:top w:val="single" w:color="auto" w:sz="4" w:space="0"/>
              <w:left w:val="single" w:color="auto" w:sz="4" w:space="0"/>
              <w:bottom w:val="single" w:color="auto" w:sz="4" w:space="0"/>
              <w:right w:val="single" w:color="auto" w:sz="4" w:space="0"/>
            </w:tcBorders>
            <w:vAlign w:val="center"/>
          </w:tcPr>
          <w:p w14:paraId="55F23497">
            <w:pPr>
              <w:ind w:firstLine="480"/>
              <w:jc w:val="center"/>
              <w:rPr>
                <w:rFonts w:ascii="宋体" w:hAnsi="宋体" w:cs="宋体"/>
                <w:color w:val="000000" w:themeColor="text1"/>
                <w:sz w:val="24"/>
                <w:szCs w:val="20"/>
                <w14:textFill>
                  <w14:solidFill>
                    <w14:schemeClr w14:val="tx1"/>
                  </w14:solidFill>
                </w14:textFill>
              </w:rPr>
            </w:pPr>
          </w:p>
        </w:tc>
        <w:tc>
          <w:tcPr>
            <w:tcW w:w="858" w:type="dxa"/>
            <w:tcBorders>
              <w:top w:val="single" w:color="auto" w:sz="4" w:space="0"/>
              <w:left w:val="single" w:color="auto" w:sz="4" w:space="0"/>
              <w:bottom w:val="single" w:color="auto" w:sz="4" w:space="0"/>
              <w:right w:val="single" w:color="auto" w:sz="4" w:space="0"/>
            </w:tcBorders>
            <w:vAlign w:val="center"/>
          </w:tcPr>
          <w:p w14:paraId="4872FFEE">
            <w:pPr>
              <w:ind w:firstLine="480"/>
              <w:jc w:val="center"/>
              <w:rPr>
                <w:rFonts w:ascii="宋体" w:hAnsi="宋体" w:cs="宋体"/>
                <w:color w:val="000000" w:themeColor="text1"/>
                <w:sz w:val="24"/>
                <w:szCs w:val="20"/>
                <w14:textFill>
                  <w14:solidFill>
                    <w14:schemeClr w14:val="tx1"/>
                  </w14:solidFill>
                </w14:textFill>
              </w:rPr>
            </w:pPr>
          </w:p>
        </w:tc>
        <w:tc>
          <w:tcPr>
            <w:tcW w:w="926" w:type="dxa"/>
            <w:tcBorders>
              <w:top w:val="single" w:color="auto" w:sz="4" w:space="0"/>
              <w:left w:val="single" w:color="auto" w:sz="4" w:space="0"/>
              <w:bottom w:val="single" w:color="auto" w:sz="4" w:space="0"/>
              <w:right w:val="single" w:color="auto" w:sz="4" w:space="0"/>
            </w:tcBorders>
            <w:vAlign w:val="center"/>
          </w:tcPr>
          <w:p w14:paraId="124981C9">
            <w:pPr>
              <w:ind w:firstLine="480"/>
              <w:jc w:val="center"/>
              <w:rPr>
                <w:rFonts w:ascii="宋体" w:hAnsi="宋体" w:cs="宋体"/>
                <w:color w:val="000000" w:themeColor="text1"/>
                <w:sz w:val="24"/>
                <w:szCs w:val="20"/>
                <w14:textFill>
                  <w14:solidFill>
                    <w14:schemeClr w14:val="tx1"/>
                  </w14:solidFill>
                </w14:textFill>
              </w:rPr>
            </w:pPr>
          </w:p>
        </w:tc>
        <w:tc>
          <w:tcPr>
            <w:tcW w:w="2320" w:type="dxa"/>
            <w:tcBorders>
              <w:top w:val="single" w:color="auto" w:sz="4" w:space="0"/>
              <w:left w:val="single" w:color="auto" w:sz="4" w:space="0"/>
              <w:bottom w:val="single" w:color="auto" w:sz="4" w:space="0"/>
              <w:right w:val="single" w:color="auto" w:sz="4" w:space="0"/>
            </w:tcBorders>
            <w:vAlign w:val="center"/>
          </w:tcPr>
          <w:p w14:paraId="3CBAD651">
            <w:pPr>
              <w:ind w:firstLine="480"/>
              <w:jc w:val="center"/>
              <w:rPr>
                <w:rFonts w:ascii="宋体" w:hAnsi="宋体" w:cs="宋体"/>
                <w:color w:val="000000" w:themeColor="text1"/>
                <w:sz w:val="24"/>
                <w:szCs w:val="20"/>
                <w14:textFill>
                  <w14:solidFill>
                    <w14:schemeClr w14:val="tx1"/>
                  </w14:solidFill>
                </w14:textFill>
              </w:rPr>
            </w:pPr>
          </w:p>
        </w:tc>
        <w:tc>
          <w:tcPr>
            <w:tcW w:w="771" w:type="dxa"/>
            <w:tcBorders>
              <w:top w:val="single" w:color="auto" w:sz="4" w:space="0"/>
              <w:left w:val="single" w:color="auto" w:sz="4" w:space="0"/>
              <w:bottom w:val="single" w:color="auto" w:sz="4" w:space="0"/>
              <w:right w:val="single" w:color="auto" w:sz="4" w:space="0"/>
            </w:tcBorders>
            <w:vAlign w:val="center"/>
          </w:tcPr>
          <w:p w14:paraId="24D2B064">
            <w:pPr>
              <w:ind w:firstLine="480"/>
              <w:jc w:val="center"/>
              <w:rPr>
                <w:rFonts w:ascii="宋体" w:hAnsi="宋体" w:cs="宋体"/>
                <w:color w:val="000000" w:themeColor="text1"/>
                <w:sz w:val="24"/>
                <w:szCs w:val="20"/>
                <w14:textFill>
                  <w14:solidFill>
                    <w14:schemeClr w14:val="tx1"/>
                  </w14:solidFill>
                </w14:textFill>
              </w:rPr>
            </w:pPr>
          </w:p>
        </w:tc>
      </w:tr>
    </w:tbl>
    <w:p w14:paraId="567FC5CB">
      <w:pPr>
        <w:ind w:firstLine="602"/>
        <w:jc w:val="right"/>
        <w:rPr>
          <w:rFonts w:ascii="仿宋_GB2312"/>
          <w:b/>
          <w:color w:val="000000" w:themeColor="text1"/>
          <w:sz w:val="30"/>
          <w:szCs w:val="30"/>
          <w14:textFill>
            <w14:solidFill>
              <w14:schemeClr w14:val="tx1"/>
            </w14:solidFill>
          </w14:textFill>
        </w:rPr>
      </w:pPr>
    </w:p>
    <w:p w14:paraId="5EB523F9">
      <w:pPr>
        <w:ind w:right="640" w:firstLine="640"/>
        <w:jc w:val="right"/>
        <w:rPr>
          <w:rFonts w:ascii="仿宋_GB2312" w:hAnsi="仿宋"/>
          <w:color w:val="000000" w:themeColor="text1"/>
          <w:sz w:val="32"/>
          <w:szCs w:val="32"/>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 xml:space="preserve">报价供应商(盖章): </w:t>
      </w:r>
    </w:p>
    <w:p w14:paraId="0A54BE55">
      <w:pPr>
        <w:ind w:right="960" w:firstLine="640"/>
        <w:jc w:val="right"/>
        <w:rPr>
          <w:rFonts w:ascii="仿宋_GB2312" w:hAnsi="仿宋"/>
          <w:color w:val="000000" w:themeColor="text1"/>
          <w:sz w:val="32"/>
          <w:szCs w:val="32"/>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 xml:space="preserve">法定代表人签章: </w:t>
      </w:r>
    </w:p>
    <w:p w14:paraId="0DDF5482">
      <w:pPr>
        <w:ind w:firstLine="640"/>
        <w:jc w:val="center"/>
        <w:rPr>
          <w:rFonts w:ascii="黑体" w:hAnsi="黑体" w:eastAsia="黑体"/>
          <w:color w:val="000000" w:themeColor="text1"/>
          <w:sz w:val="32"/>
          <w:szCs w:val="32"/>
          <w14:textFill>
            <w14:solidFill>
              <w14:schemeClr w14:val="tx1"/>
            </w14:solidFill>
          </w14:textFill>
        </w:rPr>
      </w:pPr>
    </w:p>
    <w:p w14:paraId="57304A0D">
      <w:pPr>
        <w:ind w:firstLine="0" w:firstLineChars="0"/>
        <w:jc w:val="center"/>
        <w:rPr>
          <w:rFonts w:ascii="黑体" w:hAnsi="黑体" w:eastAsia="黑体"/>
          <w:color w:val="000000" w:themeColor="text1"/>
          <w:sz w:val="32"/>
          <w:szCs w:val="32"/>
          <w14:textFill>
            <w14:solidFill>
              <w14:schemeClr w14:val="tx1"/>
            </w14:solidFill>
          </w14:textFill>
        </w:rPr>
      </w:pPr>
      <w:r>
        <w:rPr>
          <w:rFonts w:ascii="黑体" w:hAnsi="黑体" w:eastAsia="黑体"/>
          <w:color w:val="000000" w:themeColor="text1"/>
          <w:sz w:val="32"/>
          <w:szCs w:val="32"/>
          <w14:textFill>
            <w14:solidFill>
              <w14:schemeClr w14:val="tx1"/>
            </w14:solidFill>
          </w14:textFill>
        </w:rPr>
        <w:t>项目经理简介表</w:t>
      </w:r>
    </w:p>
    <w:tbl>
      <w:tblPr>
        <w:tblStyle w:val="45"/>
        <w:tblW w:w="9752"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1010"/>
        <w:gridCol w:w="722"/>
        <w:gridCol w:w="1759"/>
        <w:gridCol w:w="585"/>
        <w:gridCol w:w="1248"/>
        <w:gridCol w:w="170"/>
        <w:gridCol w:w="1420"/>
        <w:gridCol w:w="126"/>
        <w:gridCol w:w="1317"/>
        <w:gridCol w:w="1395"/>
      </w:tblGrid>
      <w:tr w14:paraId="56E6C21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4" w:hRule="atLeast"/>
        </w:trPr>
        <w:tc>
          <w:tcPr>
            <w:tcW w:w="1010" w:type="dxa"/>
            <w:tcBorders>
              <w:bottom w:val="single" w:color="000000" w:sz="6" w:space="0"/>
              <w:right w:val="single" w:color="000000" w:sz="6" w:space="0"/>
            </w:tcBorders>
            <w:vAlign w:val="center"/>
          </w:tcPr>
          <w:p w14:paraId="42C3F706">
            <w:pPr>
              <w:ind w:firstLine="400"/>
              <w:jc w:val="center"/>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姓名</w:t>
            </w:r>
          </w:p>
        </w:tc>
        <w:tc>
          <w:tcPr>
            <w:tcW w:w="3066" w:type="dxa"/>
            <w:gridSpan w:val="3"/>
            <w:tcBorders>
              <w:left w:val="single" w:color="000000" w:sz="6" w:space="0"/>
              <w:bottom w:val="single" w:color="000000" w:sz="6" w:space="0"/>
              <w:right w:val="single" w:color="000000" w:sz="6" w:space="0"/>
            </w:tcBorders>
            <w:vAlign w:val="center"/>
          </w:tcPr>
          <w:p w14:paraId="27C0BA6D">
            <w:pPr>
              <w:ind w:firstLine="400"/>
              <w:jc w:val="center"/>
              <w:rPr>
                <w:rFonts w:ascii="仿宋_GB2312"/>
                <w:color w:val="000000" w:themeColor="text1"/>
                <w:sz w:val="20"/>
                <w14:textFill>
                  <w14:solidFill>
                    <w14:schemeClr w14:val="tx1"/>
                  </w14:solidFill>
                </w14:textFill>
              </w:rPr>
            </w:pPr>
          </w:p>
        </w:tc>
        <w:tc>
          <w:tcPr>
            <w:tcW w:w="1418" w:type="dxa"/>
            <w:gridSpan w:val="2"/>
            <w:tcBorders>
              <w:left w:val="single" w:color="000000" w:sz="6" w:space="0"/>
              <w:bottom w:val="single" w:color="000000" w:sz="6" w:space="0"/>
              <w:right w:val="single" w:color="000000" w:sz="6" w:space="0"/>
            </w:tcBorders>
            <w:vAlign w:val="center"/>
          </w:tcPr>
          <w:p w14:paraId="1926384F">
            <w:pPr>
              <w:ind w:firstLine="400"/>
              <w:jc w:val="center"/>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性别</w:t>
            </w:r>
          </w:p>
        </w:tc>
        <w:tc>
          <w:tcPr>
            <w:tcW w:w="1420" w:type="dxa"/>
            <w:tcBorders>
              <w:left w:val="single" w:color="000000" w:sz="6" w:space="0"/>
              <w:bottom w:val="single" w:color="000000" w:sz="6" w:space="0"/>
              <w:right w:val="single" w:color="000000" w:sz="6" w:space="0"/>
            </w:tcBorders>
            <w:vAlign w:val="center"/>
          </w:tcPr>
          <w:p w14:paraId="0D751AA5">
            <w:pPr>
              <w:ind w:firstLine="400"/>
              <w:jc w:val="center"/>
              <w:rPr>
                <w:rFonts w:ascii="仿宋_GB2312"/>
                <w:color w:val="000000" w:themeColor="text1"/>
                <w:sz w:val="20"/>
                <w14:textFill>
                  <w14:solidFill>
                    <w14:schemeClr w14:val="tx1"/>
                  </w14:solidFill>
                </w14:textFill>
              </w:rPr>
            </w:pPr>
          </w:p>
        </w:tc>
        <w:tc>
          <w:tcPr>
            <w:tcW w:w="1443" w:type="dxa"/>
            <w:gridSpan w:val="2"/>
            <w:tcBorders>
              <w:left w:val="single" w:color="000000" w:sz="6" w:space="0"/>
              <w:bottom w:val="single" w:color="000000" w:sz="6" w:space="0"/>
              <w:right w:val="single" w:color="000000" w:sz="6" w:space="0"/>
            </w:tcBorders>
            <w:vAlign w:val="center"/>
          </w:tcPr>
          <w:p w14:paraId="69FE4E90">
            <w:pPr>
              <w:ind w:firstLine="400"/>
              <w:jc w:val="center"/>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年龄</w:t>
            </w:r>
          </w:p>
        </w:tc>
        <w:tc>
          <w:tcPr>
            <w:tcW w:w="1395" w:type="dxa"/>
            <w:tcBorders>
              <w:left w:val="single" w:color="000000" w:sz="6" w:space="0"/>
              <w:bottom w:val="single" w:color="000000" w:sz="6" w:space="0"/>
            </w:tcBorders>
            <w:vAlign w:val="center"/>
          </w:tcPr>
          <w:p w14:paraId="48134EC1">
            <w:pPr>
              <w:ind w:firstLine="400"/>
              <w:jc w:val="center"/>
              <w:rPr>
                <w:rFonts w:ascii="仿宋_GB2312"/>
                <w:color w:val="000000" w:themeColor="text1"/>
                <w:sz w:val="20"/>
                <w14:textFill>
                  <w14:solidFill>
                    <w14:schemeClr w14:val="tx1"/>
                  </w14:solidFill>
                </w14:textFill>
              </w:rPr>
            </w:pPr>
          </w:p>
        </w:tc>
      </w:tr>
      <w:tr w14:paraId="4DAB24C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4" w:hRule="atLeast"/>
        </w:trPr>
        <w:tc>
          <w:tcPr>
            <w:tcW w:w="1010" w:type="dxa"/>
            <w:tcBorders>
              <w:top w:val="single" w:color="000000" w:sz="6" w:space="0"/>
              <w:bottom w:val="single" w:color="000000" w:sz="6" w:space="0"/>
              <w:right w:val="single" w:color="000000" w:sz="6" w:space="0"/>
            </w:tcBorders>
            <w:vAlign w:val="center"/>
          </w:tcPr>
          <w:p w14:paraId="09AD290A">
            <w:pPr>
              <w:ind w:firstLine="400"/>
              <w:jc w:val="center"/>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职务</w:t>
            </w:r>
          </w:p>
        </w:tc>
        <w:tc>
          <w:tcPr>
            <w:tcW w:w="3066" w:type="dxa"/>
            <w:gridSpan w:val="3"/>
            <w:tcBorders>
              <w:top w:val="single" w:color="000000" w:sz="6" w:space="0"/>
              <w:left w:val="single" w:color="000000" w:sz="6" w:space="0"/>
              <w:bottom w:val="single" w:color="000000" w:sz="6" w:space="0"/>
              <w:right w:val="single" w:color="000000" w:sz="6" w:space="0"/>
            </w:tcBorders>
            <w:vAlign w:val="center"/>
          </w:tcPr>
          <w:p w14:paraId="59F14994">
            <w:pPr>
              <w:ind w:firstLine="400"/>
              <w:jc w:val="center"/>
              <w:rPr>
                <w:rFonts w:ascii="仿宋_GB2312"/>
                <w:color w:val="000000" w:themeColor="text1"/>
                <w:sz w:val="20"/>
                <w14:textFill>
                  <w14:solidFill>
                    <w14:schemeClr w14:val="tx1"/>
                  </w14:solidFill>
                </w14:textFill>
              </w:rPr>
            </w:pPr>
          </w:p>
        </w:tc>
        <w:tc>
          <w:tcPr>
            <w:tcW w:w="1418" w:type="dxa"/>
            <w:gridSpan w:val="2"/>
            <w:tcBorders>
              <w:top w:val="single" w:color="000000" w:sz="6" w:space="0"/>
              <w:left w:val="single" w:color="000000" w:sz="6" w:space="0"/>
              <w:bottom w:val="single" w:color="000000" w:sz="6" w:space="0"/>
              <w:right w:val="single" w:color="000000" w:sz="6" w:space="0"/>
            </w:tcBorders>
            <w:vAlign w:val="center"/>
          </w:tcPr>
          <w:p w14:paraId="36082438">
            <w:pPr>
              <w:ind w:firstLine="400"/>
              <w:jc w:val="center"/>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职称</w:t>
            </w:r>
          </w:p>
        </w:tc>
        <w:tc>
          <w:tcPr>
            <w:tcW w:w="1420" w:type="dxa"/>
            <w:tcBorders>
              <w:top w:val="single" w:color="000000" w:sz="6" w:space="0"/>
              <w:left w:val="single" w:color="000000" w:sz="6" w:space="0"/>
              <w:bottom w:val="single" w:color="000000" w:sz="6" w:space="0"/>
              <w:right w:val="single" w:color="000000" w:sz="6" w:space="0"/>
            </w:tcBorders>
            <w:vAlign w:val="center"/>
          </w:tcPr>
          <w:p w14:paraId="1C9C4C0A">
            <w:pPr>
              <w:ind w:firstLine="400"/>
              <w:jc w:val="center"/>
              <w:rPr>
                <w:rFonts w:ascii="仿宋_GB2312"/>
                <w:color w:val="000000" w:themeColor="text1"/>
                <w:sz w:val="20"/>
                <w14:textFill>
                  <w14:solidFill>
                    <w14:schemeClr w14:val="tx1"/>
                  </w14:solidFill>
                </w14:textFill>
              </w:rPr>
            </w:pPr>
          </w:p>
        </w:tc>
        <w:tc>
          <w:tcPr>
            <w:tcW w:w="1443" w:type="dxa"/>
            <w:gridSpan w:val="2"/>
            <w:tcBorders>
              <w:top w:val="single" w:color="000000" w:sz="6" w:space="0"/>
              <w:left w:val="single" w:color="000000" w:sz="6" w:space="0"/>
              <w:bottom w:val="single" w:color="000000" w:sz="6" w:space="0"/>
              <w:right w:val="single" w:color="000000" w:sz="6" w:space="0"/>
            </w:tcBorders>
            <w:vAlign w:val="center"/>
          </w:tcPr>
          <w:p w14:paraId="39C9B65A">
            <w:pPr>
              <w:ind w:firstLine="400"/>
              <w:jc w:val="center"/>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学历</w:t>
            </w:r>
          </w:p>
        </w:tc>
        <w:tc>
          <w:tcPr>
            <w:tcW w:w="1395" w:type="dxa"/>
            <w:tcBorders>
              <w:top w:val="single" w:color="000000" w:sz="6" w:space="0"/>
              <w:left w:val="single" w:color="000000" w:sz="6" w:space="0"/>
              <w:bottom w:val="single" w:color="000000" w:sz="6" w:space="0"/>
            </w:tcBorders>
            <w:vAlign w:val="center"/>
          </w:tcPr>
          <w:p w14:paraId="47CECAD2">
            <w:pPr>
              <w:ind w:firstLine="400"/>
              <w:jc w:val="center"/>
              <w:rPr>
                <w:rFonts w:ascii="仿宋_GB2312"/>
                <w:color w:val="000000" w:themeColor="text1"/>
                <w:sz w:val="20"/>
                <w14:textFill>
                  <w14:solidFill>
                    <w14:schemeClr w14:val="tx1"/>
                  </w14:solidFill>
                </w14:textFill>
              </w:rPr>
            </w:pPr>
          </w:p>
        </w:tc>
      </w:tr>
      <w:tr w14:paraId="6738969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00" w:hRule="atLeast"/>
        </w:trPr>
        <w:tc>
          <w:tcPr>
            <w:tcW w:w="3491" w:type="dxa"/>
            <w:gridSpan w:val="3"/>
            <w:tcBorders>
              <w:top w:val="single" w:color="000000" w:sz="6" w:space="0"/>
              <w:bottom w:val="single" w:color="000000" w:sz="6" w:space="0"/>
              <w:right w:val="single" w:color="000000" w:sz="6" w:space="0"/>
            </w:tcBorders>
            <w:vAlign w:val="center"/>
          </w:tcPr>
          <w:p w14:paraId="6164D601">
            <w:pPr>
              <w:ind w:firstLine="400"/>
              <w:jc w:val="center"/>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参加工作时间</w:t>
            </w:r>
          </w:p>
        </w:tc>
        <w:tc>
          <w:tcPr>
            <w:tcW w:w="2003" w:type="dxa"/>
            <w:gridSpan w:val="3"/>
            <w:tcBorders>
              <w:top w:val="single" w:color="000000" w:sz="6" w:space="0"/>
              <w:left w:val="single" w:color="000000" w:sz="6" w:space="0"/>
              <w:bottom w:val="single" w:color="000000" w:sz="6" w:space="0"/>
              <w:right w:val="single" w:color="000000" w:sz="6" w:space="0"/>
            </w:tcBorders>
            <w:vAlign w:val="center"/>
          </w:tcPr>
          <w:p w14:paraId="13B8BB10">
            <w:pPr>
              <w:ind w:firstLine="400"/>
              <w:jc w:val="center"/>
              <w:rPr>
                <w:rFonts w:ascii="仿宋_GB2312"/>
                <w:color w:val="000000" w:themeColor="text1"/>
                <w:sz w:val="20"/>
                <w14:textFill>
                  <w14:solidFill>
                    <w14:schemeClr w14:val="tx1"/>
                  </w14:solidFill>
                </w14:textFill>
              </w:rPr>
            </w:pPr>
          </w:p>
        </w:tc>
        <w:tc>
          <w:tcPr>
            <w:tcW w:w="2863" w:type="dxa"/>
            <w:gridSpan w:val="3"/>
            <w:tcBorders>
              <w:top w:val="single" w:color="000000" w:sz="6" w:space="0"/>
              <w:left w:val="single" w:color="000000" w:sz="6" w:space="0"/>
              <w:bottom w:val="single" w:color="000000" w:sz="6" w:space="0"/>
              <w:right w:val="single" w:color="000000" w:sz="6" w:space="0"/>
            </w:tcBorders>
            <w:vAlign w:val="center"/>
          </w:tcPr>
          <w:p w14:paraId="1E868CAC">
            <w:pPr>
              <w:ind w:firstLine="400"/>
              <w:jc w:val="center"/>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担任项目经理年限</w:t>
            </w:r>
          </w:p>
        </w:tc>
        <w:tc>
          <w:tcPr>
            <w:tcW w:w="1395" w:type="dxa"/>
            <w:tcBorders>
              <w:top w:val="single" w:color="000000" w:sz="6" w:space="0"/>
              <w:left w:val="single" w:color="000000" w:sz="6" w:space="0"/>
              <w:bottom w:val="single" w:color="000000" w:sz="6" w:space="0"/>
            </w:tcBorders>
            <w:vAlign w:val="center"/>
          </w:tcPr>
          <w:p w14:paraId="5FC8790C">
            <w:pPr>
              <w:ind w:firstLine="400"/>
              <w:jc w:val="center"/>
              <w:rPr>
                <w:rFonts w:ascii="仿宋_GB2312"/>
                <w:color w:val="000000" w:themeColor="text1"/>
                <w:sz w:val="20"/>
                <w14:textFill>
                  <w14:solidFill>
                    <w14:schemeClr w14:val="tx1"/>
                  </w14:solidFill>
                </w14:textFill>
              </w:rPr>
            </w:pPr>
          </w:p>
        </w:tc>
      </w:tr>
      <w:tr w14:paraId="1AFCCA0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19" w:hRule="atLeast"/>
        </w:trPr>
        <w:tc>
          <w:tcPr>
            <w:tcW w:w="3491" w:type="dxa"/>
            <w:gridSpan w:val="3"/>
            <w:tcBorders>
              <w:top w:val="single" w:color="000000" w:sz="6" w:space="0"/>
              <w:bottom w:val="single" w:color="000000" w:sz="6" w:space="0"/>
              <w:right w:val="single" w:color="000000" w:sz="6" w:space="0"/>
            </w:tcBorders>
            <w:vAlign w:val="center"/>
          </w:tcPr>
          <w:p w14:paraId="1BB946D1">
            <w:pPr>
              <w:ind w:firstLine="400"/>
              <w:jc w:val="center"/>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资格证书编号</w:t>
            </w:r>
          </w:p>
        </w:tc>
        <w:tc>
          <w:tcPr>
            <w:tcW w:w="6261" w:type="dxa"/>
            <w:gridSpan w:val="7"/>
            <w:tcBorders>
              <w:top w:val="single" w:color="000000" w:sz="6" w:space="0"/>
              <w:left w:val="single" w:color="000000" w:sz="6" w:space="0"/>
              <w:bottom w:val="single" w:color="000000" w:sz="6" w:space="0"/>
            </w:tcBorders>
            <w:vAlign w:val="center"/>
          </w:tcPr>
          <w:p w14:paraId="3B976699">
            <w:pPr>
              <w:ind w:firstLine="400"/>
              <w:jc w:val="center"/>
              <w:rPr>
                <w:rFonts w:ascii="仿宋_GB2312"/>
                <w:color w:val="000000" w:themeColor="text1"/>
                <w:sz w:val="20"/>
                <w14:textFill>
                  <w14:solidFill>
                    <w14:schemeClr w14:val="tx1"/>
                  </w14:solidFill>
                </w14:textFill>
              </w:rPr>
            </w:pPr>
          </w:p>
        </w:tc>
      </w:tr>
      <w:tr w14:paraId="45600F2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560" w:hRule="atLeast"/>
        </w:trPr>
        <w:tc>
          <w:tcPr>
            <w:tcW w:w="9752" w:type="dxa"/>
            <w:gridSpan w:val="10"/>
            <w:tcBorders>
              <w:top w:val="single" w:color="000000" w:sz="6" w:space="0"/>
              <w:bottom w:val="single" w:color="000000" w:sz="6" w:space="0"/>
            </w:tcBorders>
            <w:vAlign w:val="center"/>
          </w:tcPr>
          <w:p w14:paraId="6B8F7E54">
            <w:pPr>
              <w:ind w:firstLine="400"/>
              <w:jc w:val="center"/>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在建和已完工程项目情况</w:t>
            </w:r>
          </w:p>
        </w:tc>
      </w:tr>
      <w:tr w14:paraId="75DA876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95" w:hRule="atLeast"/>
        </w:trPr>
        <w:tc>
          <w:tcPr>
            <w:tcW w:w="1732" w:type="dxa"/>
            <w:gridSpan w:val="2"/>
            <w:tcBorders>
              <w:top w:val="single" w:color="000000" w:sz="6" w:space="0"/>
              <w:bottom w:val="single" w:color="000000" w:sz="6" w:space="0"/>
              <w:right w:val="single" w:color="000000" w:sz="6" w:space="0"/>
            </w:tcBorders>
            <w:vAlign w:val="center"/>
          </w:tcPr>
          <w:p w14:paraId="42B525DD">
            <w:pPr>
              <w:ind w:firstLine="400"/>
              <w:jc w:val="center"/>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发包人</w:t>
            </w:r>
          </w:p>
        </w:tc>
        <w:tc>
          <w:tcPr>
            <w:tcW w:w="1759" w:type="dxa"/>
            <w:tcBorders>
              <w:top w:val="single" w:color="000000" w:sz="6" w:space="0"/>
              <w:left w:val="single" w:color="000000" w:sz="6" w:space="0"/>
              <w:bottom w:val="single" w:color="000000" w:sz="6" w:space="0"/>
              <w:right w:val="single" w:color="000000" w:sz="6" w:space="0"/>
            </w:tcBorders>
            <w:vAlign w:val="center"/>
          </w:tcPr>
          <w:p w14:paraId="63A97230">
            <w:pPr>
              <w:ind w:firstLine="400"/>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项目名称</w:t>
            </w:r>
          </w:p>
        </w:tc>
        <w:tc>
          <w:tcPr>
            <w:tcW w:w="1833" w:type="dxa"/>
            <w:gridSpan w:val="2"/>
            <w:tcBorders>
              <w:top w:val="single" w:color="000000" w:sz="6" w:space="0"/>
              <w:left w:val="single" w:color="000000" w:sz="6" w:space="0"/>
              <w:bottom w:val="single" w:color="000000" w:sz="6" w:space="0"/>
              <w:right w:val="single" w:color="000000" w:sz="6" w:space="0"/>
            </w:tcBorders>
            <w:vAlign w:val="center"/>
          </w:tcPr>
          <w:p w14:paraId="6E574B4A">
            <w:pPr>
              <w:ind w:firstLine="400"/>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建设规模</w:t>
            </w:r>
          </w:p>
        </w:tc>
        <w:tc>
          <w:tcPr>
            <w:tcW w:w="1716" w:type="dxa"/>
            <w:gridSpan w:val="3"/>
            <w:tcBorders>
              <w:top w:val="single" w:color="000000" w:sz="6" w:space="0"/>
              <w:left w:val="single" w:color="000000" w:sz="6" w:space="0"/>
              <w:bottom w:val="single" w:color="000000" w:sz="6" w:space="0"/>
              <w:right w:val="single" w:color="000000" w:sz="6" w:space="0"/>
            </w:tcBorders>
            <w:vAlign w:val="center"/>
          </w:tcPr>
          <w:p w14:paraId="41AB73EE">
            <w:pPr>
              <w:ind w:firstLineChars="100"/>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开、竣工日期</w:t>
            </w:r>
          </w:p>
        </w:tc>
        <w:tc>
          <w:tcPr>
            <w:tcW w:w="1317" w:type="dxa"/>
            <w:tcBorders>
              <w:top w:val="single" w:color="000000" w:sz="6" w:space="0"/>
              <w:left w:val="single" w:color="000000" w:sz="6" w:space="0"/>
              <w:bottom w:val="single" w:color="000000" w:sz="6" w:space="0"/>
              <w:right w:val="single" w:color="000000" w:sz="6" w:space="0"/>
            </w:tcBorders>
            <w:vAlign w:val="center"/>
          </w:tcPr>
          <w:p w14:paraId="3E109EA0">
            <w:pPr>
              <w:ind w:firstLine="0" w:firstLineChars="0"/>
              <w:jc w:val="center"/>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在建或已完</w:t>
            </w:r>
          </w:p>
        </w:tc>
        <w:tc>
          <w:tcPr>
            <w:tcW w:w="1395" w:type="dxa"/>
            <w:tcBorders>
              <w:top w:val="single" w:color="000000" w:sz="6" w:space="0"/>
              <w:left w:val="single" w:color="000000" w:sz="6" w:space="0"/>
              <w:bottom w:val="single" w:color="000000" w:sz="6" w:space="0"/>
            </w:tcBorders>
            <w:vAlign w:val="center"/>
          </w:tcPr>
          <w:p w14:paraId="704CC85F">
            <w:pPr>
              <w:ind w:firstLineChars="100"/>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工程质量</w:t>
            </w:r>
          </w:p>
        </w:tc>
      </w:tr>
      <w:tr w14:paraId="332E093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4" w:hRule="atLeast"/>
        </w:trPr>
        <w:tc>
          <w:tcPr>
            <w:tcW w:w="1732" w:type="dxa"/>
            <w:gridSpan w:val="2"/>
            <w:tcBorders>
              <w:top w:val="single" w:color="000000" w:sz="6" w:space="0"/>
              <w:bottom w:val="single" w:color="000000" w:sz="6" w:space="0"/>
              <w:right w:val="single" w:color="000000" w:sz="6" w:space="0"/>
            </w:tcBorders>
          </w:tcPr>
          <w:p w14:paraId="0A52283F">
            <w:pPr>
              <w:ind w:firstLine="400"/>
              <w:rPr>
                <w:rFonts w:ascii="仿宋_GB2312"/>
                <w:color w:val="000000" w:themeColor="text1"/>
                <w:sz w:val="20"/>
                <w14:textFill>
                  <w14:solidFill>
                    <w14:schemeClr w14:val="tx1"/>
                  </w14:solidFill>
                </w14:textFill>
              </w:rPr>
            </w:pPr>
          </w:p>
        </w:tc>
        <w:tc>
          <w:tcPr>
            <w:tcW w:w="1759" w:type="dxa"/>
            <w:tcBorders>
              <w:top w:val="single" w:color="000000" w:sz="6" w:space="0"/>
              <w:left w:val="single" w:color="000000" w:sz="6" w:space="0"/>
              <w:bottom w:val="single" w:color="000000" w:sz="6" w:space="0"/>
              <w:right w:val="single" w:color="000000" w:sz="6" w:space="0"/>
            </w:tcBorders>
          </w:tcPr>
          <w:p w14:paraId="27ED5CB8">
            <w:pPr>
              <w:ind w:firstLine="400"/>
              <w:rPr>
                <w:rFonts w:ascii="仿宋_GB2312"/>
                <w:color w:val="000000" w:themeColor="text1"/>
                <w:sz w:val="20"/>
                <w14:textFill>
                  <w14:solidFill>
                    <w14:schemeClr w14:val="tx1"/>
                  </w14:solidFill>
                </w14:textFill>
              </w:rPr>
            </w:pPr>
          </w:p>
        </w:tc>
        <w:tc>
          <w:tcPr>
            <w:tcW w:w="1833" w:type="dxa"/>
            <w:gridSpan w:val="2"/>
            <w:tcBorders>
              <w:top w:val="single" w:color="000000" w:sz="6" w:space="0"/>
              <w:left w:val="single" w:color="000000" w:sz="6" w:space="0"/>
              <w:bottom w:val="single" w:color="000000" w:sz="6" w:space="0"/>
              <w:right w:val="single" w:color="000000" w:sz="6" w:space="0"/>
            </w:tcBorders>
          </w:tcPr>
          <w:p w14:paraId="5291B324">
            <w:pPr>
              <w:ind w:firstLine="400"/>
              <w:rPr>
                <w:rFonts w:ascii="仿宋_GB2312"/>
                <w:color w:val="000000" w:themeColor="text1"/>
                <w:sz w:val="20"/>
                <w14:textFill>
                  <w14:solidFill>
                    <w14:schemeClr w14:val="tx1"/>
                  </w14:solidFill>
                </w14:textFill>
              </w:rPr>
            </w:pPr>
          </w:p>
        </w:tc>
        <w:tc>
          <w:tcPr>
            <w:tcW w:w="1716" w:type="dxa"/>
            <w:gridSpan w:val="3"/>
            <w:tcBorders>
              <w:top w:val="single" w:color="000000" w:sz="6" w:space="0"/>
              <w:left w:val="single" w:color="000000" w:sz="6" w:space="0"/>
              <w:bottom w:val="single" w:color="000000" w:sz="6" w:space="0"/>
              <w:right w:val="single" w:color="000000" w:sz="6" w:space="0"/>
            </w:tcBorders>
          </w:tcPr>
          <w:p w14:paraId="68B9E0C0">
            <w:pPr>
              <w:ind w:firstLine="400"/>
              <w:rPr>
                <w:rFonts w:ascii="仿宋_GB2312"/>
                <w:color w:val="000000" w:themeColor="text1"/>
                <w:sz w:val="20"/>
                <w14:textFill>
                  <w14:solidFill>
                    <w14:schemeClr w14:val="tx1"/>
                  </w14:solidFill>
                </w14:textFill>
              </w:rPr>
            </w:pPr>
          </w:p>
        </w:tc>
        <w:tc>
          <w:tcPr>
            <w:tcW w:w="1317" w:type="dxa"/>
            <w:tcBorders>
              <w:top w:val="single" w:color="000000" w:sz="6" w:space="0"/>
              <w:left w:val="single" w:color="000000" w:sz="6" w:space="0"/>
              <w:bottom w:val="single" w:color="000000" w:sz="6" w:space="0"/>
              <w:right w:val="single" w:color="000000" w:sz="6" w:space="0"/>
            </w:tcBorders>
          </w:tcPr>
          <w:p w14:paraId="1638E10C">
            <w:pPr>
              <w:ind w:firstLine="400"/>
              <w:rPr>
                <w:rFonts w:ascii="仿宋_GB2312"/>
                <w:color w:val="000000" w:themeColor="text1"/>
                <w:sz w:val="20"/>
                <w14:textFill>
                  <w14:solidFill>
                    <w14:schemeClr w14:val="tx1"/>
                  </w14:solidFill>
                </w14:textFill>
              </w:rPr>
            </w:pPr>
          </w:p>
        </w:tc>
        <w:tc>
          <w:tcPr>
            <w:tcW w:w="1395" w:type="dxa"/>
            <w:tcBorders>
              <w:top w:val="single" w:color="000000" w:sz="6" w:space="0"/>
              <w:left w:val="single" w:color="000000" w:sz="6" w:space="0"/>
              <w:bottom w:val="single" w:color="000000" w:sz="6" w:space="0"/>
            </w:tcBorders>
          </w:tcPr>
          <w:p w14:paraId="72E81897">
            <w:pPr>
              <w:ind w:firstLine="400"/>
              <w:rPr>
                <w:rFonts w:ascii="仿宋_GB2312"/>
                <w:color w:val="000000" w:themeColor="text1"/>
                <w:sz w:val="20"/>
                <w14:textFill>
                  <w14:solidFill>
                    <w14:schemeClr w14:val="tx1"/>
                  </w14:solidFill>
                </w14:textFill>
              </w:rPr>
            </w:pPr>
          </w:p>
        </w:tc>
      </w:tr>
      <w:tr w14:paraId="2B69B2B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18" w:hRule="atLeast"/>
        </w:trPr>
        <w:tc>
          <w:tcPr>
            <w:tcW w:w="1732" w:type="dxa"/>
            <w:gridSpan w:val="2"/>
            <w:tcBorders>
              <w:top w:val="single" w:color="000000" w:sz="6" w:space="0"/>
              <w:bottom w:val="single" w:color="000000" w:sz="6" w:space="0"/>
              <w:right w:val="single" w:color="000000" w:sz="6" w:space="0"/>
            </w:tcBorders>
          </w:tcPr>
          <w:p w14:paraId="7FD88C26">
            <w:pPr>
              <w:ind w:firstLine="400"/>
              <w:rPr>
                <w:rFonts w:ascii="仿宋_GB2312"/>
                <w:color w:val="000000" w:themeColor="text1"/>
                <w:sz w:val="20"/>
                <w14:textFill>
                  <w14:solidFill>
                    <w14:schemeClr w14:val="tx1"/>
                  </w14:solidFill>
                </w14:textFill>
              </w:rPr>
            </w:pPr>
          </w:p>
        </w:tc>
        <w:tc>
          <w:tcPr>
            <w:tcW w:w="1759" w:type="dxa"/>
            <w:tcBorders>
              <w:top w:val="single" w:color="000000" w:sz="6" w:space="0"/>
              <w:left w:val="single" w:color="000000" w:sz="6" w:space="0"/>
              <w:bottom w:val="single" w:color="000000" w:sz="6" w:space="0"/>
              <w:right w:val="single" w:color="000000" w:sz="6" w:space="0"/>
            </w:tcBorders>
          </w:tcPr>
          <w:p w14:paraId="38624604">
            <w:pPr>
              <w:ind w:firstLine="400"/>
              <w:rPr>
                <w:rFonts w:ascii="仿宋_GB2312"/>
                <w:color w:val="000000" w:themeColor="text1"/>
                <w:sz w:val="20"/>
                <w14:textFill>
                  <w14:solidFill>
                    <w14:schemeClr w14:val="tx1"/>
                  </w14:solidFill>
                </w14:textFill>
              </w:rPr>
            </w:pPr>
          </w:p>
        </w:tc>
        <w:tc>
          <w:tcPr>
            <w:tcW w:w="1833" w:type="dxa"/>
            <w:gridSpan w:val="2"/>
            <w:tcBorders>
              <w:top w:val="single" w:color="000000" w:sz="6" w:space="0"/>
              <w:left w:val="single" w:color="000000" w:sz="6" w:space="0"/>
              <w:bottom w:val="single" w:color="000000" w:sz="6" w:space="0"/>
              <w:right w:val="single" w:color="000000" w:sz="6" w:space="0"/>
            </w:tcBorders>
          </w:tcPr>
          <w:p w14:paraId="49BEDE21">
            <w:pPr>
              <w:ind w:firstLine="400"/>
              <w:rPr>
                <w:rFonts w:ascii="仿宋_GB2312"/>
                <w:color w:val="000000" w:themeColor="text1"/>
                <w:sz w:val="20"/>
                <w14:textFill>
                  <w14:solidFill>
                    <w14:schemeClr w14:val="tx1"/>
                  </w14:solidFill>
                </w14:textFill>
              </w:rPr>
            </w:pPr>
          </w:p>
        </w:tc>
        <w:tc>
          <w:tcPr>
            <w:tcW w:w="1716" w:type="dxa"/>
            <w:gridSpan w:val="3"/>
            <w:tcBorders>
              <w:top w:val="single" w:color="000000" w:sz="6" w:space="0"/>
              <w:left w:val="single" w:color="000000" w:sz="6" w:space="0"/>
              <w:bottom w:val="single" w:color="000000" w:sz="6" w:space="0"/>
              <w:right w:val="single" w:color="000000" w:sz="6" w:space="0"/>
            </w:tcBorders>
          </w:tcPr>
          <w:p w14:paraId="739A3390">
            <w:pPr>
              <w:ind w:firstLine="400"/>
              <w:rPr>
                <w:rFonts w:ascii="仿宋_GB2312"/>
                <w:color w:val="000000" w:themeColor="text1"/>
                <w:sz w:val="20"/>
                <w14:textFill>
                  <w14:solidFill>
                    <w14:schemeClr w14:val="tx1"/>
                  </w14:solidFill>
                </w14:textFill>
              </w:rPr>
            </w:pPr>
          </w:p>
        </w:tc>
        <w:tc>
          <w:tcPr>
            <w:tcW w:w="1317" w:type="dxa"/>
            <w:tcBorders>
              <w:top w:val="single" w:color="000000" w:sz="6" w:space="0"/>
              <w:left w:val="single" w:color="000000" w:sz="6" w:space="0"/>
              <w:bottom w:val="single" w:color="000000" w:sz="6" w:space="0"/>
              <w:right w:val="single" w:color="000000" w:sz="6" w:space="0"/>
            </w:tcBorders>
          </w:tcPr>
          <w:p w14:paraId="0D66B29E">
            <w:pPr>
              <w:ind w:firstLine="400"/>
              <w:rPr>
                <w:rFonts w:ascii="仿宋_GB2312"/>
                <w:color w:val="000000" w:themeColor="text1"/>
                <w:sz w:val="20"/>
                <w14:textFill>
                  <w14:solidFill>
                    <w14:schemeClr w14:val="tx1"/>
                  </w14:solidFill>
                </w14:textFill>
              </w:rPr>
            </w:pPr>
          </w:p>
        </w:tc>
        <w:tc>
          <w:tcPr>
            <w:tcW w:w="1395" w:type="dxa"/>
            <w:tcBorders>
              <w:top w:val="single" w:color="000000" w:sz="6" w:space="0"/>
              <w:left w:val="single" w:color="000000" w:sz="6" w:space="0"/>
              <w:bottom w:val="single" w:color="000000" w:sz="6" w:space="0"/>
            </w:tcBorders>
          </w:tcPr>
          <w:p w14:paraId="02E8485B">
            <w:pPr>
              <w:ind w:firstLine="400"/>
              <w:rPr>
                <w:rFonts w:ascii="仿宋_GB2312"/>
                <w:color w:val="000000" w:themeColor="text1"/>
                <w:sz w:val="20"/>
                <w14:textFill>
                  <w14:solidFill>
                    <w14:schemeClr w14:val="tx1"/>
                  </w14:solidFill>
                </w14:textFill>
              </w:rPr>
            </w:pPr>
          </w:p>
        </w:tc>
      </w:tr>
      <w:tr w14:paraId="7FE00CF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3" w:hRule="atLeast"/>
        </w:trPr>
        <w:tc>
          <w:tcPr>
            <w:tcW w:w="1732" w:type="dxa"/>
            <w:gridSpan w:val="2"/>
            <w:tcBorders>
              <w:top w:val="single" w:color="000000" w:sz="6" w:space="0"/>
              <w:bottom w:val="single" w:color="000000" w:sz="6" w:space="0"/>
              <w:right w:val="single" w:color="000000" w:sz="6" w:space="0"/>
            </w:tcBorders>
          </w:tcPr>
          <w:p w14:paraId="6B2B9C20">
            <w:pPr>
              <w:ind w:firstLine="400"/>
              <w:rPr>
                <w:rFonts w:ascii="仿宋_GB2312"/>
                <w:color w:val="000000" w:themeColor="text1"/>
                <w:sz w:val="20"/>
                <w14:textFill>
                  <w14:solidFill>
                    <w14:schemeClr w14:val="tx1"/>
                  </w14:solidFill>
                </w14:textFill>
              </w:rPr>
            </w:pPr>
          </w:p>
        </w:tc>
        <w:tc>
          <w:tcPr>
            <w:tcW w:w="1759" w:type="dxa"/>
            <w:tcBorders>
              <w:top w:val="single" w:color="000000" w:sz="6" w:space="0"/>
              <w:left w:val="single" w:color="000000" w:sz="6" w:space="0"/>
              <w:bottom w:val="single" w:color="000000" w:sz="6" w:space="0"/>
              <w:right w:val="single" w:color="000000" w:sz="6" w:space="0"/>
            </w:tcBorders>
          </w:tcPr>
          <w:p w14:paraId="447317D8">
            <w:pPr>
              <w:ind w:firstLine="400"/>
              <w:rPr>
                <w:rFonts w:ascii="仿宋_GB2312"/>
                <w:color w:val="000000" w:themeColor="text1"/>
                <w:sz w:val="20"/>
                <w14:textFill>
                  <w14:solidFill>
                    <w14:schemeClr w14:val="tx1"/>
                  </w14:solidFill>
                </w14:textFill>
              </w:rPr>
            </w:pPr>
          </w:p>
        </w:tc>
        <w:tc>
          <w:tcPr>
            <w:tcW w:w="1833" w:type="dxa"/>
            <w:gridSpan w:val="2"/>
            <w:tcBorders>
              <w:top w:val="single" w:color="000000" w:sz="6" w:space="0"/>
              <w:left w:val="single" w:color="000000" w:sz="6" w:space="0"/>
              <w:bottom w:val="single" w:color="000000" w:sz="6" w:space="0"/>
              <w:right w:val="single" w:color="000000" w:sz="6" w:space="0"/>
            </w:tcBorders>
          </w:tcPr>
          <w:p w14:paraId="2A63C7B9">
            <w:pPr>
              <w:ind w:firstLine="400"/>
              <w:rPr>
                <w:rFonts w:ascii="仿宋_GB2312"/>
                <w:color w:val="000000" w:themeColor="text1"/>
                <w:sz w:val="20"/>
                <w14:textFill>
                  <w14:solidFill>
                    <w14:schemeClr w14:val="tx1"/>
                  </w14:solidFill>
                </w14:textFill>
              </w:rPr>
            </w:pPr>
          </w:p>
        </w:tc>
        <w:tc>
          <w:tcPr>
            <w:tcW w:w="1716" w:type="dxa"/>
            <w:gridSpan w:val="3"/>
            <w:tcBorders>
              <w:top w:val="single" w:color="000000" w:sz="6" w:space="0"/>
              <w:left w:val="single" w:color="000000" w:sz="6" w:space="0"/>
              <w:bottom w:val="single" w:color="000000" w:sz="6" w:space="0"/>
              <w:right w:val="single" w:color="000000" w:sz="6" w:space="0"/>
            </w:tcBorders>
          </w:tcPr>
          <w:p w14:paraId="6825079E">
            <w:pPr>
              <w:ind w:firstLine="400"/>
              <w:rPr>
                <w:rFonts w:ascii="仿宋_GB2312"/>
                <w:color w:val="000000" w:themeColor="text1"/>
                <w:sz w:val="20"/>
                <w14:textFill>
                  <w14:solidFill>
                    <w14:schemeClr w14:val="tx1"/>
                  </w14:solidFill>
                </w14:textFill>
              </w:rPr>
            </w:pPr>
          </w:p>
        </w:tc>
        <w:tc>
          <w:tcPr>
            <w:tcW w:w="1317" w:type="dxa"/>
            <w:tcBorders>
              <w:top w:val="single" w:color="000000" w:sz="6" w:space="0"/>
              <w:left w:val="single" w:color="000000" w:sz="6" w:space="0"/>
              <w:bottom w:val="single" w:color="000000" w:sz="6" w:space="0"/>
              <w:right w:val="single" w:color="000000" w:sz="6" w:space="0"/>
            </w:tcBorders>
          </w:tcPr>
          <w:p w14:paraId="026DE6AC">
            <w:pPr>
              <w:ind w:firstLine="400"/>
              <w:rPr>
                <w:rFonts w:ascii="仿宋_GB2312"/>
                <w:color w:val="000000" w:themeColor="text1"/>
                <w:sz w:val="20"/>
                <w14:textFill>
                  <w14:solidFill>
                    <w14:schemeClr w14:val="tx1"/>
                  </w14:solidFill>
                </w14:textFill>
              </w:rPr>
            </w:pPr>
          </w:p>
        </w:tc>
        <w:tc>
          <w:tcPr>
            <w:tcW w:w="1395" w:type="dxa"/>
            <w:tcBorders>
              <w:top w:val="single" w:color="000000" w:sz="6" w:space="0"/>
              <w:left w:val="single" w:color="000000" w:sz="6" w:space="0"/>
              <w:bottom w:val="single" w:color="000000" w:sz="6" w:space="0"/>
            </w:tcBorders>
          </w:tcPr>
          <w:p w14:paraId="6159F763">
            <w:pPr>
              <w:ind w:firstLine="400"/>
              <w:rPr>
                <w:rFonts w:ascii="仿宋_GB2312"/>
                <w:color w:val="000000" w:themeColor="text1"/>
                <w:sz w:val="20"/>
                <w14:textFill>
                  <w14:solidFill>
                    <w14:schemeClr w14:val="tx1"/>
                  </w14:solidFill>
                </w14:textFill>
              </w:rPr>
            </w:pPr>
          </w:p>
        </w:tc>
      </w:tr>
      <w:tr w14:paraId="69CA0AD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18" w:hRule="atLeast"/>
        </w:trPr>
        <w:tc>
          <w:tcPr>
            <w:tcW w:w="1732" w:type="dxa"/>
            <w:gridSpan w:val="2"/>
            <w:tcBorders>
              <w:top w:val="single" w:color="000000" w:sz="6" w:space="0"/>
              <w:bottom w:val="single" w:color="000000" w:sz="6" w:space="0"/>
              <w:right w:val="single" w:color="000000" w:sz="6" w:space="0"/>
            </w:tcBorders>
          </w:tcPr>
          <w:p w14:paraId="32428C0E">
            <w:pPr>
              <w:ind w:firstLine="400"/>
              <w:rPr>
                <w:rFonts w:ascii="仿宋_GB2312"/>
                <w:color w:val="000000" w:themeColor="text1"/>
                <w:sz w:val="20"/>
                <w14:textFill>
                  <w14:solidFill>
                    <w14:schemeClr w14:val="tx1"/>
                  </w14:solidFill>
                </w14:textFill>
              </w:rPr>
            </w:pPr>
          </w:p>
        </w:tc>
        <w:tc>
          <w:tcPr>
            <w:tcW w:w="1759" w:type="dxa"/>
            <w:tcBorders>
              <w:top w:val="single" w:color="000000" w:sz="6" w:space="0"/>
              <w:left w:val="single" w:color="000000" w:sz="6" w:space="0"/>
              <w:bottom w:val="single" w:color="000000" w:sz="6" w:space="0"/>
              <w:right w:val="single" w:color="000000" w:sz="6" w:space="0"/>
            </w:tcBorders>
          </w:tcPr>
          <w:p w14:paraId="459ECF40">
            <w:pPr>
              <w:ind w:firstLine="400"/>
              <w:rPr>
                <w:rFonts w:ascii="仿宋_GB2312"/>
                <w:color w:val="000000" w:themeColor="text1"/>
                <w:sz w:val="20"/>
                <w14:textFill>
                  <w14:solidFill>
                    <w14:schemeClr w14:val="tx1"/>
                  </w14:solidFill>
                </w14:textFill>
              </w:rPr>
            </w:pPr>
          </w:p>
        </w:tc>
        <w:tc>
          <w:tcPr>
            <w:tcW w:w="1833" w:type="dxa"/>
            <w:gridSpan w:val="2"/>
            <w:tcBorders>
              <w:top w:val="single" w:color="000000" w:sz="6" w:space="0"/>
              <w:left w:val="single" w:color="000000" w:sz="6" w:space="0"/>
              <w:bottom w:val="single" w:color="000000" w:sz="6" w:space="0"/>
              <w:right w:val="single" w:color="000000" w:sz="6" w:space="0"/>
            </w:tcBorders>
          </w:tcPr>
          <w:p w14:paraId="5CC7FB25">
            <w:pPr>
              <w:ind w:firstLine="400"/>
              <w:rPr>
                <w:rFonts w:ascii="仿宋_GB2312"/>
                <w:color w:val="000000" w:themeColor="text1"/>
                <w:sz w:val="20"/>
                <w14:textFill>
                  <w14:solidFill>
                    <w14:schemeClr w14:val="tx1"/>
                  </w14:solidFill>
                </w14:textFill>
              </w:rPr>
            </w:pPr>
          </w:p>
        </w:tc>
        <w:tc>
          <w:tcPr>
            <w:tcW w:w="1716" w:type="dxa"/>
            <w:gridSpan w:val="3"/>
            <w:tcBorders>
              <w:top w:val="single" w:color="000000" w:sz="6" w:space="0"/>
              <w:left w:val="single" w:color="000000" w:sz="6" w:space="0"/>
              <w:bottom w:val="single" w:color="000000" w:sz="6" w:space="0"/>
              <w:right w:val="single" w:color="000000" w:sz="6" w:space="0"/>
            </w:tcBorders>
          </w:tcPr>
          <w:p w14:paraId="35A4AE62">
            <w:pPr>
              <w:ind w:firstLine="400"/>
              <w:rPr>
                <w:rFonts w:ascii="仿宋_GB2312"/>
                <w:color w:val="000000" w:themeColor="text1"/>
                <w:sz w:val="20"/>
                <w14:textFill>
                  <w14:solidFill>
                    <w14:schemeClr w14:val="tx1"/>
                  </w14:solidFill>
                </w14:textFill>
              </w:rPr>
            </w:pPr>
          </w:p>
        </w:tc>
        <w:tc>
          <w:tcPr>
            <w:tcW w:w="1317" w:type="dxa"/>
            <w:tcBorders>
              <w:top w:val="single" w:color="000000" w:sz="6" w:space="0"/>
              <w:left w:val="single" w:color="000000" w:sz="6" w:space="0"/>
              <w:bottom w:val="single" w:color="000000" w:sz="6" w:space="0"/>
              <w:right w:val="single" w:color="000000" w:sz="6" w:space="0"/>
            </w:tcBorders>
          </w:tcPr>
          <w:p w14:paraId="3C7923F6">
            <w:pPr>
              <w:ind w:firstLine="400"/>
              <w:rPr>
                <w:rFonts w:ascii="仿宋_GB2312"/>
                <w:color w:val="000000" w:themeColor="text1"/>
                <w:sz w:val="20"/>
                <w14:textFill>
                  <w14:solidFill>
                    <w14:schemeClr w14:val="tx1"/>
                  </w14:solidFill>
                </w14:textFill>
              </w:rPr>
            </w:pPr>
          </w:p>
        </w:tc>
        <w:tc>
          <w:tcPr>
            <w:tcW w:w="1395" w:type="dxa"/>
            <w:tcBorders>
              <w:top w:val="single" w:color="000000" w:sz="6" w:space="0"/>
              <w:left w:val="single" w:color="000000" w:sz="6" w:space="0"/>
              <w:bottom w:val="single" w:color="000000" w:sz="6" w:space="0"/>
            </w:tcBorders>
          </w:tcPr>
          <w:p w14:paraId="1A758695">
            <w:pPr>
              <w:ind w:firstLine="400"/>
              <w:rPr>
                <w:rFonts w:ascii="仿宋_GB2312"/>
                <w:color w:val="000000" w:themeColor="text1"/>
                <w:sz w:val="20"/>
                <w14:textFill>
                  <w14:solidFill>
                    <w14:schemeClr w14:val="tx1"/>
                  </w14:solidFill>
                </w14:textFill>
              </w:rPr>
            </w:pPr>
          </w:p>
        </w:tc>
      </w:tr>
      <w:tr w14:paraId="4ADA997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4" w:hRule="atLeast"/>
        </w:trPr>
        <w:tc>
          <w:tcPr>
            <w:tcW w:w="1732" w:type="dxa"/>
            <w:gridSpan w:val="2"/>
            <w:tcBorders>
              <w:top w:val="single" w:color="000000" w:sz="6" w:space="0"/>
              <w:bottom w:val="single" w:color="000000" w:sz="6" w:space="0"/>
              <w:right w:val="single" w:color="000000" w:sz="6" w:space="0"/>
            </w:tcBorders>
          </w:tcPr>
          <w:p w14:paraId="033124F7">
            <w:pPr>
              <w:ind w:firstLine="400"/>
              <w:rPr>
                <w:rFonts w:ascii="仿宋_GB2312"/>
                <w:color w:val="000000" w:themeColor="text1"/>
                <w:sz w:val="20"/>
                <w14:textFill>
                  <w14:solidFill>
                    <w14:schemeClr w14:val="tx1"/>
                  </w14:solidFill>
                </w14:textFill>
              </w:rPr>
            </w:pPr>
          </w:p>
        </w:tc>
        <w:tc>
          <w:tcPr>
            <w:tcW w:w="1759" w:type="dxa"/>
            <w:tcBorders>
              <w:top w:val="single" w:color="000000" w:sz="6" w:space="0"/>
              <w:left w:val="single" w:color="000000" w:sz="6" w:space="0"/>
              <w:bottom w:val="single" w:color="000000" w:sz="6" w:space="0"/>
              <w:right w:val="single" w:color="000000" w:sz="6" w:space="0"/>
            </w:tcBorders>
          </w:tcPr>
          <w:p w14:paraId="3A89A4D5">
            <w:pPr>
              <w:ind w:firstLine="400"/>
              <w:rPr>
                <w:rFonts w:ascii="仿宋_GB2312"/>
                <w:color w:val="000000" w:themeColor="text1"/>
                <w:sz w:val="20"/>
                <w14:textFill>
                  <w14:solidFill>
                    <w14:schemeClr w14:val="tx1"/>
                  </w14:solidFill>
                </w14:textFill>
              </w:rPr>
            </w:pPr>
          </w:p>
        </w:tc>
        <w:tc>
          <w:tcPr>
            <w:tcW w:w="1833" w:type="dxa"/>
            <w:gridSpan w:val="2"/>
            <w:tcBorders>
              <w:top w:val="single" w:color="000000" w:sz="6" w:space="0"/>
              <w:left w:val="single" w:color="000000" w:sz="6" w:space="0"/>
              <w:bottom w:val="single" w:color="000000" w:sz="6" w:space="0"/>
              <w:right w:val="single" w:color="000000" w:sz="6" w:space="0"/>
            </w:tcBorders>
          </w:tcPr>
          <w:p w14:paraId="58407D28">
            <w:pPr>
              <w:ind w:firstLine="400"/>
              <w:rPr>
                <w:rFonts w:ascii="仿宋_GB2312"/>
                <w:color w:val="000000" w:themeColor="text1"/>
                <w:sz w:val="20"/>
                <w14:textFill>
                  <w14:solidFill>
                    <w14:schemeClr w14:val="tx1"/>
                  </w14:solidFill>
                </w14:textFill>
              </w:rPr>
            </w:pPr>
          </w:p>
        </w:tc>
        <w:tc>
          <w:tcPr>
            <w:tcW w:w="1716" w:type="dxa"/>
            <w:gridSpan w:val="3"/>
            <w:tcBorders>
              <w:top w:val="single" w:color="000000" w:sz="6" w:space="0"/>
              <w:left w:val="single" w:color="000000" w:sz="6" w:space="0"/>
              <w:bottom w:val="single" w:color="000000" w:sz="6" w:space="0"/>
              <w:right w:val="single" w:color="000000" w:sz="6" w:space="0"/>
            </w:tcBorders>
          </w:tcPr>
          <w:p w14:paraId="363E81A7">
            <w:pPr>
              <w:ind w:firstLine="400"/>
              <w:rPr>
                <w:rFonts w:ascii="仿宋_GB2312"/>
                <w:color w:val="000000" w:themeColor="text1"/>
                <w:sz w:val="20"/>
                <w14:textFill>
                  <w14:solidFill>
                    <w14:schemeClr w14:val="tx1"/>
                  </w14:solidFill>
                </w14:textFill>
              </w:rPr>
            </w:pPr>
          </w:p>
        </w:tc>
        <w:tc>
          <w:tcPr>
            <w:tcW w:w="1317" w:type="dxa"/>
            <w:tcBorders>
              <w:top w:val="single" w:color="000000" w:sz="6" w:space="0"/>
              <w:left w:val="single" w:color="000000" w:sz="6" w:space="0"/>
              <w:bottom w:val="single" w:color="000000" w:sz="6" w:space="0"/>
              <w:right w:val="single" w:color="000000" w:sz="6" w:space="0"/>
            </w:tcBorders>
          </w:tcPr>
          <w:p w14:paraId="0E706330">
            <w:pPr>
              <w:ind w:firstLine="400"/>
              <w:rPr>
                <w:rFonts w:ascii="仿宋_GB2312"/>
                <w:color w:val="000000" w:themeColor="text1"/>
                <w:sz w:val="20"/>
                <w14:textFill>
                  <w14:solidFill>
                    <w14:schemeClr w14:val="tx1"/>
                  </w14:solidFill>
                </w14:textFill>
              </w:rPr>
            </w:pPr>
          </w:p>
        </w:tc>
        <w:tc>
          <w:tcPr>
            <w:tcW w:w="1395" w:type="dxa"/>
            <w:tcBorders>
              <w:top w:val="single" w:color="000000" w:sz="6" w:space="0"/>
              <w:left w:val="single" w:color="000000" w:sz="6" w:space="0"/>
              <w:bottom w:val="single" w:color="000000" w:sz="6" w:space="0"/>
            </w:tcBorders>
          </w:tcPr>
          <w:p w14:paraId="7CC3F261">
            <w:pPr>
              <w:ind w:firstLine="400"/>
              <w:rPr>
                <w:rFonts w:ascii="仿宋_GB2312"/>
                <w:color w:val="000000" w:themeColor="text1"/>
                <w:sz w:val="20"/>
                <w14:textFill>
                  <w14:solidFill>
                    <w14:schemeClr w14:val="tx1"/>
                  </w14:solidFill>
                </w14:textFill>
              </w:rPr>
            </w:pPr>
          </w:p>
        </w:tc>
      </w:tr>
      <w:tr w14:paraId="18ED8D4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18" w:hRule="atLeast"/>
        </w:trPr>
        <w:tc>
          <w:tcPr>
            <w:tcW w:w="1732" w:type="dxa"/>
            <w:gridSpan w:val="2"/>
            <w:tcBorders>
              <w:top w:val="single" w:color="000000" w:sz="6" w:space="0"/>
              <w:bottom w:val="single" w:color="000000" w:sz="6" w:space="0"/>
              <w:right w:val="single" w:color="000000" w:sz="6" w:space="0"/>
            </w:tcBorders>
          </w:tcPr>
          <w:p w14:paraId="1CD67869">
            <w:pPr>
              <w:ind w:firstLine="400"/>
              <w:rPr>
                <w:rFonts w:ascii="仿宋_GB2312"/>
                <w:color w:val="000000" w:themeColor="text1"/>
                <w:sz w:val="20"/>
                <w14:textFill>
                  <w14:solidFill>
                    <w14:schemeClr w14:val="tx1"/>
                  </w14:solidFill>
                </w14:textFill>
              </w:rPr>
            </w:pPr>
          </w:p>
        </w:tc>
        <w:tc>
          <w:tcPr>
            <w:tcW w:w="1759" w:type="dxa"/>
            <w:tcBorders>
              <w:top w:val="single" w:color="000000" w:sz="6" w:space="0"/>
              <w:left w:val="single" w:color="000000" w:sz="6" w:space="0"/>
              <w:bottom w:val="single" w:color="000000" w:sz="6" w:space="0"/>
              <w:right w:val="single" w:color="000000" w:sz="6" w:space="0"/>
            </w:tcBorders>
          </w:tcPr>
          <w:p w14:paraId="3B2C2E6D">
            <w:pPr>
              <w:ind w:firstLine="400"/>
              <w:rPr>
                <w:rFonts w:ascii="仿宋_GB2312"/>
                <w:color w:val="000000" w:themeColor="text1"/>
                <w:sz w:val="20"/>
                <w14:textFill>
                  <w14:solidFill>
                    <w14:schemeClr w14:val="tx1"/>
                  </w14:solidFill>
                </w14:textFill>
              </w:rPr>
            </w:pPr>
          </w:p>
        </w:tc>
        <w:tc>
          <w:tcPr>
            <w:tcW w:w="1833" w:type="dxa"/>
            <w:gridSpan w:val="2"/>
            <w:tcBorders>
              <w:top w:val="single" w:color="000000" w:sz="6" w:space="0"/>
              <w:left w:val="single" w:color="000000" w:sz="6" w:space="0"/>
              <w:bottom w:val="single" w:color="000000" w:sz="6" w:space="0"/>
              <w:right w:val="single" w:color="000000" w:sz="6" w:space="0"/>
            </w:tcBorders>
          </w:tcPr>
          <w:p w14:paraId="1A1258E1">
            <w:pPr>
              <w:ind w:firstLine="400"/>
              <w:rPr>
                <w:rFonts w:ascii="仿宋_GB2312"/>
                <w:color w:val="000000" w:themeColor="text1"/>
                <w:sz w:val="20"/>
                <w14:textFill>
                  <w14:solidFill>
                    <w14:schemeClr w14:val="tx1"/>
                  </w14:solidFill>
                </w14:textFill>
              </w:rPr>
            </w:pPr>
          </w:p>
        </w:tc>
        <w:tc>
          <w:tcPr>
            <w:tcW w:w="1716" w:type="dxa"/>
            <w:gridSpan w:val="3"/>
            <w:tcBorders>
              <w:top w:val="single" w:color="000000" w:sz="6" w:space="0"/>
              <w:left w:val="single" w:color="000000" w:sz="6" w:space="0"/>
              <w:bottom w:val="single" w:color="000000" w:sz="6" w:space="0"/>
              <w:right w:val="single" w:color="000000" w:sz="6" w:space="0"/>
            </w:tcBorders>
          </w:tcPr>
          <w:p w14:paraId="7E8DFF7F">
            <w:pPr>
              <w:ind w:firstLine="400"/>
              <w:rPr>
                <w:rFonts w:ascii="仿宋_GB2312"/>
                <w:color w:val="000000" w:themeColor="text1"/>
                <w:sz w:val="20"/>
                <w14:textFill>
                  <w14:solidFill>
                    <w14:schemeClr w14:val="tx1"/>
                  </w14:solidFill>
                </w14:textFill>
              </w:rPr>
            </w:pPr>
          </w:p>
        </w:tc>
        <w:tc>
          <w:tcPr>
            <w:tcW w:w="1317" w:type="dxa"/>
            <w:tcBorders>
              <w:top w:val="single" w:color="000000" w:sz="6" w:space="0"/>
              <w:left w:val="single" w:color="000000" w:sz="6" w:space="0"/>
              <w:bottom w:val="single" w:color="000000" w:sz="6" w:space="0"/>
              <w:right w:val="single" w:color="000000" w:sz="6" w:space="0"/>
            </w:tcBorders>
          </w:tcPr>
          <w:p w14:paraId="2ED332E3">
            <w:pPr>
              <w:ind w:firstLine="400"/>
              <w:rPr>
                <w:rFonts w:ascii="仿宋_GB2312"/>
                <w:color w:val="000000" w:themeColor="text1"/>
                <w:sz w:val="20"/>
                <w14:textFill>
                  <w14:solidFill>
                    <w14:schemeClr w14:val="tx1"/>
                  </w14:solidFill>
                </w14:textFill>
              </w:rPr>
            </w:pPr>
          </w:p>
        </w:tc>
        <w:tc>
          <w:tcPr>
            <w:tcW w:w="1395" w:type="dxa"/>
            <w:tcBorders>
              <w:top w:val="single" w:color="000000" w:sz="6" w:space="0"/>
              <w:left w:val="single" w:color="000000" w:sz="6" w:space="0"/>
              <w:bottom w:val="single" w:color="000000" w:sz="6" w:space="0"/>
            </w:tcBorders>
          </w:tcPr>
          <w:p w14:paraId="59C9DE4A">
            <w:pPr>
              <w:ind w:firstLine="400"/>
              <w:rPr>
                <w:rFonts w:ascii="仿宋_GB2312"/>
                <w:color w:val="000000" w:themeColor="text1"/>
                <w:sz w:val="20"/>
                <w14:textFill>
                  <w14:solidFill>
                    <w14:schemeClr w14:val="tx1"/>
                  </w14:solidFill>
                </w14:textFill>
              </w:rPr>
            </w:pPr>
          </w:p>
        </w:tc>
      </w:tr>
      <w:tr w14:paraId="592CAA1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3" w:hRule="atLeast"/>
        </w:trPr>
        <w:tc>
          <w:tcPr>
            <w:tcW w:w="1732" w:type="dxa"/>
            <w:gridSpan w:val="2"/>
            <w:tcBorders>
              <w:top w:val="single" w:color="000000" w:sz="6" w:space="0"/>
              <w:bottom w:val="single" w:color="000000" w:sz="6" w:space="0"/>
              <w:right w:val="single" w:color="000000" w:sz="6" w:space="0"/>
            </w:tcBorders>
          </w:tcPr>
          <w:p w14:paraId="7FF9AA1F">
            <w:pPr>
              <w:ind w:firstLine="400"/>
              <w:rPr>
                <w:rFonts w:ascii="仿宋_GB2312"/>
                <w:color w:val="000000" w:themeColor="text1"/>
                <w:sz w:val="20"/>
                <w14:textFill>
                  <w14:solidFill>
                    <w14:schemeClr w14:val="tx1"/>
                  </w14:solidFill>
                </w14:textFill>
              </w:rPr>
            </w:pPr>
          </w:p>
        </w:tc>
        <w:tc>
          <w:tcPr>
            <w:tcW w:w="1759" w:type="dxa"/>
            <w:tcBorders>
              <w:top w:val="single" w:color="000000" w:sz="6" w:space="0"/>
              <w:left w:val="single" w:color="000000" w:sz="6" w:space="0"/>
              <w:bottom w:val="single" w:color="000000" w:sz="6" w:space="0"/>
              <w:right w:val="single" w:color="000000" w:sz="6" w:space="0"/>
            </w:tcBorders>
          </w:tcPr>
          <w:p w14:paraId="5486114F">
            <w:pPr>
              <w:ind w:firstLine="400"/>
              <w:rPr>
                <w:rFonts w:ascii="仿宋_GB2312"/>
                <w:color w:val="000000" w:themeColor="text1"/>
                <w:sz w:val="20"/>
                <w14:textFill>
                  <w14:solidFill>
                    <w14:schemeClr w14:val="tx1"/>
                  </w14:solidFill>
                </w14:textFill>
              </w:rPr>
            </w:pPr>
          </w:p>
        </w:tc>
        <w:tc>
          <w:tcPr>
            <w:tcW w:w="1833" w:type="dxa"/>
            <w:gridSpan w:val="2"/>
            <w:tcBorders>
              <w:top w:val="single" w:color="000000" w:sz="6" w:space="0"/>
              <w:left w:val="single" w:color="000000" w:sz="6" w:space="0"/>
              <w:bottom w:val="single" w:color="000000" w:sz="6" w:space="0"/>
              <w:right w:val="single" w:color="000000" w:sz="6" w:space="0"/>
            </w:tcBorders>
          </w:tcPr>
          <w:p w14:paraId="50DBDD6F">
            <w:pPr>
              <w:ind w:firstLine="400"/>
              <w:rPr>
                <w:rFonts w:ascii="仿宋_GB2312"/>
                <w:color w:val="000000" w:themeColor="text1"/>
                <w:sz w:val="20"/>
                <w14:textFill>
                  <w14:solidFill>
                    <w14:schemeClr w14:val="tx1"/>
                  </w14:solidFill>
                </w14:textFill>
              </w:rPr>
            </w:pPr>
          </w:p>
        </w:tc>
        <w:tc>
          <w:tcPr>
            <w:tcW w:w="1716" w:type="dxa"/>
            <w:gridSpan w:val="3"/>
            <w:tcBorders>
              <w:top w:val="single" w:color="000000" w:sz="6" w:space="0"/>
              <w:left w:val="single" w:color="000000" w:sz="6" w:space="0"/>
              <w:bottom w:val="single" w:color="000000" w:sz="6" w:space="0"/>
              <w:right w:val="single" w:color="000000" w:sz="6" w:space="0"/>
            </w:tcBorders>
          </w:tcPr>
          <w:p w14:paraId="018EEE6F">
            <w:pPr>
              <w:ind w:firstLine="400"/>
              <w:rPr>
                <w:rFonts w:ascii="仿宋_GB2312"/>
                <w:color w:val="000000" w:themeColor="text1"/>
                <w:sz w:val="20"/>
                <w14:textFill>
                  <w14:solidFill>
                    <w14:schemeClr w14:val="tx1"/>
                  </w14:solidFill>
                </w14:textFill>
              </w:rPr>
            </w:pPr>
          </w:p>
        </w:tc>
        <w:tc>
          <w:tcPr>
            <w:tcW w:w="1317" w:type="dxa"/>
            <w:tcBorders>
              <w:top w:val="single" w:color="000000" w:sz="6" w:space="0"/>
              <w:left w:val="single" w:color="000000" w:sz="6" w:space="0"/>
              <w:bottom w:val="single" w:color="000000" w:sz="6" w:space="0"/>
              <w:right w:val="single" w:color="000000" w:sz="6" w:space="0"/>
            </w:tcBorders>
          </w:tcPr>
          <w:p w14:paraId="4160F485">
            <w:pPr>
              <w:ind w:firstLine="400"/>
              <w:rPr>
                <w:rFonts w:ascii="仿宋_GB2312"/>
                <w:color w:val="000000" w:themeColor="text1"/>
                <w:sz w:val="20"/>
                <w14:textFill>
                  <w14:solidFill>
                    <w14:schemeClr w14:val="tx1"/>
                  </w14:solidFill>
                </w14:textFill>
              </w:rPr>
            </w:pPr>
          </w:p>
        </w:tc>
        <w:tc>
          <w:tcPr>
            <w:tcW w:w="1395" w:type="dxa"/>
            <w:tcBorders>
              <w:top w:val="single" w:color="000000" w:sz="6" w:space="0"/>
              <w:left w:val="single" w:color="000000" w:sz="6" w:space="0"/>
              <w:bottom w:val="single" w:color="000000" w:sz="6" w:space="0"/>
            </w:tcBorders>
          </w:tcPr>
          <w:p w14:paraId="3AC4BD46">
            <w:pPr>
              <w:ind w:firstLine="400"/>
              <w:rPr>
                <w:rFonts w:ascii="仿宋_GB2312"/>
                <w:color w:val="000000" w:themeColor="text1"/>
                <w:sz w:val="20"/>
                <w14:textFill>
                  <w14:solidFill>
                    <w14:schemeClr w14:val="tx1"/>
                  </w14:solidFill>
                </w14:textFill>
              </w:rPr>
            </w:pPr>
          </w:p>
        </w:tc>
      </w:tr>
      <w:tr w14:paraId="1F0A0C2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19" w:hRule="atLeast"/>
        </w:trPr>
        <w:tc>
          <w:tcPr>
            <w:tcW w:w="1732" w:type="dxa"/>
            <w:gridSpan w:val="2"/>
            <w:tcBorders>
              <w:top w:val="single" w:color="000000" w:sz="6" w:space="0"/>
              <w:bottom w:val="single" w:color="000000" w:sz="6" w:space="0"/>
              <w:right w:val="single" w:color="000000" w:sz="6" w:space="0"/>
            </w:tcBorders>
          </w:tcPr>
          <w:p w14:paraId="6F416AB1">
            <w:pPr>
              <w:ind w:firstLine="400"/>
              <w:rPr>
                <w:rFonts w:ascii="仿宋_GB2312"/>
                <w:color w:val="000000" w:themeColor="text1"/>
                <w:sz w:val="20"/>
                <w14:textFill>
                  <w14:solidFill>
                    <w14:schemeClr w14:val="tx1"/>
                  </w14:solidFill>
                </w14:textFill>
              </w:rPr>
            </w:pPr>
          </w:p>
        </w:tc>
        <w:tc>
          <w:tcPr>
            <w:tcW w:w="1759" w:type="dxa"/>
            <w:tcBorders>
              <w:top w:val="single" w:color="000000" w:sz="6" w:space="0"/>
              <w:left w:val="single" w:color="000000" w:sz="6" w:space="0"/>
              <w:bottom w:val="single" w:color="000000" w:sz="6" w:space="0"/>
              <w:right w:val="single" w:color="000000" w:sz="6" w:space="0"/>
            </w:tcBorders>
          </w:tcPr>
          <w:p w14:paraId="4A573C90">
            <w:pPr>
              <w:ind w:firstLine="400"/>
              <w:rPr>
                <w:rFonts w:ascii="仿宋_GB2312"/>
                <w:color w:val="000000" w:themeColor="text1"/>
                <w:sz w:val="20"/>
                <w14:textFill>
                  <w14:solidFill>
                    <w14:schemeClr w14:val="tx1"/>
                  </w14:solidFill>
                </w14:textFill>
              </w:rPr>
            </w:pPr>
          </w:p>
        </w:tc>
        <w:tc>
          <w:tcPr>
            <w:tcW w:w="1833" w:type="dxa"/>
            <w:gridSpan w:val="2"/>
            <w:tcBorders>
              <w:top w:val="single" w:color="000000" w:sz="6" w:space="0"/>
              <w:left w:val="single" w:color="000000" w:sz="6" w:space="0"/>
              <w:bottom w:val="single" w:color="000000" w:sz="6" w:space="0"/>
              <w:right w:val="single" w:color="000000" w:sz="6" w:space="0"/>
            </w:tcBorders>
          </w:tcPr>
          <w:p w14:paraId="76FB5869">
            <w:pPr>
              <w:ind w:firstLine="400"/>
              <w:rPr>
                <w:rFonts w:ascii="仿宋_GB2312"/>
                <w:color w:val="000000" w:themeColor="text1"/>
                <w:sz w:val="20"/>
                <w14:textFill>
                  <w14:solidFill>
                    <w14:schemeClr w14:val="tx1"/>
                  </w14:solidFill>
                </w14:textFill>
              </w:rPr>
            </w:pPr>
          </w:p>
        </w:tc>
        <w:tc>
          <w:tcPr>
            <w:tcW w:w="1716" w:type="dxa"/>
            <w:gridSpan w:val="3"/>
            <w:tcBorders>
              <w:top w:val="single" w:color="000000" w:sz="6" w:space="0"/>
              <w:left w:val="single" w:color="000000" w:sz="6" w:space="0"/>
              <w:bottom w:val="single" w:color="000000" w:sz="6" w:space="0"/>
              <w:right w:val="single" w:color="000000" w:sz="6" w:space="0"/>
            </w:tcBorders>
          </w:tcPr>
          <w:p w14:paraId="5D6802C2">
            <w:pPr>
              <w:ind w:firstLine="400"/>
              <w:rPr>
                <w:rFonts w:ascii="仿宋_GB2312"/>
                <w:color w:val="000000" w:themeColor="text1"/>
                <w:sz w:val="20"/>
                <w14:textFill>
                  <w14:solidFill>
                    <w14:schemeClr w14:val="tx1"/>
                  </w14:solidFill>
                </w14:textFill>
              </w:rPr>
            </w:pPr>
          </w:p>
        </w:tc>
        <w:tc>
          <w:tcPr>
            <w:tcW w:w="1317" w:type="dxa"/>
            <w:tcBorders>
              <w:top w:val="single" w:color="000000" w:sz="6" w:space="0"/>
              <w:left w:val="single" w:color="000000" w:sz="6" w:space="0"/>
              <w:bottom w:val="single" w:color="000000" w:sz="6" w:space="0"/>
              <w:right w:val="single" w:color="000000" w:sz="6" w:space="0"/>
            </w:tcBorders>
          </w:tcPr>
          <w:p w14:paraId="51231B3A">
            <w:pPr>
              <w:ind w:firstLine="400"/>
              <w:rPr>
                <w:rFonts w:ascii="仿宋_GB2312"/>
                <w:color w:val="000000" w:themeColor="text1"/>
                <w:sz w:val="20"/>
                <w14:textFill>
                  <w14:solidFill>
                    <w14:schemeClr w14:val="tx1"/>
                  </w14:solidFill>
                </w14:textFill>
              </w:rPr>
            </w:pPr>
          </w:p>
        </w:tc>
        <w:tc>
          <w:tcPr>
            <w:tcW w:w="1395" w:type="dxa"/>
            <w:tcBorders>
              <w:top w:val="single" w:color="000000" w:sz="6" w:space="0"/>
              <w:left w:val="single" w:color="000000" w:sz="6" w:space="0"/>
              <w:bottom w:val="single" w:color="000000" w:sz="6" w:space="0"/>
            </w:tcBorders>
          </w:tcPr>
          <w:p w14:paraId="1EBF5628">
            <w:pPr>
              <w:ind w:firstLine="400"/>
              <w:rPr>
                <w:rFonts w:ascii="仿宋_GB2312"/>
                <w:color w:val="000000" w:themeColor="text1"/>
                <w:sz w:val="20"/>
                <w14:textFill>
                  <w14:solidFill>
                    <w14:schemeClr w14:val="tx1"/>
                  </w14:solidFill>
                </w14:textFill>
              </w:rPr>
            </w:pPr>
          </w:p>
        </w:tc>
      </w:tr>
      <w:tr w14:paraId="64CAF89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4" w:hRule="atLeast"/>
        </w:trPr>
        <w:tc>
          <w:tcPr>
            <w:tcW w:w="1732" w:type="dxa"/>
            <w:gridSpan w:val="2"/>
            <w:tcBorders>
              <w:top w:val="single" w:color="000000" w:sz="6" w:space="0"/>
              <w:bottom w:val="single" w:color="000000" w:sz="6" w:space="0"/>
              <w:right w:val="single" w:color="000000" w:sz="6" w:space="0"/>
            </w:tcBorders>
          </w:tcPr>
          <w:p w14:paraId="5E027128">
            <w:pPr>
              <w:ind w:firstLine="400"/>
              <w:rPr>
                <w:rFonts w:ascii="仿宋_GB2312"/>
                <w:color w:val="000000" w:themeColor="text1"/>
                <w:sz w:val="20"/>
                <w14:textFill>
                  <w14:solidFill>
                    <w14:schemeClr w14:val="tx1"/>
                  </w14:solidFill>
                </w14:textFill>
              </w:rPr>
            </w:pPr>
          </w:p>
        </w:tc>
        <w:tc>
          <w:tcPr>
            <w:tcW w:w="1759" w:type="dxa"/>
            <w:tcBorders>
              <w:top w:val="single" w:color="000000" w:sz="6" w:space="0"/>
              <w:left w:val="single" w:color="000000" w:sz="6" w:space="0"/>
              <w:bottom w:val="single" w:color="000000" w:sz="6" w:space="0"/>
              <w:right w:val="single" w:color="000000" w:sz="6" w:space="0"/>
            </w:tcBorders>
          </w:tcPr>
          <w:p w14:paraId="596DE853">
            <w:pPr>
              <w:ind w:firstLine="400"/>
              <w:rPr>
                <w:rFonts w:ascii="仿宋_GB2312"/>
                <w:color w:val="000000" w:themeColor="text1"/>
                <w:sz w:val="20"/>
                <w14:textFill>
                  <w14:solidFill>
                    <w14:schemeClr w14:val="tx1"/>
                  </w14:solidFill>
                </w14:textFill>
              </w:rPr>
            </w:pPr>
          </w:p>
        </w:tc>
        <w:tc>
          <w:tcPr>
            <w:tcW w:w="1833" w:type="dxa"/>
            <w:gridSpan w:val="2"/>
            <w:tcBorders>
              <w:top w:val="single" w:color="000000" w:sz="6" w:space="0"/>
              <w:left w:val="single" w:color="000000" w:sz="6" w:space="0"/>
              <w:bottom w:val="single" w:color="000000" w:sz="6" w:space="0"/>
              <w:right w:val="single" w:color="000000" w:sz="6" w:space="0"/>
            </w:tcBorders>
          </w:tcPr>
          <w:p w14:paraId="209E87DD">
            <w:pPr>
              <w:ind w:firstLine="400"/>
              <w:rPr>
                <w:rFonts w:ascii="仿宋_GB2312"/>
                <w:color w:val="000000" w:themeColor="text1"/>
                <w:sz w:val="20"/>
                <w14:textFill>
                  <w14:solidFill>
                    <w14:schemeClr w14:val="tx1"/>
                  </w14:solidFill>
                </w14:textFill>
              </w:rPr>
            </w:pPr>
          </w:p>
        </w:tc>
        <w:tc>
          <w:tcPr>
            <w:tcW w:w="1716" w:type="dxa"/>
            <w:gridSpan w:val="3"/>
            <w:tcBorders>
              <w:top w:val="single" w:color="000000" w:sz="6" w:space="0"/>
              <w:left w:val="single" w:color="000000" w:sz="6" w:space="0"/>
              <w:bottom w:val="single" w:color="000000" w:sz="6" w:space="0"/>
              <w:right w:val="single" w:color="000000" w:sz="6" w:space="0"/>
            </w:tcBorders>
          </w:tcPr>
          <w:p w14:paraId="26FA5FD3">
            <w:pPr>
              <w:ind w:firstLine="400"/>
              <w:rPr>
                <w:rFonts w:ascii="仿宋_GB2312"/>
                <w:color w:val="000000" w:themeColor="text1"/>
                <w:sz w:val="20"/>
                <w14:textFill>
                  <w14:solidFill>
                    <w14:schemeClr w14:val="tx1"/>
                  </w14:solidFill>
                </w14:textFill>
              </w:rPr>
            </w:pPr>
          </w:p>
        </w:tc>
        <w:tc>
          <w:tcPr>
            <w:tcW w:w="1317" w:type="dxa"/>
            <w:tcBorders>
              <w:top w:val="single" w:color="000000" w:sz="6" w:space="0"/>
              <w:left w:val="single" w:color="000000" w:sz="6" w:space="0"/>
              <w:bottom w:val="single" w:color="000000" w:sz="6" w:space="0"/>
              <w:right w:val="single" w:color="000000" w:sz="6" w:space="0"/>
            </w:tcBorders>
          </w:tcPr>
          <w:p w14:paraId="7ADD848F">
            <w:pPr>
              <w:ind w:firstLine="400"/>
              <w:rPr>
                <w:rFonts w:ascii="仿宋_GB2312"/>
                <w:color w:val="000000" w:themeColor="text1"/>
                <w:sz w:val="20"/>
                <w14:textFill>
                  <w14:solidFill>
                    <w14:schemeClr w14:val="tx1"/>
                  </w14:solidFill>
                </w14:textFill>
              </w:rPr>
            </w:pPr>
          </w:p>
        </w:tc>
        <w:tc>
          <w:tcPr>
            <w:tcW w:w="1395" w:type="dxa"/>
            <w:tcBorders>
              <w:top w:val="single" w:color="000000" w:sz="6" w:space="0"/>
              <w:left w:val="single" w:color="000000" w:sz="6" w:space="0"/>
              <w:bottom w:val="single" w:color="000000" w:sz="6" w:space="0"/>
            </w:tcBorders>
          </w:tcPr>
          <w:p w14:paraId="6BC4B5F6">
            <w:pPr>
              <w:ind w:firstLine="400"/>
              <w:rPr>
                <w:rFonts w:ascii="仿宋_GB2312"/>
                <w:color w:val="000000" w:themeColor="text1"/>
                <w:sz w:val="20"/>
                <w14:textFill>
                  <w14:solidFill>
                    <w14:schemeClr w14:val="tx1"/>
                  </w14:solidFill>
                </w14:textFill>
              </w:rPr>
            </w:pPr>
          </w:p>
        </w:tc>
      </w:tr>
      <w:tr w14:paraId="62CFA23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3" w:hRule="atLeast"/>
        </w:trPr>
        <w:tc>
          <w:tcPr>
            <w:tcW w:w="1732" w:type="dxa"/>
            <w:gridSpan w:val="2"/>
            <w:tcBorders>
              <w:top w:val="single" w:color="000000" w:sz="6" w:space="0"/>
              <w:bottom w:val="single" w:color="000000" w:sz="6" w:space="0"/>
              <w:right w:val="single" w:color="000000" w:sz="6" w:space="0"/>
            </w:tcBorders>
          </w:tcPr>
          <w:p w14:paraId="55BDC138">
            <w:pPr>
              <w:ind w:firstLine="400"/>
              <w:rPr>
                <w:rFonts w:ascii="仿宋_GB2312"/>
                <w:color w:val="000000" w:themeColor="text1"/>
                <w:sz w:val="20"/>
                <w14:textFill>
                  <w14:solidFill>
                    <w14:schemeClr w14:val="tx1"/>
                  </w14:solidFill>
                </w14:textFill>
              </w:rPr>
            </w:pPr>
          </w:p>
        </w:tc>
        <w:tc>
          <w:tcPr>
            <w:tcW w:w="1759" w:type="dxa"/>
            <w:tcBorders>
              <w:top w:val="single" w:color="000000" w:sz="6" w:space="0"/>
              <w:left w:val="single" w:color="000000" w:sz="6" w:space="0"/>
              <w:bottom w:val="single" w:color="000000" w:sz="6" w:space="0"/>
              <w:right w:val="single" w:color="000000" w:sz="6" w:space="0"/>
            </w:tcBorders>
          </w:tcPr>
          <w:p w14:paraId="0EAC3318">
            <w:pPr>
              <w:ind w:firstLine="400"/>
              <w:rPr>
                <w:rFonts w:ascii="仿宋_GB2312"/>
                <w:color w:val="000000" w:themeColor="text1"/>
                <w:sz w:val="20"/>
                <w14:textFill>
                  <w14:solidFill>
                    <w14:schemeClr w14:val="tx1"/>
                  </w14:solidFill>
                </w14:textFill>
              </w:rPr>
            </w:pPr>
          </w:p>
        </w:tc>
        <w:tc>
          <w:tcPr>
            <w:tcW w:w="1833" w:type="dxa"/>
            <w:gridSpan w:val="2"/>
            <w:tcBorders>
              <w:top w:val="single" w:color="000000" w:sz="6" w:space="0"/>
              <w:left w:val="single" w:color="000000" w:sz="6" w:space="0"/>
              <w:bottom w:val="single" w:color="000000" w:sz="6" w:space="0"/>
              <w:right w:val="single" w:color="000000" w:sz="6" w:space="0"/>
            </w:tcBorders>
          </w:tcPr>
          <w:p w14:paraId="1519F4B4">
            <w:pPr>
              <w:ind w:firstLine="400"/>
              <w:rPr>
                <w:rFonts w:ascii="仿宋_GB2312"/>
                <w:color w:val="000000" w:themeColor="text1"/>
                <w:sz w:val="20"/>
                <w14:textFill>
                  <w14:solidFill>
                    <w14:schemeClr w14:val="tx1"/>
                  </w14:solidFill>
                </w14:textFill>
              </w:rPr>
            </w:pPr>
          </w:p>
        </w:tc>
        <w:tc>
          <w:tcPr>
            <w:tcW w:w="1716" w:type="dxa"/>
            <w:gridSpan w:val="3"/>
            <w:tcBorders>
              <w:top w:val="single" w:color="000000" w:sz="6" w:space="0"/>
              <w:left w:val="single" w:color="000000" w:sz="6" w:space="0"/>
              <w:bottom w:val="single" w:color="000000" w:sz="6" w:space="0"/>
              <w:right w:val="single" w:color="000000" w:sz="6" w:space="0"/>
            </w:tcBorders>
          </w:tcPr>
          <w:p w14:paraId="4656E850">
            <w:pPr>
              <w:ind w:firstLine="400"/>
              <w:rPr>
                <w:rFonts w:ascii="仿宋_GB2312"/>
                <w:color w:val="000000" w:themeColor="text1"/>
                <w:sz w:val="20"/>
                <w14:textFill>
                  <w14:solidFill>
                    <w14:schemeClr w14:val="tx1"/>
                  </w14:solidFill>
                </w14:textFill>
              </w:rPr>
            </w:pPr>
          </w:p>
        </w:tc>
        <w:tc>
          <w:tcPr>
            <w:tcW w:w="1317" w:type="dxa"/>
            <w:tcBorders>
              <w:top w:val="single" w:color="000000" w:sz="6" w:space="0"/>
              <w:left w:val="single" w:color="000000" w:sz="6" w:space="0"/>
              <w:bottom w:val="single" w:color="000000" w:sz="6" w:space="0"/>
              <w:right w:val="single" w:color="000000" w:sz="6" w:space="0"/>
            </w:tcBorders>
          </w:tcPr>
          <w:p w14:paraId="633F946D">
            <w:pPr>
              <w:ind w:firstLine="400"/>
              <w:rPr>
                <w:rFonts w:ascii="仿宋_GB2312"/>
                <w:color w:val="000000" w:themeColor="text1"/>
                <w:sz w:val="20"/>
                <w14:textFill>
                  <w14:solidFill>
                    <w14:schemeClr w14:val="tx1"/>
                  </w14:solidFill>
                </w14:textFill>
              </w:rPr>
            </w:pPr>
          </w:p>
        </w:tc>
        <w:tc>
          <w:tcPr>
            <w:tcW w:w="1395" w:type="dxa"/>
            <w:tcBorders>
              <w:top w:val="single" w:color="000000" w:sz="6" w:space="0"/>
              <w:left w:val="single" w:color="000000" w:sz="6" w:space="0"/>
              <w:bottom w:val="single" w:color="000000" w:sz="6" w:space="0"/>
            </w:tcBorders>
          </w:tcPr>
          <w:p w14:paraId="4D43BF8C">
            <w:pPr>
              <w:ind w:firstLine="400"/>
              <w:rPr>
                <w:rFonts w:ascii="仿宋_GB2312"/>
                <w:color w:val="000000" w:themeColor="text1"/>
                <w:sz w:val="20"/>
                <w14:textFill>
                  <w14:solidFill>
                    <w14:schemeClr w14:val="tx1"/>
                  </w14:solidFill>
                </w14:textFill>
              </w:rPr>
            </w:pPr>
          </w:p>
        </w:tc>
      </w:tr>
      <w:tr w14:paraId="36B0F23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18" w:hRule="atLeast"/>
        </w:trPr>
        <w:tc>
          <w:tcPr>
            <w:tcW w:w="1732" w:type="dxa"/>
            <w:gridSpan w:val="2"/>
            <w:tcBorders>
              <w:top w:val="single" w:color="000000" w:sz="6" w:space="0"/>
              <w:right w:val="single" w:color="000000" w:sz="6" w:space="0"/>
            </w:tcBorders>
          </w:tcPr>
          <w:p w14:paraId="1A7B11E4">
            <w:pPr>
              <w:ind w:firstLine="400"/>
              <w:rPr>
                <w:rFonts w:ascii="仿宋_GB2312"/>
                <w:color w:val="000000" w:themeColor="text1"/>
                <w:sz w:val="20"/>
                <w14:textFill>
                  <w14:solidFill>
                    <w14:schemeClr w14:val="tx1"/>
                  </w14:solidFill>
                </w14:textFill>
              </w:rPr>
            </w:pPr>
          </w:p>
        </w:tc>
        <w:tc>
          <w:tcPr>
            <w:tcW w:w="1759" w:type="dxa"/>
            <w:tcBorders>
              <w:top w:val="single" w:color="000000" w:sz="6" w:space="0"/>
              <w:left w:val="single" w:color="000000" w:sz="6" w:space="0"/>
              <w:right w:val="single" w:color="000000" w:sz="6" w:space="0"/>
            </w:tcBorders>
          </w:tcPr>
          <w:p w14:paraId="6535C5FD">
            <w:pPr>
              <w:ind w:firstLine="400"/>
              <w:rPr>
                <w:rFonts w:ascii="仿宋_GB2312"/>
                <w:color w:val="000000" w:themeColor="text1"/>
                <w:sz w:val="20"/>
                <w14:textFill>
                  <w14:solidFill>
                    <w14:schemeClr w14:val="tx1"/>
                  </w14:solidFill>
                </w14:textFill>
              </w:rPr>
            </w:pPr>
          </w:p>
        </w:tc>
        <w:tc>
          <w:tcPr>
            <w:tcW w:w="1833" w:type="dxa"/>
            <w:gridSpan w:val="2"/>
            <w:tcBorders>
              <w:top w:val="single" w:color="000000" w:sz="6" w:space="0"/>
              <w:left w:val="single" w:color="000000" w:sz="6" w:space="0"/>
              <w:right w:val="single" w:color="000000" w:sz="6" w:space="0"/>
            </w:tcBorders>
          </w:tcPr>
          <w:p w14:paraId="5AA617FC">
            <w:pPr>
              <w:ind w:firstLine="400"/>
              <w:rPr>
                <w:rFonts w:ascii="仿宋_GB2312"/>
                <w:color w:val="000000" w:themeColor="text1"/>
                <w:sz w:val="20"/>
                <w14:textFill>
                  <w14:solidFill>
                    <w14:schemeClr w14:val="tx1"/>
                  </w14:solidFill>
                </w14:textFill>
              </w:rPr>
            </w:pPr>
          </w:p>
        </w:tc>
        <w:tc>
          <w:tcPr>
            <w:tcW w:w="1716" w:type="dxa"/>
            <w:gridSpan w:val="3"/>
            <w:tcBorders>
              <w:top w:val="single" w:color="000000" w:sz="6" w:space="0"/>
              <w:left w:val="single" w:color="000000" w:sz="6" w:space="0"/>
              <w:right w:val="single" w:color="000000" w:sz="6" w:space="0"/>
            </w:tcBorders>
          </w:tcPr>
          <w:p w14:paraId="7E4D234A">
            <w:pPr>
              <w:ind w:firstLine="400"/>
              <w:rPr>
                <w:rFonts w:ascii="仿宋_GB2312"/>
                <w:color w:val="000000" w:themeColor="text1"/>
                <w:sz w:val="20"/>
                <w14:textFill>
                  <w14:solidFill>
                    <w14:schemeClr w14:val="tx1"/>
                  </w14:solidFill>
                </w14:textFill>
              </w:rPr>
            </w:pPr>
          </w:p>
        </w:tc>
        <w:tc>
          <w:tcPr>
            <w:tcW w:w="1317" w:type="dxa"/>
            <w:tcBorders>
              <w:top w:val="single" w:color="000000" w:sz="6" w:space="0"/>
              <w:left w:val="single" w:color="000000" w:sz="6" w:space="0"/>
              <w:right w:val="single" w:color="000000" w:sz="6" w:space="0"/>
            </w:tcBorders>
          </w:tcPr>
          <w:p w14:paraId="4C6A9863">
            <w:pPr>
              <w:ind w:firstLine="400"/>
              <w:rPr>
                <w:rFonts w:ascii="仿宋_GB2312"/>
                <w:color w:val="000000" w:themeColor="text1"/>
                <w:sz w:val="20"/>
                <w14:textFill>
                  <w14:solidFill>
                    <w14:schemeClr w14:val="tx1"/>
                  </w14:solidFill>
                </w14:textFill>
              </w:rPr>
            </w:pPr>
          </w:p>
        </w:tc>
        <w:tc>
          <w:tcPr>
            <w:tcW w:w="1395" w:type="dxa"/>
            <w:tcBorders>
              <w:top w:val="single" w:color="000000" w:sz="6" w:space="0"/>
              <w:left w:val="single" w:color="000000" w:sz="6" w:space="0"/>
            </w:tcBorders>
          </w:tcPr>
          <w:p w14:paraId="05957C20">
            <w:pPr>
              <w:ind w:firstLine="400"/>
              <w:rPr>
                <w:rFonts w:ascii="仿宋_GB2312"/>
                <w:color w:val="000000" w:themeColor="text1"/>
                <w:sz w:val="20"/>
                <w14:textFill>
                  <w14:solidFill>
                    <w14:schemeClr w14:val="tx1"/>
                  </w14:solidFill>
                </w14:textFill>
              </w:rPr>
            </w:pPr>
          </w:p>
        </w:tc>
      </w:tr>
    </w:tbl>
    <w:p w14:paraId="24D3D7B8">
      <w:pPr>
        <w:ind w:firstLine="6235" w:firstLineChars="2227"/>
        <w:rPr>
          <w:rFonts w:ascii="仿宋_GB2312" w:hAnsi="宋体" w:cs="宋体"/>
          <w:color w:val="000000" w:themeColor="text1"/>
          <w:szCs w:val="28"/>
          <w14:textFill>
            <w14:solidFill>
              <w14:schemeClr w14:val="tx1"/>
            </w14:solidFill>
          </w14:textFill>
        </w:rPr>
      </w:pPr>
      <w:r>
        <w:rPr>
          <w:rFonts w:hint="eastAsia" w:ascii="仿宋_GB2312" w:hAnsi="宋体" w:cs="宋体"/>
          <w:color w:val="000000" w:themeColor="text1"/>
          <w:szCs w:val="28"/>
          <w14:textFill>
            <w14:solidFill>
              <w14:schemeClr w14:val="tx1"/>
            </w14:solidFill>
          </w14:textFill>
        </w:rPr>
        <w:t xml:space="preserve">报价供应商(盖章): </w:t>
      </w:r>
    </w:p>
    <w:p w14:paraId="4AEA0DA6">
      <w:pPr>
        <w:ind w:firstLine="6235" w:firstLineChars="2227"/>
        <w:rPr>
          <w:rFonts w:ascii="仿宋_GB2312" w:hAnsi="宋体" w:cs="宋体"/>
          <w:color w:val="000000" w:themeColor="text1"/>
          <w:szCs w:val="28"/>
          <w14:textFill>
            <w14:solidFill>
              <w14:schemeClr w14:val="tx1"/>
            </w14:solidFill>
          </w14:textFill>
        </w:rPr>
      </w:pPr>
      <w:r>
        <w:rPr>
          <w:rFonts w:hint="eastAsia" w:ascii="仿宋_GB2312" w:hAnsi="宋体" w:cs="宋体"/>
          <w:color w:val="000000" w:themeColor="text1"/>
          <w:szCs w:val="28"/>
          <w14:textFill>
            <w14:solidFill>
              <w14:schemeClr w14:val="tx1"/>
            </w14:solidFill>
          </w14:textFill>
        </w:rPr>
        <w:t xml:space="preserve">法定代表人签章: </w:t>
      </w:r>
    </w:p>
    <w:p w14:paraId="49B83568">
      <w:pPr>
        <w:spacing w:after="240"/>
        <w:ind w:firstLine="198" w:firstLineChars="62"/>
        <w:jc w:val="center"/>
        <w:rPr>
          <w:rFonts w:ascii="黑体" w:hAnsi="黑体" w:eastAsia="黑体"/>
          <w:color w:val="000000" w:themeColor="text1"/>
          <w:sz w:val="32"/>
          <w:szCs w:val="32"/>
          <w14:textFill>
            <w14:solidFill>
              <w14:schemeClr w14:val="tx1"/>
            </w14:solidFill>
          </w14:textFill>
        </w:rPr>
      </w:pPr>
      <w:r>
        <w:rPr>
          <w:rFonts w:ascii="仿宋_GB2312" w:hAnsi="仿宋"/>
          <w:color w:val="000000" w:themeColor="text1"/>
          <w:sz w:val="32"/>
          <w:szCs w:val="32"/>
          <w14:textFill>
            <w14:solidFill>
              <w14:schemeClr w14:val="tx1"/>
            </w14:solidFill>
          </w14:textFill>
        </w:rPr>
        <w:br w:type="page"/>
      </w:r>
      <w:r>
        <w:rPr>
          <w:rFonts w:ascii="黑体" w:hAnsi="黑体" w:eastAsia="黑体"/>
          <w:color w:val="000000" w:themeColor="text1"/>
          <w:sz w:val="32"/>
          <w:szCs w:val="32"/>
          <w14:textFill>
            <w14:solidFill>
              <w14:schemeClr w14:val="tx1"/>
            </w14:solidFill>
          </w14:textFill>
        </w:rPr>
        <w:t>各专业人员简况表</w:t>
      </w:r>
    </w:p>
    <w:tbl>
      <w:tblPr>
        <w:tblStyle w:val="45"/>
        <w:tblW w:w="9752"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1005"/>
        <w:gridCol w:w="718"/>
        <w:gridCol w:w="1759"/>
        <w:gridCol w:w="587"/>
        <w:gridCol w:w="1247"/>
        <w:gridCol w:w="173"/>
        <w:gridCol w:w="1420"/>
        <w:gridCol w:w="125"/>
        <w:gridCol w:w="1318"/>
        <w:gridCol w:w="308"/>
        <w:gridCol w:w="1092"/>
      </w:tblGrid>
      <w:tr w14:paraId="5F7482C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4" w:hRule="atLeast"/>
        </w:trPr>
        <w:tc>
          <w:tcPr>
            <w:tcW w:w="1005" w:type="dxa"/>
            <w:tcBorders>
              <w:bottom w:val="single" w:color="000000" w:sz="6" w:space="0"/>
              <w:right w:val="single" w:color="000000" w:sz="6" w:space="0"/>
            </w:tcBorders>
            <w:vAlign w:val="center"/>
          </w:tcPr>
          <w:p w14:paraId="6DE26519">
            <w:pPr>
              <w:ind w:firstLine="400"/>
              <w:jc w:val="center"/>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姓名</w:t>
            </w:r>
          </w:p>
        </w:tc>
        <w:tc>
          <w:tcPr>
            <w:tcW w:w="3064" w:type="dxa"/>
            <w:gridSpan w:val="3"/>
            <w:tcBorders>
              <w:left w:val="single" w:color="000000" w:sz="6" w:space="0"/>
              <w:bottom w:val="single" w:color="000000" w:sz="6" w:space="0"/>
              <w:right w:val="single" w:color="000000" w:sz="6" w:space="0"/>
            </w:tcBorders>
            <w:vAlign w:val="center"/>
          </w:tcPr>
          <w:p w14:paraId="0E86C890">
            <w:pPr>
              <w:ind w:firstLine="400"/>
              <w:jc w:val="center"/>
              <w:rPr>
                <w:rFonts w:ascii="仿宋_GB2312"/>
                <w:color w:val="000000" w:themeColor="text1"/>
                <w:sz w:val="20"/>
                <w14:textFill>
                  <w14:solidFill>
                    <w14:schemeClr w14:val="tx1"/>
                  </w14:solidFill>
                </w14:textFill>
              </w:rPr>
            </w:pPr>
          </w:p>
        </w:tc>
        <w:tc>
          <w:tcPr>
            <w:tcW w:w="1420" w:type="dxa"/>
            <w:gridSpan w:val="2"/>
            <w:tcBorders>
              <w:left w:val="single" w:color="000000" w:sz="6" w:space="0"/>
              <w:bottom w:val="single" w:color="000000" w:sz="6" w:space="0"/>
              <w:right w:val="single" w:color="000000" w:sz="6" w:space="0"/>
            </w:tcBorders>
            <w:vAlign w:val="center"/>
          </w:tcPr>
          <w:p w14:paraId="6F8E70A3">
            <w:pPr>
              <w:ind w:firstLine="400"/>
              <w:jc w:val="center"/>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性别</w:t>
            </w:r>
          </w:p>
        </w:tc>
        <w:tc>
          <w:tcPr>
            <w:tcW w:w="1420" w:type="dxa"/>
            <w:tcBorders>
              <w:left w:val="single" w:color="000000" w:sz="6" w:space="0"/>
              <w:bottom w:val="single" w:color="000000" w:sz="6" w:space="0"/>
              <w:right w:val="single" w:color="000000" w:sz="6" w:space="0"/>
            </w:tcBorders>
            <w:vAlign w:val="center"/>
          </w:tcPr>
          <w:p w14:paraId="030D4304">
            <w:pPr>
              <w:ind w:firstLine="400"/>
              <w:jc w:val="center"/>
              <w:rPr>
                <w:rFonts w:ascii="仿宋_GB2312"/>
                <w:color w:val="000000" w:themeColor="text1"/>
                <w:sz w:val="20"/>
                <w14:textFill>
                  <w14:solidFill>
                    <w14:schemeClr w14:val="tx1"/>
                  </w14:solidFill>
                </w14:textFill>
              </w:rPr>
            </w:pPr>
          </w:p>
        </w:tc>
        <w:tc>
          <w:tcPr>
            <w:tcW w:w="1443" w:type="dxa"/>
            <w:gridSpan w:val="2"/>
            <w:tcBorders>
              <w:left w:val="single" w:color="000000" w:sz="6" w:space="0"/>
              <w:bottom w:val="single" w:color="000000" w:sz="6" w:space="0"/>
              <w:right w:val="single" w:color="000000" w:sz="6" w:space="0"/>
            </w:tcBorders>
            <w:vAlign w:val="center"/>
          </w:tcPr>
          <w:p w14:paraId="6B790EEB">
            <w:pPr>
              <w:ind w:firstLine="400"/>
              <w:jc w:val="center"/>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年龄</w:t>
            </w:r>
          </w:p>
        </w:tc>
        <w:tc>
          <w:tcPr>
            <w:tcW w:w="1400" w:type="dxa"/>
            <w:gridSpan w:val="2"/>
            <w:tcBorders>
              <w:left w:val="single" w:color="000000" w:sz="6" w:space="0"/>
              <w:bottom w:val="single" w:color="000000" w:sz="6" w:space="0"/>
            </w:tcBorders>
            <w:vAlign w:val="center"/>
          </w:tcPr>
          <w:p w14:paraId="5A55A885">
            <w:pPr>
              <w:ind w:firstLine="400"/>
              <w:jc w:val="center"/>
              <w:rPr>
                <w:rFonts w:ascii="仿宋_GB2312"/>
                <w:color w:val="000000" w:themeColor="text1"/>
                <w:sz w:val="20"/>
                <w14:textFill>
                  <w14:solidFill>
                    <w14:schemeClr w14:val="tx1"/>
                  </w14:solidFill>
                </w14:textFill>
              </w:rPr>
            </w:pPr>
          </w:p>
        </w:tc>
      </w:tr>
      <w:tr w14:paraId="6C204C0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4" w:hRule="atLeast"/>
        </w:trPr>
        <w:tc>
          <w:tcPr>
            <w:tcW w:w="1005" w:type="dxa"/>
            <w:tcBorders>
              <w:top w:val="single" w:color="000000" w:sz="6" w:space="0"/>
              <w:bottom w:val="single" w:color="000000" w:sz="6" w:space="0"/>
              <w:right w:val="single" w:color="000000" w:sz="6" w:space="0"/>
            </w:tcBorders>
            <w:vAlign w:val="center"/>
          </w:tcPr>
          <w:p w14:paraId="0F2EA6A6">
            <w:pPr>
              <w:ind w:firstLine="400"/>
              <w:jc w:val="center"/>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职务</w:t>
            </w:r>
          </w:p>
        </w:tc>
        <w:tc>
          <w:tcPr>
            <w:tcW w:w="3064" w:type="dxa"/>
            <w:gridSpan w:val="3"/>
            <w:tcBorders>
              <w:top w:val="single" w:color="000000" w:sz="6" w:space="0"/>
              <w:left w:val="single" w:color="000000" w:sz="6" w:space="0"/>
              <w:bottom w:val="single" w:color="000000" w:sz="6" w:space="0"/>
              <w:right w:val="single" w:color="000000" w:sz="6" w:space="0"/>
            </w:tcBorders>
            <w:vAlign w:val="center"/>
          </w:tcPr>
          <w:p w14:paraId="7464DE88">
            <w:pPr>
              <w:ind w:firstLine="400"/>
              <w:jc w:val="center"/>
              <w:rPr>
                <w:rFonts w:ascii="仿宋_GB2312"/>
                <w:color w:val="000000" w:themeColor="text1"/>
                <w:sz w:val="20"/>
                <w14:textFill>
                  <w14:solidFill>
                    <w14:schemeClr w14:val="tx1"/>
                  </w14:solidFill>
                </w14:textFill>
              </w:rPr>
            </w:pPr>
          </w:p>
        </w:tc>
        <w:tc>
          <w:tcPr>
            <w:tcW w:w="1420" w:type="dxa"/>
            <w:gridSpan w:val="2"/>
            <w:tcBorders>
              <w:top w:val="single" w:color="000000" w:sz="6" w:space="0"/>
              <w:left w:val="single" w:color="000000" w:sz="6" w:space="0"/>
              <w:bottom w:val="single" w:color="000000" w:sz="6" w:space="0"/>
              <w:right w:val="single" w:color="000000" w:sz="6" w:space="0"/>
            </w:tcBorders>
            <w:vAlign w:val="center"/>
          </w:tcPr>
          <w:p w14:paraId="3477150F">
            <w:pPr>
              <w:ind w:firstLine="400"/>
              <w:jc w:val="center"/>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职称</w:t>
            </w:r>
          </w:p>
        </w:tc>
        <w:tc>
          <w:tcPr>
            <w:tcW w:w="1420" w:type="dxa"/>
            <w:tcBorders>
              <w:top w:val="single" w:color="000000" w:sz="6" w:space="0"/>
              <w:left w:val="single" w:color="000000" w:sz="6" w:space="0"/>
              <w:bottom w:val="single" w:color="000000" w:sz="6" w:space="0"/>
              <w:right w:val="single" w:color="000000" w:sz="6" w:space="0"/>
            </w:tcBorders>
            <w:vAlign w:val="center"/>
          </w:tcPr>
          <w:p w14:paraId="46CA8431">
            <w:pPr>
              <w:ind w:firstLine="400"/>
              <w:jc w:val="center"/>
              <w:rPr>
                <w:rFonts w:ascii="仿宋_GB2312"/>
                <w:color w:val="000000" w:themeColor="text1"/>
                <w:sz w:val="20"/>
                <w14:textFill>
                  <w14:solidFill>
                    <w14:schemeClr w14:val="tx1"/>
                  </w14:solidFill>
                </w14:textFill>
              </w:rPr>
            </w:pPr>
          </w:p>
        </w:tc>
        <w:tc>
          <w:tcPr>
            <w:tcW w:w="1443" w:type="dxa"/>
            <w:gridSpan w:val="2"/>
            <w:tcBorders>
              <w:top w:val="single" w:color="000000" w:sz="6" w:space="0"/>
              <w:left w:val="single" w:color="000000" w:sz="6" w:space="0"/>
              <w:bottom w:val="single" w:color="000000" w:sz="6" w:space="0"/>
              <w:right w:val="single" w:color="000000" w:sz="6" w:space="0"/>
            </w:tcBorders>
            <w:vAlign w:val="center"/>
          </w:tcPr>
          <w:p w14:paraId="5CF741A2">
            <w:pPr>
              <w:ind w:firstLine="400"/>
              <w:jc w:val="center"/>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学历</w:t>
            </w:r>
          </w:p>
        </w:tc>
        <w:tc>
          <w:tcPr>
            <w:tcW w:w="1400" w:type="dxa"/>
            <w:gridSpan w:val="2"/>
            <w:tcBorders>
              <w:top w:val="single" w:color="000000" w:sz="6" w:space="0"/>
              <w:left w:val="single" w:color="000000" w:sz="6" w:space="0"/>
              <w:bottom w:val="single" w:color="000000" w:sz="6" w:space="0"/>
            </w:tcBorders>
            <w:vAlign w:val="center"/>
          </w:tcPr>
          <w:p w14:paraId="65951689">
            <w:pPr>
              <w:ind w:firstLine="400"/>
              <w:jc w:val="center"/>
              <w:rPr>
                <w:rFonts w:ascii="仿宋_GB2312"/>
                <w:color w:val="000000" w:themeColor="text1"/>
                <w:sz w:val="20"/>
                <w14:textFill>
                  <w14:solidFill>
                    <w14:schemeClr w14:val="tx1"/>
                  </w14:solidFill>
                </w14:textFill>
              </w:rPr>
            </w:pPr>
          </w:p>
        </w:tc>
      </w:tr>
      <w:tr w14:paraId="4149356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00" w:hRule="atLeast"/>
        </w:trPr>
        <w:tc>
          <w:tcPr>
            <w:tcW w:w="3482" w:type="dxa"/>
            <w:gridSpan w:val="3"/>
            <w:tcBorders>
              <w:top w:val="single" w:color="000000" w:sz="6" w:space="0"/>
              <w:bottom w:val="single" w:color="000000" w:sz="6" w:space="0"/>
              <w:right w:val="single" w:color="000000" w:sz="6" w:space="0"/>
            </w:tcBorders>
            <w:vAlign w:val="center"/>
          </w:tcPr>
          <w:p w14:paraId="132A19B0">
            <w:pPr>
              <w:ind w:firstLine="400"/>
              <w:jc w:val="center"/>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参加工作时间</w:t>
            </w:r>
          </w:p>
        </w:tc>
        <w:tc>
          <w:tcPr>
            <w:tcW w:w="2007" w:type="dxa"/>
            <w:gridSpan w:val="3"/>
            <w:tcBorders>
              <w:top w:val="single" w:color="000000" w:sz="6" w:space="0"/>
              <w:left w:val="single" w:color="000000" w:sz="6" w:space="0"/>
              <w:bottom w:val="single" w:color="000000" w:sz="6" w:space="0"/>
              <w:right w:val="single" w:color="000000" w:sz="6" w:space="0"/>
            </w:tcBorders>
            <w:vAlign w:val="center"/>
          </w:tcPr>
          <w:p w14:paraId="1D82E922">
            <w:pPr>
              <w:ind w:firstLine="400"/>
              <w:jc w:val="center"/>
              <w:rPr>
                <w:rFonts w:ascii="仿宋_GB2312"/>
                <w:color w:val="000000" w:themeColor="text1"/>
                <w:sz w:val="20"/>
                <w14:textFill>
                  <w14:solidFill>
                    <w14:schemeClr w14:val="tx1"/>
                  </w14:solidFill>
                </w14:textFill>
              </w:rPr>
            </w:pPr>
          </w:p>
        </w:tc>
        <w:tc>
          <w:tcPr>
            <w:tcW w:w="3171" w:type="dxa"/>
            <w:gridSpan w:val="4"/>
            <w:tcBorders>
              <w:top w:val="single" w:color="000000" w:sz="6" w:space="0"/>
              <w:left w:val="single" w:color="000000" w:sz="6" w:space="0"/>
              <w:bottom w:val="single" w:color="000000" w:sz="6" w:space="0"/>
              <w:right w:val="single" w:color="000000" w:sz="6" w:space="0"/>
            </w:tcBorders>
            <w:vAlign w:val="center"/>
          </w:tcPr>
          <w:p w14:paraId="58113AA4">
            <w:pPr>
              <w:ind w:firstLine="400"/>
              <w:jc w:val="center"/>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担任相应职务年限</w:t>
            </w:r>
          </w:p>
        </w:tc>
        <w:tc>
          <w:tcPr>
            <w:tcW w:w="1092" w:type="dxa"/>
            <w:tcBorders>
              <w:top w:val="single" w:color="000000" w:sz="6" w:space="0"/>
              <w:left w:val="single" w:color="000000" w:sz="6" w:space="0"/>
              <w:bottom w:val="single" w:color="000000" w:sz="6" w:space="0"/>
            </w:tcBorders>
            <w:vAlign w:val="center"/>
          </w:tcPr>
          <w:p w14:paraId="73CCA072">
            <w:pPr>
              <w:ind w:firstLine="400"/>
              <w:jc w:val="center"/>
              <w:rPr>
                <w:rFonts w:ascii="仿宋_GB2312"/>
                <w:color w:val="000000" w:themeColor="text1"/>
                <w:sz w:val="20"/>
                <w14:textFill>
                  <w14:solidFill>
                    <w14:schemeClr w14:val="tx1"/>
                  </w14:solidFill>
                </w14:textFill>
              </w:rPr>
            </w:pPr>
          </w:p>
        </w:tc>
      </w:tr>
      <w:tr w14:paraId="0A20834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19" w:hRule="atLeast"/>
        </w:trPr>
        <w:tc>
          <w:tcPr>
            <w:tcW w:w="3482" w:type="dxa"/>
            <w:gridSpan w:val="3"/>
            <w:tcBorders>
              <w:top w:val="single" w:color="000000" w:sz="6" w:space="0"/>
              <w:bottom w:val="single" w:color="000000" w:sz="6" w:space="0"/>
              <w:right w:val="single" w:color="000000" w:sz="6" w:space="0"/>
            </w:tcBorders>
            <w:vAlign w:val="center"/>
          </w:tcPr>
          <w:p w14:paraId="491B5B24">
            <w:pPr>
              <w:ind w:firstLine="400"/>
              <w:jc w:val="center"/>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资格证书编号</w:t>
            </w:r>
          </w:p>
        </w:tc>
        <w:tc>
          <w:tcPr>
            <w:tcW w:w="6270" w:type="dxa"/>
            <w:gridSpan w:val="8"/>
            <w:tcBorders>
              <w:top w:val="single" w:color="000000" w:sz="6" w:space="0"/>
              <w:left w:val="single" w:color="000000" w:sz="6" w:space="0"/>
              <w:bottom w:val="single" w:color="000000" w:sz="6" w:space="0"/>
            </w:tcBorders>
            <w:vAlign w:val="center"/>
          </w:tcPr>
          <w:p w14:paraId="4ED08E63">
            <w:pPr>
              <w:ind w:firstLine="400"/>
              <w:jc w:val="center"/>
              <w:rPr>
                <w:rFonts w:ascii="仿宋_GB2312"/>
                <w:color w:val="000000" w:themeColor="text1"/>
                <w:sz w:val="20"/>
                <w14:textFill>
                  <w14:solidFill>
                    <w14:schemeClr w14:val="tx1"/>
                  </w14:solidFill>
                </w14:textFill>
              </w:rPr>
            </w:pPr>
          </w:p>
        </w:tc>
      </w:tr>
      <w:tr w14:paraId="7D33C35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560" w:hRule="atLeast"/>
        </w:trPr>
        <w:tc>
          <w:tcPr>
            <w:tcW w:w="9752" w:type="dxa"/>
            <w:gridSpan w:val="11"/>
            <w:tcBorders>
              <w:top w:val="single" w:color="000000" w:sz="6" w:space="0"/>
              <w:bottom w:val="single" w:color="000000" w:sz="6" w:space="0"/>
            </w:tcBorders>
            <w:vAlign w:val="center"/>
          </w:tcPr>
          <w:p w14:paraId="525B2A7F">
            <w:pPr>
              <w:ind w:firstLine="400"/>
              <w:jc w:val="center"/>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在建和已完工程项目情况</w:t>
            </w:r>
          </w:p>
        </w:tc>
      </w:tr>
      <w:tr w14:paraId="07DB711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95" w:hRule="atLeast"/>
        </w:trPr>
        <w:tc>
          <w:tcPr>
            <w:tcW w:w="1723" w:type="dxa"/>
            <w:gridSpan w:val="2"/>
            <w:tcBorders>
              <w:top w:val="single" w:color="000000" w:sz="6" w:space="0"/>
              <w:bottom w:val="single" w:color="000000" w:sz="6" w:space="0"/>
              <w:right w:val="single" w:color="000000" w:sz="6" w:space="0"/>
            </w:tcBorders>
            <w:vAlign w:val="center"/>
          </w:tcPr>
          <w:p w14:paraId="4C21E74E">
            <w:pPr>
              <w:ind w:firstLine="400"/>
              <w:jc w:val="center"/>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发包人</w:t>
            </w:r>
          </w:p>
        </w:tc>
        <w:tc>
          <w:tcPr>
            <w:tcW w:w="1759" w:type="dxa"/>
            <w:tcBorders>
              <w:top w:val="single" w:color="000000" w:sz="6" w:space="0"/>
              <w:left w:val="single" w:color="000000" w:sz="6" w:space="0"/>
              <w:bottom w:val="single" w:color="000000" w:sz="6" w:space="0"/>
              <w:right w:val="single" w:color="000000" w:sz="6" w:space="0"/>
            </w:tcBorders>
            <w:vAlign w:val="center"/>
          </w:tcPr>
          <w:p w14:paraId="30F39626">
            <w:pPr>
              <w:ind w:firstLine="400"/>
              <w:jc w:val="center"/>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项目名称</w:t>
            </w:r>
          </w:p>
        </w:tc>
        <w:tc>
          <w:tcPr>
            <w:tcW w:w="1834" w:type="dxa"/>
            <w:gridSpan w:val="2"/>
            <w:tcBorders>
              <w:top w:val="single" w:color="000000" w:sz="6" w:space="0"/>
              <w:left w:val="single" w:color="000000" w:sz="6" w:space="0"/>
              <w:bottom w:val="single" w:color="000000" w:sz="6" w:space="0"/>
              <w:right w:val="single" w:color="000000" w:sz="6" w:space="0"/>
            </w:tcBorders>
            <w:vAlign w:val="center"/>
          </w:tcPr>
          <w:p w14:paraId="7430DA84">
            <w:pPr>
              <w:ind w:firstLine="400"/>
              <w:jc w:val="center"/>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建设规模</w:t>
            </w:r>
          </w:p>
        </w:tc>
        <w:tc>
          <w:tcPr>
            <w:tcW w:w="1718" w:type="dxa"/>
            <w:gridSpan w:val="3"/>
            <w:tcBorders>
              <w:top w:val="single" w:color="000000" w:sz="6" w:space="0"/>
              <w:left w:val="single" w:color="000000" w:sz="6" w:space="0"/>
              <w:bottom w:val="single" w:color="000000" w:sz="6" w:space="0"/>
              <w:right w:val="single" w:color="000000" w:sz="6" w:space="0"/>
            </w:tcBorders>
            <w:vAlign w:val="center"/>
          </w:tcPr>
          <w:p w14:paraId="10605435">
            <w:pPr>
              <w:ind w:firstLine="400"/>
              <w:jc w:val="center"/>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开、竣工日期</w:t>
            </w:r>
          </w:p>
        </w:tc>
        <w:tc>
          <w:tcPr>
            <w:tcW w:w="1318" w:type="dxa"/>
            <w:tcBorders>
              <w:top w:val="single" w:color="000000" w:sz="6" w:space="0"/>
              <w:left w:val="single" w:color="000000" w:sz="6" w:space="0"/>
              <w:bottom w:val="single" w:color="000000" w:sz="6" w:space="0"/>
              <w:right w:val="single" w:color="000000" w:sz="6" w:space="0"/>
            </w:tcBorders>
            <w:vAlign w:val="center"/>
          </w:tcPr>
          <w:p w14:paraId="7275B62E">
            <w:pPr>
              <w:ind w:firstLine="0" w:firstLineChars="0"/>
              <w:jc w:val="center"/>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在建或已完</w:t>
            </w:r>
          </w:p>
        </w:tc>
        <w:tc>
          <w:tcPr>
            <w:tcW w:w="1400" w:type="dxa"/>
            <w:gridSpan w:val="2"/>
            <w:tcBorders>
              <w:top w:val="single" w:color="000000" w:sz="6" w:space="0"/>
              <w:left w:val="single" w:color="000000" w:sz="6" w:space="0"/>
              <w:bottom w:val="single" w:color="000000" w:sz="6" w:space="0"/>
            </w:tcBorders>
            <w:vAlign w:val="center"/>
          </w:tcPr>
          <w:p w14:paraId="09B9A564">
            <w:pPr>
              <w:ind w:firstLine="400"/>
              <w:jc w:val="center"/>
              <w:rPr>
                <w:rFonts w:ascii="仿宋_GB2312"/>
                <w:color w:val="000000" w:themeColor="text1"/>
                <w:sz w:val="20"/>
                <w14:textFill>
                  <w14:solidFill>
                    <w14:schemeClr w14:val="tx1"/>
                  </w14:solidFill>
                </w14:textFill>
              </w:rPr>
            </w:pPr>
            <w:r>
              <w:rPr>
                <w:rFonts w:hint="eastAsia" w:ascii="仿宋_GB2312" w:hAnsi="宋体" w:cs="宋体"/>
                <w:color w:val="000000" w:themeColor="text1"/>
                <w:sz w:val="20"/>
                <w14:textFill>
                  <w14:solidFill>
                    <w14:schemeClr w14:val="tx1"/>
                  </w14:solidFill>
                </w14:textFill>
              </w:rPr>
              <w:t>工程质量</w:t>
            </w:r>
          </w:p>
        </w:tc>
      </w:tr>
      <w:tr w14:paraId="10B380A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4" w:hRule="atLeast"/>
        </w:trPr>
        <w:tc>
          <w:tcPr>
            <w:tcW w:w="1723" w:type="dxa"/>
            <w:gridSpan w:val="2"/>
            <w:tcBorders>
              <w:top w:val="single" w:color="000000" w:sz="6" w:space="0"/>
              <w:bottom w:val="single" w:color="000000" w:sz="6" w:space="0"/>
              <w:right w:val="single" w:color="000000" w:sz="6" w:space="0"/>
            </w:tcBorders>
            <w:vAlign w:val="center"/>
          </w:tcPr>
          <w:p w14:paraId="1C9B89D2">
            <w:pPr>
              <w:ind w:firstLine="400"/>
              <w:jc w:val="center"/>
              <w:rPr>
                <w:rFonts w:ascii="仿宋_GB2312"/>
                <w:color w:val="000000" w:themeColor="text1"/>
                <w:sz w:val="20"/>
                <w14:textFill>
                  <w14:solidFill>
                    <w14:schemeClr w14:val="tx1"/>
                  </w14:solidFill>
                </w14:textFill>
              </w:rPr>
            </w:pPr>
          </w:p>
        </w:tc>
        <w:tc>
          <w:tcPr>
            <w:tcW w:w="1759" w:type="dxa"/>
            <w:tcBorders>
              <w:top w:val="single" w:color="000000" w:sz="6" w:space="0"/>
              <w:left w:val="single" w:color="000000" w:sz="6" w:space="0"/>
              <w:bottom w:val="single" w:color="000000" w:sz="6" w:space="0"/>
              <w:right w:val="single" w:color="000000" w:sz="6" w:space="0"/>
            </w:tcBorders>
            <w:vAlign w:val="center"/>
          </w:tcPr>
          <w:p w14:paraId="281DE71A">
            <w:pPr>
              <w:ind w:firstLine="400"/>
              <w:jc w:val="center"/>
              <w:rPr>
                <w:rFonts w:ascii="仿宋_GB2312"/>
                <w:color w:val="000000" w:themeColor="text1"/>
                <w:sz w:val="20"/>
                <w14:textFill>
                  <w14:solidFill>
                    <w14:schemeClr w14:val="tx1"/>
                  </w14:solidFill>
                </w14:textFill>
              </w:rPr>
            </w:pPr>
          </w:p>
        </w:tc>
        <w:tc>
          <w:tcPr>
            <w:tcW w:w="1834" w:type="dxa"/>
            <w:gridSpan w:val="2"/>
            <w:tcBorders>
              <w:top w:val="single" w:color="000000" w:sz="6" w:space="0"/>
              <w:left w:val="single" w:color="000000" w:sz="6" w:space="0"/>
              <w:bottom w:val="single" w:color="000000" w:sz="6" w:space="0"/>
              <w:right w:val="single" w:color="000000" w:sz="6" w:space="0"/>
            </w:tcBorders>
            <w:vAlign w:val="center"/>
          </w:tcPr>
          <w:p w14:paraId="55E10954">
            <w:pPr>
              <w:ind w:firstLine="400"/>
              <w:jc w:val="center"/>
              <w:rPr>
                <w:rFonts w:ascii="仿宋_GB2312"/>
                <w:color w:val="000000" w:themeColor="text1"/>
                <w:sz w:val="20"/>
                <w14:textFill>
                  <w14:solidFill>
                    <w14:schemeClr w14:val="tx1"/>
                  </w14:solidFill>
                </w14:textFill>
              </w:rPr>
            </w:pPr>
          </w:p>
        </w:tc>
        <w:tc>
          <w:tcPr>
            <w:tcW w:w="1718" w:type="dxa"/>
            <w:gridSpan w:val="3"/>
            <w:tcBorders>
              <w:top w:val="single" w:color="000000" w:sz="6" w:space="0"/>
              <w:left w:val="single" w:color="000000" w:sz="6" w:space="0"/>
              <w:bottom w:val="single" w:color="000000" w:sz="6" w:space="0"/>
              <w:right w:val="single" w:color="000000" w:sz="6" w:space="0"/>
            </w:tcBorders>
            <w:vAlign w:val="center"/>
          </w:tcPr>
          <w:p w14:paraId="19D25048">
            <w:pPr>
              <w:ind w:firstLine="400"/>
              <w:jc w:val="center"/>
              <w:rPr>
                <w:rFonts w:ascii="仿宋_GB2312"/>
                <w:color w:val="000000" w:themeColor="text1"/>
                <w:sz w:val="20"/>
                <w14:textFill>
                  <w14:solidFill>
                    <w14:schemeClr w14:val="tx1"/>
                  </w14:solidFill>
                </w14:textFill>
              </w:rPr>
            </w:pPr>
          </w:p>
        </w:tc>
        <w:tc>
          <w:tcPr>
            <w:tcW w:w="1318" w:type="dxa"/>
            <w:tcBorders>
              <w:top w:val="single" w:color="000000" w:sz="6" w:space="0"/>
              <w:left w:val="single" w:color="000000" w:sz="6" w:space="0"/>
              <w:bottom w:val="single" w:color="000000" w:sz="6" w:space="0"/>
              <w:right w:val="single" w:color="000000" w:sz="6" w:space="0"/>
            </w:tcBorders>
            <w:vAlign w:val="center"/>
          </w:tcPr>
          <w:p w14:paraId="70FBDD9E">
            <w:pPr>
              <w:ind w:firstLine="400"/>
              <w:jc w:val="center"/>
              <w:rPr>
                <w:rFonts w:ascii="仿宋_GB2312"/>
                <w:color w:val="000000" w:themeColor="text1"/>
                <w:sz w:val="20"/>
                <w14:textFill>
                  <w14:solidFill>
                    <w14:schemeClr w14:val="tx1"/>
                  </w14:solidFill>
                </w14:textFill>
              </w:rPr>
            </w:pPr>
          </w:p>
        </w:tc>
        <w:tc>
          <w:tcPr>
            <w:tcW w:w="1400" w:type="dxa"/>
            <w:gridSpan w:val="2"/>
            <w:tcBorders>
              <w:top w:val="single" w:color="000000" w:sz="6" w:space="0"/>
              <w:left w:val="single" w:color="000000" w:sz="6" w:space="0"/>
              <w:bottom w:val="single" w:color="000000" w:sz="6" w:space="0"/>
            </w:tcBorders>
            <w:vAlign w:val="center"/>
          </w:tcPr>
          <w:p w14:paraId="059F3458">
            <w:pPr>
              <w:ind w:firstLine="400"/>
              <w:jc w:val="center"/>
              <w:rPr>
                <w:rFonts w:ascii="仿宋_GB2312"/>
                <w:color w:val="000000" w:themeColor="text1"/>
                <w:sz w:val="20"/>
                <w14:textFill>
                  <w14:solidFill>
                    <w14:schemeClr w14:val="tx1"/>
                  </w14:solidFill>
                </w14:textFill>
              </w:rPr>
            </w:pPr>
          </w:p>
        </w:tc>
      </w:tr>
      <w:tr w14:paraId="3737473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18" w:hRule="atLeast"/>
        </w:trPr>
        <w:tc>
          <w:tcPr>
            <w:tcW w:w="1723" w:type="dxa"/>
            <w:gridSpan w:val="2"/>
            <w:tcBorders>
              <w:top w:val="single" w:color="000000" w:sz="6" w:space="0"/>
              <w:bottom w:val="single" w:color="000000" w:sz="6" w:space="0"/>
              <w:right w:val="single" w:color="000000" w:sz="6" w:space="0"/>
            </w:tcBorders>
            <w:vAlign w:val="center"/>
          </w:tcPr>
          <w:p w14:paraId="509380AF">
            <w:pPr>
              <w:ind w:firstLine="400"/>
              <w:jc w:val="center"/>
              <w:rPr>
                <w:rFonts w:ascii="仿宋_GB2312"/>
                <w:color w:val="000000" w:themeColor="text1"/>
                <w:sz w:val="20"/>
                <w14:textFill>
                  <w14:solidFill>
                    <w14:schemeClr w14:val="tx1"/>
                  </w14:solidFill>
                </w14:textFill>
              </w:rPr>
            </w:pPr>
          </w:p>
        </w:tc>
        <w:tc>
          <w:tcPr>
            <w:tcW w:w="1759" w:type="dxa"/>
            <w:tcBorders>
              <w:top w:val="single" w:color="000000" w:sz="6" w:space="0"/>
              <w:left w:val="single" w:color="000000" w:sz="6" w:space="0"/>
              <w:bottom w:val="single" w:color="000000" w:sz="6" w:space="0"/>
              <w:right w:val="single" w:color="000000" w:sz="6" w:space="0"/>
            </w:tcBorders>
            <w:vAlign w:val="center"/>
          </w:tcPr>
          <w:p w14:paraId="13DC79E3">
            <w:pPr>
              <w:ind w:firstLine="400"/>
              <w:jc w:val="center"/>
              <w:rPr>
                <w:rFonts w:ascii="仿宋_GB2312"/>
                <w:color w:val="000000" w:themeColor="text1"/>
                <w:sz w:val="20"/>
                <w14:textFill>
                  <w14:solidFill>
                    <w14:schemeClr w14:val="tx1"/>
                  </w14:solidFill>
                </w14:textFill>
              </w:rPr>
            </w:pPr>
          </w:p>
        </w:tc>
        <w:tc>
          <w:tcPr>
            <w:tcW w:w="1834" w:type="dxa"/>
            <w:gridSpan w:val="2"/>
            <w:tcBorders>
              <w:top w:val="single" w:color="000000" w:sz="6" w:space="0"/>
              <w:left w:val="single" w:color="000000" w:sz="6" w:space="0"/>
              <w:bottom w:val="single" w:color="000000" w:sz="6" w:space="0"/>
              <w:right w:val="single" w:color="000000" w:sz="6" w:space="0"/>
            </w:tcBorders>
            <w:vAlign w:val="center"/>
          </w:tcPr>
          <w:p w14:paraId="4A926A2B">
            <w:pPr>
              <w:ind w:firstLine="400"/>
              <w:jc w:val="center"/>
              <w:rPr>
                <w:rFonts w:ascii="仿宋_GB2312"/>
                <w:color w:val="000000" w:themeColor="text1"/>
                <w:sz w:val="20"/>
                <w14:textFill>
                  <w14:solidFill>
                    <w14:schemeClr w14:val="tx1"/>
                  </w14:solidFill>
                </w14:textFill>
              </w:rPr>
            </w:pPr>
          </w:p>
        </w:tc>
        <w:tc>
          <w:tcPr>
            <w:tcW w:w="1718" w:type="dxa"/>
            <w:gridSpan w:val="3"/>
            <w:tcBorders>
              <w:top w:val="single" w:color="000000" w:sz="6" w:space="0"/>
              <w:left w:val="single" w:color="000000" w:sz="6" w:space="0"/>
              <w:bottom w:val="single" w:color="000000" w:sz="6" w:space="0"/>
              <w:right w:val="single" w:color="000000" w:sz="6" w:space="0"/>
            </w:tcBorders>
            <w:vAlign w:val="center"/>
          </w:tcPr>
          <w:p w14:paraId="63675F3B">
            <w:pPr>
              <w:ind w:firstLine="400"/>
              <w:jc w:val="center"/>
              <w:rPr>
                <w:rFonts w:ascii="仿宋_GB2312"/>
                <w:color w:val="000000" w:themeColor="text1"/>
                <w:sz w:val="20"/>
                <w14:textFill>
                  <w14:solidFill>
                    <w14:schemeClr w14:val="tx1"/>
                  </w14:solidFill>
                </w14:textFill>
              </w:rPr>
            </w:pPr>
          </w:p>
        </w:tc>
        <w:tc>
          <w:tcPr>
            <w:tcW w:w="1318" w:type="dxa"/>
            <w:tcBorders>
              <w:top w:val="single" w:color="000000" w:sz="6" w:space="0"/>
              <w:left w:val="single" w:color="000000" w:sz="6" w:space="0"/>
              <w:bottom w:val="single" w:color="000000" w:sz="6" w:space="0"/>
              <w:right w:val="single" w:color="000000" w:sz="6" w:space="0"/>
            </w:tcBorders>
            <w:vAlign w:val="center"/>
          </w:tcPr>
          <w:p w14:paraId="4A9BD2EF">
            <w:pPr>
              <w:ind w:firstLine="400"/>
              <w:jc w:val="center"/>
              <w:rPr>
                <w:rFonts w:ascii="仿宋_GB2312"/>
                <w:color w:val="000000" w:themeColor="text1"/>
                <w:sz w:val="20"/>
                <w14:textFill>
                  <w14:solidFill>
                    <w14:schemeClr w14:val="tx1"/>
                  </w14:solidFill>
                </w14:textFill>
              </w:rPr>
            </w:pPr>
          </w:p>
        </w:tc>
        <w:tc>
          <w:tcPr>
            <w:tcW w:w="1400" w:type="dxa"/>
            <w:gridSpan w:val="2"/>
            <w:tcBorders>
              <w:top w:val="single" w:color="000000" w:sz="6" w:space="0"/>
              <w:left w:val="single" w:color="000000" w:sz="6" w:space="0"/>
              <w:bottom w:val="single" w:color="000000" w:sz="6" w:space="0"/>
            </w:tcBorders>
            <w:vAlign w:val="center"/>
          </w:tcPr>
          <w:p w14:paraId="04D4A163">
            <w:pPr>
              <w:ind w:firstLine="400"/>
              <w:jc w:val="center"/>
              <w:rPr>
                <w:rFonts w:ascii="仿宋_GB2312"/>
                <w:color w:val="000000" w:themeColor="text1"/>
                <w:sz w:val="20"/>
                <w14:textFill>
                  <w14:solidFill>
                    <w14:schemeClr w14:val="tx1"/>
                  </w14:solidFill>
                </w14:textFill>
              </w:rPr>
            </w:pPr>
          </w:p>
        </w:tc>
      </w:tr>
      <w:tr w14:paraId="50F3FB8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3" w:hRule="atLeast"/>
        </w:trPr>
        <w:tc>
          <w:tcPr>
            <w:tcW w:w="1723" w:type="dxa"/>
            <w:gridSpan w:val="2"/>
            <w:tcBorders>
              <w:top w:val="single" w:color="000000" w:sz="6" w:space="0"/>
              <w:bottom w:val="single" w:color="000000" w:sz="6" w:space="0"/>
              <w:right w:val="single" w:color="000000" w:sz="6" w:space="0"/>
            </w:tcBorders>
            <w:vAlign w:val="center"/>
          </w:tcPr>
          <w:p w14:paraId="28F68E31">
            <w:pPr>
              <w:ind w:firstLine="400"/>
              <w:jc w:val="center"/>
              <w:rPr>
                <w:rFonts w:ascii="仿宋_GB2312"/>
                <w:color w:val="000000" w:themeColor="text1"/>
                <w:sz w:val="20"/>
                <w14:textFill>
                  <w14:solidFill>
                    <w14:schemeClr w14:val="tx1"/>
                  </w14:solidFill>
                </w14:textFill>
              </w:rPr>
            </w:pPr>
          </w:p>
        </w:tc>
        <w:tc>
          <w:tcPr>
            <w:tcW w:w="1759" w:type="dxa"/>
            <w:tcBorders>
              <w:top w:val="single" w:color="000000" w:sz="6" w:space="0"/>
              <w:left w:val="single" w:color="000000" w:sz="6" w:space="0"/>
              <w:bottom w:val="single" w:color="000000" w:sz="6" w:space="0"/>
              <w:right w:val="single" w:color="000000" w:sz="6" w:space="0"/>
            </w:tcBorders>
            <w:vAlign w:val="center"/>
          </w:tcPr>
          <w:p w14:paraId="79B54C40">
            <w:pPr>
              <w:ind w:firstLine="400"/>
              <w:jc w:val="center"/>
              <w:rPr>
                <w:rFonts w:ascii="仿宋_GB2312"/>
                <w:color w:val="000000" w:themeColor="text1"/>
                <w:sz w:val="20"/>
                <w14:textFill>
                  <w14:solidFill>
                    <w14:schemeClr w14:val="tx1"/>
                  </w14:solidFill>
                </w14:textFill>
              </w:rPr>
            </w:pPr>
          </w:p>
        </w:tc>
        <w:tc>
          <w:tcPr>
            <w:tcW w:w="1834" w:type="dxa"/>
            <w:gridSpan w:val="2"/>
            <w:tcBorders>
              <w:top w:val="single" w:color="000000" w:sz="6" w:space="0"/>
              <w:left w:val="single" w:color="000000" w:sz="6" w:space="0"/>
              <w:bottom w:val="single" w:color="000000" w:sz="6" w:space="0"/>
              <w:right w:val="single" w:color="000000" w:sz="6" w:space="0"/>
            </w:tcBorders>
            <w:vAlign w:val="center"/>
          </w:tcPr>
          <w:p w14:paraId="42DF1279">
            <w:pPr>
              <w:ind w:firstLine="400"/>
              <w:jc w:val="center"/>
              <w:rPr>
                <w:rFonts w:ascii="仿宋_GB2312"/>
                <w:color w:val="000000" w:themeColor="text1"/>
                <w:sz w:val="20"/>
                <w14:textFill>
                  <w14:solidFill>
                    <w14:schemeClr w14:val="tx1"/>
                  </w14:solidFill>
                </w14:textFill>
              </w:rPr>
            </w:pPr>
          </w:p>
        </w:tc>
        <w:tc>
          <w:tcPr>
            <w:tcW w:w="1718" w:type="dxa"/>
            <w:gridSpan w:val="3"/>
            <w:tcBorders>
              <w:top w:val="single" w:color="000000" w:sz="6" w:space="0"/>
              <w:left w:val="single" w:color="000000" w:sz="6" w:space="0"/>
              <w:bottom w:val="single" w:color="000000" w:sz="6" w:space="0"/>
              <w:right w:val="single" w:color="000000" w:sz="6" w:space="0"/>
            </w:tcBorders>
            <w:vAlign w:val="center"/>
          </w:tcPr>
          <w:p w14:paraId="0B0B08D9">
            <w:pPr>
              <w:ind w:firstLine="400"/>
              <w:jc w:val="center"/>
              <w:rPr>
                <w:rFonts w:ascii="仿宋_GB2312"/>
                <w:color w:val="000000" w:themeColor="text1"/>
                <w:sz w:val="20"/>
                <w14:textFill>
                  <w14:solidFill>
                    <w14:schemeClr w14:val="tx1"/>
                  </w14:solidFill>
                </w14:textFill>
              </w:rPr>
            </w:pPr>
          </w:p>
        </w:tc>
        <w:tc>
          <w:tcPr>
            <w:tcW w:w="1318" w:type="dxa"/>
            <w:tcBorders>
              <w:top w:val="single" w:color="000000" w:sz="6" w:space="0"/>
              <w:left w:val="single" w:color="000000" w:sz="6" w:space="0"/>
              <w:bottom w:val="single" w:color="000000" w:sz="6" w:space="0"/>
              <w:right w:val="single" w:color="000000" w:sz="6" w:space="0"/>
            </w:tcBorders>
            <w:vAlign w:val="center"/>
          </w:tcPr>
          <w:p w14:paraId="4A2D4FF9">
            <w:pPr>
              <w:ind w:firstLine="400"/>
              <w:jc w:val="center"/>
              <w:rPr>
                <w:rFonts w:ascii="仿宋_GB2312"/>
                <w:color w:val="000000" w:themeColor="text1"/>
                <w:sz w:val="20"/>
                <w14:textFill>
                  <w14:solidFill>
                    <w14:schemeClr w14:val="tx1"/>
                  </w14:solidFill>
                </w14:textFill>
              </w:rPr>
            </w:pPr>
          </w:p>
        </w:tc>
        <w:tc>
          <w:tcPr>
            <w:tcW w:w="1400" w:type="dxa"/>
            <w:gridSpan w:val="2"/>
            <w:tcBorders>
              <w:top w:val="single" w:color="000000" w:sz="6" w:space="0"/>
              <w:left w:val="single" w:color="000000" w:sz="6" w:space="0"/>
              <w:bottom w:val="single" w:color="000000" w:sz="6" w:space="0"/>
            </w:tcBorders>
            <w:vAlign w:val="center"/>
          </w:tcPr>
          <w:p w14:paraId="30B8551E">
            <w:pPr>
              <w:ind w:firstLine="400"/>
              <w:jc w:val="center"/>
              <w:rPr>
                <w:rFonts w:ascii="仿宋_GB2312"/>
                <w:color w:val="000000" w:themeColor="text1"/>
                <w:sz w:val="20"/>
                <w14:textFill>
                  <w14:solidFill>
                    <w14:schemeClr w14:val="tx1"/>
                  </w14:solidFill>
                </w14:textFill>
              </w:rPr>
            </w:pPr>
          </w:p>
        </w:tc>
      </w:tr>
      <w:tr w14:paraId="164983F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18" w:hRule="atLeast"/>
        </w:trPr>
        <w:tc>
          <w:tcPr>
            <w:tcW w:w="1723" w:type="dxa"/>
            <w:gridSpan w:val="2"/>
            <w:tcBorders>
              <w:top w:val="single" w:color="000000" w:sz="6" w:space="0"/>
              <w:bottom w:val="single" w:color="000000" w:sz="6" w:space="0"/>
              <w:right w:val="single" w:color="000000" w:sz="6" w:space="0"/>
            </w:tcBorders>
            <w:vAlign w:val="center"/>
          </w:tcPr>
          <w:p w14:paraId="55537932">
            <w:pPr>
              <w:ind w:firstLine="400"/>
              <w:jc w:val="center"/>
              <w:rPr>
                <w:rFonts w:ascii="仿宋_GB2312"/>
                <w:color w:val="000000" w:themeColor="text1"/>
                <w:sz w:val="20"/>
                <w14:textFill>
                  <w14:solidFill>
                    <w14:schemeClr w14:val="tx1"/>
                  </w14:solidFill>
                </w14:textFill>
              </w:rPr>
            </w:pPr>
          </w:p>
        </w:tc>
        <w:tc>
          <w:tcPr>
            <w:tcW w:w="1759" w:type="dxa"/>
            <w:tcBorders>
              <w:top w:val="single" w:color="000000" w:sz="6" w:space="0"/>
              <w:left w:val="single" w:color="000000" w:sz="6" w:space="0"/>
              <w:bottom w:val="single" w:color="000000" w:sz="6" w:space="0"/>
              <w:right w:val="single" w:color="000000" w:sz="6" w:space="0"/>
            </w:tcBorders>
            <w:vAlign w:val="center"/>
          </w:tcPr>
          <w:p w14:paraId="29B1DF0A">
            <w:pPr>
              <w:ind w:firstLine="400"/>
              <w:jc w:val="center"/>
              <w:rPr>
                <w:rFonts w:ascii="仿宋_GB2312"/>
                <w:color w:val="000000" w:themeColor="text1"/>
                <w:sz w:val="20"/>
                <w14:textFill>
                  <w14:solidFill>
                    <w14:schemeClr w14:val="tx1"/>
                  </w14:solidFill>
                </w14:textFill>
              </w:rPr>
            </w:pPr>
          </w:p>
        </w:tc>
        <w:tc>
          <w:tcPr>
            <w:tcW w:w="1834" w:type="dxa"/>
            <w:gridSpan w:val="2"/>
            <w:tcBorders>
              <w:top w:val="single" w:color="000000" w:sz="6" w:space="0"/>
              <w:left w:val="single" w:color="000000" w:sz="6" w:space="0"/>
              <w:bottom w:val="single" w:color="000000" w:sz="6" w:space="0"/>
              <w:right w:val="single" w:color="000000" w:sz="6" w:space="0"/>
            </w:tcBorders>
            <w:vAlign w:val="center"/>
          </w:tcPr>
          <w:p w14:paraId="6026C1C3">
            <w:pPr>
              <w:ind w:firstLine="400"/>
              <w:jc w:val="center"/>
              <w:rPr>
                <w:rFonts w:ascii="仿宋_GB2312"/>
                <w:color w:val="000000" w:themeColor="text1"/>
                <w:sz w:val="20"/>
                <w14:textFill>
                  <w14:solidFill>
                    <w14:schemeClr w14:val="tx1"/>
                  </w14:solidFill>
                </w14:textFill>
              </w:rPr>
            </w:pPr>
          </w:p>
        </w:tc>
        <w:tc>
          <w:tcPr>
            <w:tcW w:w="1718" w:type="dxa"/>
            <w:gridSpan w:val="3"/>
            <w:tcBorders>
              <w:top w:val="single" w:color="000000" w:sz="6" w:space="0"/>
              <w:left w:val="single" w:color="000000" w:sz="6" w:space="0"/>
              <w:bottom w:val="single" w:color="000000" w:sz="6" w:space="0"/>
              <w:right w:val="single" w:color="000000" w:sz="6" w:space="0"/>
            </w:tcBorders>
            <w:vAlign w:val="center"/>
          </w:tcPr>
          <w:p w14:paraId="44D7A0C0">
            <w:pPr>
              <w:ind w:firstLine="400"/>
              <w:jc w:val="center"/>
              <w:rPr>
                <w:rFonts w:ascii="仿宋_GB2312"/>
                <w:color w:val="000000" w:themeColor="text1"/>
                <w:sz w:val="20"/>
                <w14:textFill>
                  <w14:solidFill>
                    <w14:schemeClr w14:val="tx1"/>
                  </w14:solidFill>
                </w14:textFill>
              </w:rPr>
            </w:pPr>
          </w:p>
        </w:tc>
        <w:tc>
          <w:tcPr>
            <w:tcW w:w="1318" w:type="dxa"/>
            <w:tcBorders>
              <w:top w:val="single" w:color="000000" w:sz="6" w:space="0"/>
              <w:left w:val="single" w:color="000000" w:sz="6" w:space="0"/>
              <w:bottom w:val="single" w:color="000000" w:sz="6" w:space="0"/>
              <w:right w:val="single" w:color="000000" w:sz="6" w:space="0"/>
            </w:tcBorders>
            <w:vAlign w:val="center"/>
          </w:tcPr>
          <w:p w14:paraId="378F1E2B">
            <w:pPr>
              <w:ind w:firstLine="400"/>
              <w:jc w:val="center"/>
              <w:rPr>
                <w:rFonts w:ascii="仿宋_GB2312"/>
                <w:color w:val="000000" w:themeColor="text1"/>
                <w:sz w:val="20"/>
                <w14:textFill>
                  <w14:solidFill>
                    <w14:schemeClr w14:val="tx1"/>
                  </w14:solidFill>
                </w14:textFill>
              </w:rPr>
            </w:pPr>
          </w:p>
        </w:tc>
        <w:tc>
          <w:tcPr>
            <w:tcW w:w="1400" w:type="dxa"/>
            <w:gridSpan w:val="2"/>
            <w:tcBorders>
              <w:top w:val="single" w:color="000000" w:sz="6" w:space="0"/>
              <w:left w:val="single" w:color="000000" w:sz="6" w:space="0"/>
              <w:bottom w:val="single" w:color="000000" w:sz="6" w:space="0"/>
            </w:tcBorders>
            <w:vAlign w:val="center"/>
          </w:tcPr>
          <w:p w14:paraId="4D316269">
            <w:pPr>
              <w:ind w:firstLine="400"/>
              <w:jc w:val="center"/>
              <w:rPr>
                <w:rFonts w:ascii="仿宋_GB2312"/>
                <w:color w:val="000000" w:themeColor="text1"/>
                <w:sz w:val="20"/>
                <w14:textFill>
                  <w14:solidFill>
                    <w14:schemeClr w14:val="tx1"/>
                  </w14:solidFill>
                </w14:textFill>
              </w:rPr>
            </w:pPr>
          </w:p>
        </w:tc>
      </w:tr>
      <w:tr w14:paraId="6A86112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3" w:hRule="atLeast"/>
        </w:trPr>
        <w:tc>
          <w:tcPr>
            <w:tcW w:w="1723" w:type="dxa"/>
            <w:gridSpan w:val="2"/>
            <w:tcBorders>
              <w:top w:val="single" w:color="000000" w:sz="6" w:space="0"/>
              <w:bottom w:val="single" w:color="000000" w:sz="6" w:space="0"/>
              <w:right w:val="single" w:color="000000" w:sz="6" w:space="0"/>
            </w:tcBorders>
            <w:vAlign w:val="center"/>
          </w:tcPr>
          <w:p w14:paraId="6A4449CC">
            <w:pPr>
              <w:ind w:firstLine="400"/>
              <w:jc w:val="center"/>
              <w:rPr>
                <w:rFonts w:ascii="仿宋_GB2312"/>
                <w:color w:val="000000" w:themeColor="text1"/>
                <w:sz w:val="20"/>
                <w14:textFill>
                  <w14:solidFill>
                    <w14:schemeClr w14:val="tx1"/>
                  </w14:solidFill>
                </w14:textFill>
              </w:rPr>
            </w:pPr>
          </w:p>
        </w:tc>
        <w:tc>
          <w:tcPr>
            <w:tcW w:w="1759" w:type="dxa"/>
            <w:tcBorders>
              <w:top w:val="single" w:color="000000" w:sz="6" w:space="0"/>
              <w:left w:val="single" w:color="000000" w:sz="6" w:space="0"/>
              <w:bottom w:val="single" w:color="000000" w:sz="6" w:space="0"/>
              <w:right w:val="single" w:color="000000" w:sz="6" w:space="0"/>
            </w:tcBorders>
            <w:vAlign w:val="center"/>
          </w:tcPr>
          <w:p w14:paraId="5D5961A9">
            <w:pPr>
              <w:ind w:firstLine="400"/>
              <w:jc w:val="center"/>
              <w:rPr>
                <w:rFonts w:ascii="仿宋_GB2312"/>
                <w:color w:val="000000" w:themeColor="text1"/>
                <w:sz w:val="20"/>
                <w14:textFill>
                  <w14:solidFill>
                    <w14:schemeClr w14:val="tx1"/>
                  </w14:solidFill>
                </w14:textFill>
              </w:rPr>
            </w:pPr>
          </w:p>
        </w:tc>
        <w:tc>
          <w:tcPr>
            <w:tcW w:w="1834" w:type="dxa"/>
            <w:gridSpan w:val="2"/>
            <w:tcBorders>
              <w:top w:val="single" w:color="000000" w:sz="6" w:space="0"/>
              <w:left w:val="single" w:color="000000" w:sz="6" w:space="0"/>
              <w:bottom w:val="single" w:color="000000" w:sz="6" w:space="0"/>
              <w:right w:val="single" w:color="000000" w:sz="6" w:space="0"/>
            </w:tcBorders>
            <w:vAlign w:val="center"/>
          </w:tcPr>
          <w:p w14:paraId="34E92BDE">
            <w:pPr>
              <w:ind w:firstLine="400"/>
              <w:jc w:val="center"/>
              <w:rPr>
                <w:rFonts w:ascii="仿宋_GB2312"/>
                <w:color w:val="000000" w:themeColor="text1"/>
                <w:sz w:val="20"/>
                <w14:textFill>
                  <w14:solidFill>
                    <w14:schemeClr w14:val="tx1"/>
                  </w14:solidFill>
                </w14:textFill>
              </w:rPr>
            </w:pPr>
          </w:p>
        </w:tc>
        <w:tc>
          <w:tcPr>
            <w:tcW w:w="1718" w:type="dxa"/>
            <w:gridSpan w:val="3"/>
            <w:tcBorders>
              <w:top w:val="single" w:color="000000" w:sz="6" w:space="0"/>
              <w:left w:val="single" w:color="000000" w:sz="6" w:space="0"/>
              <w:bottom w:val="single" w:color="000000" w:sz="6" w:space="0"/>
              <w:right w:val="single" w:color="000000" w:sz="6" w:space="0"/>
            </w:tcBorders>
            <w:vAlign w:val="center"/>
          </w:tcPr>
          <w:p w14:paraId="3B3D77AF">
            <w:pPr>
              <w:ind w:firstLine="400"/>
              <w:jc w:val="center"/>
              <w:rPr>
                <w:rFonts w:ascii="仿宋_GB2312"/>
                <w:color w:val="000000" w:themeColor="text1"/>
                <w:sz w:val="20"/>
                <w14:textFill>
                  <w14:solidFill>
                    <w14:schemeClr w14:val="tx1"/>
                  </w14:solidFill>
                </w14:textFill>
              </w:rPr>
            </w:pPr>
          </w:p>
        </w:tc>
        <w:tc>
          <w:tcPr>
            <w:tcW w:w="1318" w:type="dxa"/>
            <w:tcBorders>
              <w:top w:val="single" w:color="000000" w:sz="6" w:space="0"/>
              <w:left w:val="single" w:color="000000" w:sz="6" w:space="0"/>
              <w:bottom w:val="single" w:color="000000" w:sz="6" w:space="0"/>
              <w:right w:val="single" w:color="000000" w:sz="6" w:space="0"/>
            </w:tcBorders>
            <w:vAlign w:val="center"/>
          </w:tcPr>
          <w:p w14:paraId="6EB1B3F0">
            <w:pPr>
              <w:ind w:firstLine="400"/>
              <w:jc w:val="center"/>
              <w:rPr>
                <w:rFonts w:ascii="仿宋_GB2312"/>
                <w:color w:val="000000" w:themeColor="text1"/>
                <w:sz w:val="20"/>
                <w14:textFill>
                  <w14:solidFill>
                    <w14:schemeClr w14:val="tx1"/>
                  </w14:solidFill>
                </w14:textFill>
              </w:rPr>
            </w:pPr>
          </w:p>
        </w:tc>
        <w:tc>
          <w:tcPr>
            <w:tcW w:w="1400" w:type="dxa"/>
            <w:gridSpan w:val="2"/>
            <w:tcBorders>
              <w:top w:val="single" w:color="000000" w:sz="6" w:space="0"/>
              <w:left w:val="single" w:color="000000" w:sz="6" w:space="0"/>
              <w:bottom w:val="single" w:color="000000" w:sz="6" w:space="0"/>
            </w:tcBorders>
            <w:vAlign w:val="center"/>
          </w:tcPr>
          <w:p w14:paraId="0E7D8C95">
            <w:pPr>
              <w:ind w:firstLine="400"/>
              <w:jc w:val="center"/>
              <w:rPr>
                <w:rFonts w:ascii="仿宋_GB2312"/>
                <w:color w:val="000000" w:themeColor="text1"/>
                <w:sz w:val="20"/>
                <w14:textFill>
                  <w14:solidFill>
                    <w14:schemeClr w14:val="tx1"/>
                  </w14:solidFill>
                </w14:textFill>
              </w:rPr>
            </w:pPr>
          </w:p>
        </w:tc>
      </w:tr>
      <w:tr w14:paraId="548D9B6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19" w:hRule="atLeast"/>
        </w:trPr>
        <w:tc>
          <w:tcPr>
            <w:tcW w:w="1723" w:type="dxa"/>
            <w:gridSpan w:val="2"/>
            <w:tcBorders>
              <w:top w:val="single" w:color="000000" w:sz="6" w:space="0"/>
              <w:bottom w:val="single" w:color="000000" w:sz="6" w:space="0"/>
              <w:right w:val="single" w:color="000000" w:sz="6" w:space="0"/>
            </w:tcBorders>
            <w:vAlign w:val="center"/>
          </w:tcPr>
          <w:p w14:paraId="2F1436DD">
            <w:pPr>
              <w:ind w:firstLine="400"/>
              <w:jc w:val="center"/>
              <w:rPr>
                <w:rFonts w:ascii="仿宋_GB2312"/>
                <w:color w:val="000000" w:themeColor="text1"/>
                <w:sz w:val="20"/>
                <w14:textFill>
                  <w14:solidFill>
                    <w14:schemeClr w14:val="tx1"/>
                  </w14:solidFill>
                </w14:textFill>
              </w:rPr>
            </w:pPr>
          </w:p>
        </w:tc>
        <w:tc>
          <w:tcPr>
            <w:tcW w:w="1759" w:type="dxa"/>
            <w:tcBorders>
              <w:top w:val="single" w:color="000000" w:sz="6" w:space="0"/>
              <w:left w:val="single" w:color="000000" w:sz="6" w:space="0"/>
              <w:bottom w:val="single" w:color="000000" w:sz="6" w:space="0"/>
              <w:right w:val="single" w:color="000000" w:sz="6" w:space="0"/>
            </w:tcBorders>
            <w:vAlign w:val="center"/>
          </w:tcPr>
          <w:p w14:paraId="744024BA">
            <w:pPr>
              <w:ind w:firstLine="400"/>
              <w:jc w:val="center"/>
              <w:rPr>
                <w:rFonts w:ascii="仿宋_GB2312"/>
                <w:color w:val="000000" w:themeColor="text1"/>
                <w:sz w:val="20"/>
                <w14:textFill>
                  <w14:solidFill>
                    <w14:schemeClr w14:val="tx1"/>
                  </w14:solidFill>
                </w14:textFill>
              </w:rPr>
            </w:pPr>
          </w:p>
        </w:tc>
        <w:tc>
          <w:tcPr>
            <w:tcW w:w="1834" w:type="dxa"/>
            <w:gridSpan w:val="2"/>
            <w:tcBorders>
              <w:top w:val="single" w:color="000000" w:sz="6" w:space="0"/>
              <w:left w:val="single" w:color="000000" w:sz="6" w:space="0"/>
              <w:bottom w:val="single" w:color="000000" w:sz="6" w:space="0"/>
              <w:right w:val="single" w:color="000000" w:sz="6" w:space="0"/>
            </w:tcBorders>
            <w:vAlign w:val="center"/>
          </w:tcPr>
          <w:p w14:paraId="24D64C97">
            <w:pPr>
              <w:ind w:firstLine="400"/>
              <w:jc w:val="center"/>
              <w:rPr>
                <w:rFonts w:ascii="仿宋_GB2312"/>
                <w:color w:val="000000" w:themeColor="text1"/>
                <w:sz w:val="20"/>
                <w14:textFill>
                  <w14:solidFill>
                    <w14:schemeClr w14:val="tx1"/>
                  </w14:solidFill>
                </w14:textFill>
              </w:rPr>
            </w:pPr>
          </w:p>
        </w:tc>
        <w:tc>
          <w:tcPr>
            <w:tcW w:w="1718" w:type="dxa"/>
            <w:gridSpan w:val="3"/>
            <w:tcBorders>
              <w:top w:val="single" w:color="000000" w:sz="6" w:space="0"/>
              <w:left w:val="single" w:color="000000" w:sz="6" w:space="0"/>
              <w:bottom w:val="single" w:color="000000" w:sz="6" w:space="0"/>
              <w:right w:val="single" w:color="000000" w:sz="6" w:space="0"/>
            </w:tcBorders>
            <w:vAlign w:val="center"/>
          </w:tcPr>
          <w:p w14:paraId="649BA5E6">
            <w:pPr>
              <w:ind w:firstLine="400"/>
              <w:jc w:val="center"/>
              <w:rPr>
                <w:rFonts w:ascii="仿宋_GB2312"/>
                <w:color w:val="000000" w:themeColor="text1"/>
                <w:sz w:val="20"/>
                <w14:textFill>
                  <w14:solidFill>
                    <w14:schemeClr w14:val="tx1"/>
                  </w14:solidFill>
                </w14:textFill>
              </w:rPr>
            </w:pPr>
          </w:p>
        </w:tc>
        <w:tc>
          <w:tcPr>
            <w:tcW w:w="1318" w:type="dxa"/>
            <w:tcBorders>
              <w:top w:val="single" w:color="000000" w:sz="6" w:space="0"/>
              <w:left w:val="single" w:color="000000" w:sz="6" w:space="0"/>
              <w:bottom w:val="single" w:color="000000" w:sz="6" w:space="0"/>
              <w:right w:val="single" w:color="000000" w:sz="6" w:space="0"/>
            </w:tcBorders>
            <w:vAlign w:val="center"/>
          </w:tcPr>
          <w:p w14:paraId="5204C2A1">
            <w:pPr>
              <w:ind w:firstLine="400"/>
              <w:jc w:val="center"/>
              <w:rPr>
                <w:rFonts w:ascii="仿宋_GB2312"/>
                <w:color w:val="000000" w:themeColor="text1"/>
                <w:sz w:val="20"/>
                <w14:textFill>
                  <w14:solidFill>
                    <w14:schemeClr w14:val="tx1"/>
                  </w14:solidFill>
                </w14:textFill>
              </w:rPr>
            </w:pPr>
          </w:p>
        </w:tc>
        <w:tc>
          <w:tcPr>
            <w:tcW w:w="1400" w:type="dxa"/>
            <w:gridSpan w:val="2"/>
            <w:tcBorders>
              <w:top w:val="single" w:color="000000" w:sz="6" w:space="0"/>
              <w:left w:val="single" w:color="000000" w:sz="6" w:space="0"/>
              <w:bottom w:val="single" w:color="000000" w:sz="6" w:space="0"/>
            </w:tcBorders>
            <w:vAlign w:val="center"/>
          </w:tcPr>
          <w:p w14:paraId="197D2428">
            <w:pPr>
              <w:ind w:firstLine="400"/>
              <w:jc w:val="center"/>
              <w:rPr>
                <w:rFonts w:ascii="仿宋_GB2312"/>
                <w:color w:val="000000" w:themeColor="text1"/>
                <w:sz w:val="20"/>
                <w14:textFill>
                  <w14:solidFill>
                    <w14:schemeClr w14:val="tx1"/>
                  </w14:solidFill>
                </w14:textFill>
              </w:rPr>
            </w:pPr>
          </w:p>
        </w:tc>
      </w:tr>
      <w:tr w14:paraId="25F17A2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4" w:hRule="atLeast"/>
        </w:trPr>
        <w:tc>
          <w:tcPr>
            <w:tcW w:w="1723" w:type="dxa"/>
            <w:gridSpan w:val="2"/>
            <w:tcBorders>
              <w:top w:val="single" w:color="000000" w:sz="6" w:space="0"/>
              <w:bottom w:val="single" w:color="000000" w:sz="6" w:space="0"/>
              <w:right w:val="single" w:color="000000" w:sz="6" w:space="0"/>
            </w:tcBorders>
            <w:vAlign w:val="center"/>
          </w:tcPr>
          <w:p w14:paraId="0ABC62D2">
            <w:pPr>
              <w:ind w:firstLine="400"/>
              <w:jc w:val="center"/>
              <w:rPr>
                <w:rFonts w:ascii="仿宋_GB2312"/>
                <w:color w:val="000000" w:themeColor="text1"/>
                <w:sz w:val="20"/>
                <w14:textFill>
                  <w14:solidFill>
                    <w14:schemeClr w14:val="tx1"/>
                  </w14:solidFill>
                </w14:textFill>
              </w:rPr>
            </w:pPr>
          </w:p>
        </w:tc>
        <w:tc>
          <w:tcPr>
            <w:tcW w:w="1759" w:type="dxa"/>
            <w:tcBorders>
              <w:top w:val="single" w:color="000000" w:sz="6" w:space="0"/>
              <w:left w:val="single" w:color="000000" w:sz="6" w:space="0"/>
              <w:bottom w:val="single" w:color="000000" w:sz="6" w:space="0"/>
              <w:right w:val="single" w:color="000000" w:sz="6" w:space="0"/>
            </w:tcBorders>
            <w:vAlign w:val="center"/>
          </w:tcPr>
          <w:p w14:paraId="753CC957">
            <w:pPr>
              <w:ind w:firstLine="400"/>
              <w:jc w:val="center"/>
              <w:rPr>
                <w:rFonts w:ascii="仿宋_GB2312"/>
                <w:color w:val="000000" w:themeColor="text1"/>
                <w:sz w:val="20"/>
                <w14:textFill>
                  <w14:solidFill>
                    <w14:schemeClr w14:val="tx1"/>
                  </w14:solidFill>
                </w14:textFill>
              </w:rPr>
            </w:pPr>
          </w:p>
        </w:tc>
        <w:tc>
          <w:tcPr>
            <w:tcW w:w="1834" w:type="dxa"/>
            <w:gridSpan w:val="2"/>
            <w:tcBorders>
              <w:top w:val="single" w:color="000000" w:sz="6" w:space="0"/>
              <w:left w:val="single" w:color="000000" w:sz="6" w:space="0"/>
              <w:bottom w:val="single" w:color="000000" w:sz="6" w:space="0"/>
              <w:right w:val="single" w:color="000000" w:sz="6" w:space="0"/>
            </w:tcBorders>
            <w:vAlign w:val="center"/>
          </w:tcPr>
          <w:p w14:paraId="3E756963">
            <w:pPr>
              <w:ind w:firstLine="400"/>
              <w:jc w:val="center"/>
              <w:rPr>
                <w:rFonts w:ascii="仿宋_GB2312"/>
                <w:color w:val="000000" w:themeColor="text1"/>
                <w:sz w:val="20"/>
                <w14:textFill>
                  <w14:solidFill>
                    <w14:schemeClr w14:val="tx1"/>
                  </w14:solidFill>
                </w14:textFill>
              </w:rPr>
            </w:pPr>
          </w:p>
        </w:tc>
        <w:tc>
          <w:tcPr>
            <w:tcW w:w="1718" w:type="dxa"/>
            <w:gridSpan w:val="3"/>
            <w:tcBorders>
              <w:top w:val="single" w:color="000000" w:sz="6" w:space="0"/>
              <w:left w:val="single" w:color="000000" w:sz="6" w:space="0"/>
              <w:bottom w:val="single" w:color="000000" w:sz="6" w:space="0"/>
              <w:right w:val="single" w:color="000000" w:sz="6" w:space="0"/>
            </w:tcBorders>
            <w:vAlign w:val="center"/>
          </w:tcPr>
          <w:p w14:paraId="5CCF12AB">
            <w:pPr>
              <w:ind w:firstLine="400"/>
              <w:jc w:val="center"/>
              <w:rPr>
                <w:rFonts w:ascii="仿宋_GB2312"/>
                <w:color w:val="000000" w:themeColor="text1"/>
                <w:sz w:val="20"/>
                <w14:textFill>
                  <w14:solidFill>
                    <w14:schemeClr w14:val="tx1"/>
                  </w14:solidFill>
                </w14:textFill>
              </w:rPr>
            </w:pPr>
          </w:p>
        </w:tc>
        <w:tc>
          <w:tcPr>
            <w:tcW w:w="1318" w:type="dxa"/>
            <w:tcBorders>
              <w:top w:val="single" w:color="000000" w:sz="6" w:space="0"/>
              <w:left w:val="single" w:color="000000" w:sz="6" w:space="0"/>
              <w:bottom w:val="single" w:color="000000" w:sz="6" w:space="0"/>
              <w:right w:val="single" w:color="000000" w:sz="6" w:space="0"/>
            </w:tcBorders>
            <w:vAlign w:val="center"/>
          </w:tcPr>
          <w:p w14:paraId="34FA0078">
            <w:pPr>
              <w:ind w:firstLine="400"/>
              <w:jc w:val="center"/>
              <w:rPr>
                <w:rFonts w:ascii="仿宋_GB2312"/>
                <w:color w:val="000000" w:themeColor="text1"/>
                <w:sz w:val="20"/>
                <w14:textFill>
                  <w14:solidFill>
                    <w14:schemeClr w14:val="tx1"/>
                  </w14:solidFill>
                </w14:textFill>
              </w:rPr>
            </w:pPr>
          </w:p>
        </w:tc>
        <w:tc>
          <w:tcPr>
            <w:tcW w:w="1400" w:type="dxa"/>
            <w:gridSpan w:val="2"/>
            <w:tcBorders>
              <w:top w:val="single" w:color="000000" w:sz="6" w:space="0"/>
              <w:left w:val="single" w:color="000000" w:sz="6" w:space="0"/>
              <w:bottom w:val="single" w:color="000000" w:sz="6" w:space="0"/>
            </w:tcBorders>
            <w:vAlign w:val="center"/>
          </w:tcPr>
          <w:p w14:paraId="7E98A415">
            <w:pPr>
              <w:ind w:firstLine="400"/>
              <w:jc w:val="center"/>
              <w:rPr>
                <w:rFonts w:ascii="仿宋_GB2312"/>
                <w:color w:val="000000" w:themeColor="text1"/>
                <w:sz w:val="20"/>
                <w14:textFill>
                  <w14:solidFill>
                    <w14:schemeClr w14:val="tx1"/>
                  </w14:solidFill>
                </w14:textFill>
              </w:rPr>
            </w:pPr>
          </w:p>
        </w:tc>
      </w:tr>
      <w:tr w14:paraId="3361F01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3" w:hRule="atLeast"/>
        </w:trPr>
        <w:tc>
          <w:tcPr>
            <w:tcW w:w="1723" w:type="dxa"/>
            <w:gridSpan w:val="2"/>
            <w:tcBorders>
              <w:top w:val="single" w:color="000000" w:sz="6" w:space="0"/>
              <w:bottom w:val="single" w:color="000000" w:sz="6" w:space="0"/>
              <w:right w:val="single" w:color="000000" w:sz="6" w:space="0"/>
            </w:tcBorders>
            <w:vAlign w:val="center"/>
          </w:tcPr>
          <w:p w14:paraId="3B701F9B">
            <w:pPr>
              <w:ind w:firstLine="400"/>
              <w:jc w:val="center"/>
              <w:rPr>
                <w:rFonts w:ascii="仿宋_GB2312"/>
                <w:color w:val="000000" w:themeColor="text1"/>
                <w:sz w:val="20"/>
                <w14:textFill>
                  <w14:solidFill>
                    <w14:schemeClr w14:val="tx1"/>
                  </w14:solidFill>
                </w14:textFill>
              </w:rPr>
            </w:pPr>
          </w:p>
        </w:tc>
        <w:tc>
          <w:tcPr>
            <w:tcW w:w="1759" w:type="dxa"/>
            <w:tcBorders>
              <w:top w:val="single" w:color="000000" w:sz="6" w:space="0"/>
              <w:left w:val="single" w:color="000000" w:sz="6" w:space="0"/>
              <w:bottom w:val="single" w:color="000000" w:sz="6" w:space="0"/>
              <w:right w:val="single" w:color="000000" w:sz="6" w:space="0"/>
            </w:tcBorders>
            <w:vAlign w:val="center"/>
          </w:tcPr>
          <w:p w14:paraId="2E1E57B4">
            <w:pPr>
              <w:ind w:firstLine="400"/>
              <w:jc w:val="center"/>
              <w:rPr>
                <w:rFonts w:ascii="仿宋_GB2312"/>
                <w:color w:val="000000" w:themeColor="text1"/>
                <w:sz w:val="20"/>
                <w14:textFill>
                  <w14:solidFill>
                    <w14:schemeClr w14:val="tx1"/>
                  </w14:solidFill>
                </w14:textFill>
              </w:rPr>
            </w:pPr>
          </w:p>
        </w:tc>
        <w:tc>
          <w:tcPr>
            <w:tcW w:w="1834" w:type="dxa"/>
            <w:gridSpan w:val="2"/>
            <w:tcBorders>
              <w:top w:val="single" w:color="000000" w:sz="6" w:space="0"/>
              <w:left w:val="single" w:color="000000" w:sz="6" w:space="0"/>
              <w:bottom w:val="single" w:color="000000" w:sz="6" w:space="0"/>
              <w:right w:val="single" w:color="000000" w:sz="6" w:space="0"/>
            </w:tcBorders>
            <w:vAlign w:val="center"/>
          </w:tcPr>
          <w:p w14:paraId="3F6FE3F0">
            <w:pPr>
              <w:ind w:firstLine="400"/>
              <w:jc w:val="center"/>
              <w:rPr>
                <w:rFonts w:ascii="仿宋_GB2312"/>
                <w:color w:val="000000" w:themeColor="text1"/>
                <w:sz w:val="20"/>
                <w14:textFill>
                  <w14:solidFill>
                    <w14:schemeClr w14:val="tx1"/>
                  </w14:solidFill>
                </w14:textFill>
              </w:rPr>
            </w:pPr>
          </w:p>
        </w:tc>
        <w:tc>
          <w:tcPr>
            <w:tcW w:w="1718" w:type="dxa"/>
            <w:gridSpan w:val="3"/>
            <w:tcBorders>
              <w:top w:val="single" w:color="000000" w:sz="6" w:space="0"/>
              <w:left w:val="single" w:color="000000" w:sz="6" w:space="0"/>
              <w:bottom w:val="single" w:color="000000" w:sz="6" w:space="0"/>
              <w:right w:val="single" w:color="000000" w:sz="6" w:space="0"/>
            </w:tcBorders>
            <w:vAlign w:val="center"/>
          </w:tcPr>
          <w:p w14:paraId="05309610">
            <w:pPr>
              <w:ind w:firstLine="400"/>
              <w:jc w:val="center"/>
              <w:rPr>
                <w:rFonts w:ascii="仿宋_GB2312"/>
                <w:color w:val="000000" w:themeColor="text1"/>
                <w:sz w:val="20"/>
                <w14:textFill>
                  <w14:solidFill>
                    <w14:schemeClr w14:val="tx1"/>
                  </w14:solidFill>
                </w14:textFill>
              </w:rPr>
            </w:pPr>
          </w:p>
        </w:tc>
        <w:tc>
          <w:tcPr>
            <w:tcW w:w="1318" w:type="dxa"/>
            <w:tcBorders>
              <w:top w:val="single" w:color="000000" w:sz="6" w:space="0"/>
              <w:left w:val="single" w:color="000000" w:sz="6" w:space="0"/>
              <w:bottom w:val="single" w:color="000000" w:sz="6" w:space="0"/>
              <w:right w:val="single" w:color="000000" w:sz="6" w:space="0"/>
            </w:tcBorders>
            <w:vAlign w:val="center"/>
          </w:tcPr>
          <w:p w14:paraId="6EB34BA4">
            <w:pPr>
              <w:ind w:firstLine="400"/>
              <w:jc w:val="center"/>
              <w:rPr>
                <w:rFonts w:ascii="仿宋_GB2312"/>
                <w:color w:val="000000" w:themeColor="text1"/>
                <w:sz w:val="20"/>
                <w14:textFill>
                  <w14:solidFill>
                    <w14:schemeClr w14:val="tx1"/>
                  </w14:solidFill>
                </w14:textFill>
              </w:rPr>
            </w:pPr>
          </w:p>
        </w:tc>
        <w:tc>
          <w:tcPr>
            <w:tcW w:w="1400" w:type="dxa"/>
            <w:gridSpan w:val="2"/>
            <w:tcBorders>
              <w:top w:val="single" w:color="000000" w:sz="6" w:space="0"/>
              <w:left w:val="single" w:color="000000" w:sz="6" w:space="0"/>
              <w:bottom w:val="single" w:color="000000" w:sz="6" w:space="0"/>
            </w:tcBorders>
            <w:vAlign w:val="center"/>
          </w:tcPr>
          <w:p w14:paraId="7E0A3D5A">
            <w:pPr>
              <w:ind w:firstLine="400"/>
              <w:jc w:val="center"/>
              <w:rPr>
                <w:rFonts w:ascii="仿宋_GB2312"/>
                <w:color w:val="000000" w:themeColor="text1"/>
                <w:sz w:val="20"/>
                <w14:textFill>
                  <w14:solidFill>
                    <w14:schemeClr w14:val="tx1"/>
                  </w14:solidFill>
                </w14:textFill>
              </w:rPr>
            </w:pPr>
          </w:p>
        </w:tc>
      </w:tr>
      <w:tr w14:paraId="62AA934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19" w:hRule="atLeast"/>
        </w:trPr>
        <w:tc>
          <w:tcPr>
            <w:tcW w:w="1723" w:type="dxa"/>
            <w:gridSpan w:val="2"/>
            <w:tcBorders>
              <w:top w:val="single" w:color="000000" w:sz="6" w:space="0"/>
              <w:bottom w:val="single" w:color="000000" w:sz="6" w:space="0"/>
              <w:right w:val="single" w:color="000000" w:sz="6" w:space="0"/>
            </w:tcBorders>
            <w:vAlign w:val="center"/>
          </w:tcPr>
          <w:p w14:paraId="2C20495D">
            <w:pPr>
              <w:ind w:firstLine="400"/>
              <w:jc w:val="center"/>
              <w:rPr>
                <w:rFonts w:ascii="仿宋_GB2312"/>
                <w:color w:val="000000" w:themeColor="text1"/>
                <w:sz w:val="20"/>
                <w14:textFill>
                  <w14:solidFill>
                    <w14:schemeClr w14:val="tx1"/>
                  </w14:solidFill>
                </w14:textFill>
              </w:rPr>
            </w:pPr>
          </w:p>
        </w:tc>
        <w:tc>
          <w:tcPr>
            <w:tcW w:w="1759" w:type="dxa"/>
            <w:tcBorders>
              <w:top w:val="single" w:color="000000" w:sz="6" w:space="0"/>
              <w:left w:val="single" w:color="000000" w:sz="6" w:space="0"/>
              <w:bottom w:val="single" w:color="000000" w:sz="6" w:space="0"/>
              <w:right w:val="single" w:color="000000" w:sz="6" w:space="0"/>
            </w:tcBorders>
            <w:vAlign w:val="center"/>
          </w:tcPr>
          <w:p w14:paraId="06D6423D">
            <w:pPr>
              <w:ind w:firstLine="400"/>
              <w:jc w:val="center"/>
              <w:rPr>
                <w:rFonts w:ascii="仿宋_GB2312"/>
                <w:color w:val="000000" w:themeColor="text1"/>
                <w:sz w:val="20"/>
                <w14:textFill>
                  <w14:solidFill>
                    <w14:schemeClr w14:val="tx1"/>
                  </w14:solidFill>
                </w14:textFill>
              </w:rPr>
            </w:pPr>
          </w:p>
        </w:tc>
        <w:tc>
          <w:tcPr>
            <w:tcW w:w="1834" w:type="dxa"/>
            <w:gridSpan w:val="2"/>
            <w:tcBorders>
              <w:top w:val="single" w:color="000000" w:sz="6" w:space="0"/>
              <w:left w:val="single" w:color="000000" w:sz="6" w:space="0"/>
              <w:bottom w:val="single" w:color="000000" w:sz="6" w:space="0"/>
              <w:right w:val="single" w:color="000000" w:sz="6" w:space="0"/>
            </w:tcBorders>
            <w:vAlign w:val="center"/>
          </w:tcPr>
          <w:p w14:paraId="560E9FB2">
            <w:pPr>
              <w:ind w:firstLine="400"/>
              <w:jc w:val="center"/>
              <w:rPr>
                <w:rFonts w:ascii="仿宋_GB2312"/>
                <w:color w:val="000000" w:themeColor="text1"/>
                <w:sz w:val="20"/>
                <w14:textFill>
                  <w14:solidFill>
                    <w14:schemeClr w14:val="tx1"/>
                  </w14:solidFill>
                </w14:textFill>
              </w:rPr>
            </w:pPr>
          </w:p>
        </w:tc>
        <w:tc>
          <w:tcPr>
            <w:tcW w:w="1718" w:type="dxa"/>
            <w:gridSpan w:val="3"/>
            <w:tcBorders>
              <w:top w:val="single" w:color="000000" w:sz="6" w:space="0"/>
              <w:left w:val="single" w:color="000000" w:sz="6" w:space="0"/>
              <w:bottom w:val="single" w:color="000000" w:sz="6" w:space="0"/>
              <w:right w:val="single" w:color="000000" w:sz="6" w:space="0"/>
            </w:tcBorders>
            <w:vAlign w:val="center"/>
          </w:tcPr>
          <w:p w14:paraId="08F222AD">
            <w:pPr>
              <w:ind w:firstLine="400"/>
              <w:jc w:val="center"/>
              <w:rPr>
                <w:rFonts w:ascii="仿宋_GB2312"/>
                <w:color w:val="000000" w:themeColor="text1"/>
                <w:sz w:val="20"/>
                <w14:textFill>
                  <w14:solidFill>
                    <w14:schemeClr w14:val="tx1"/>
                  </w14:solidFill>
                </w14:textFill>
              </w:rPr>
            </w:pPr>
          </w:p>
        </w:tc>
        <w:tc>
          <w:tcPr>
            <w:tcW w:w="1318" w:type="dxa"/>
            <w:tcBorders>
              <w:top w:val="single" w:color="000000" w:sz="6" w:space="0"/>
              <w:left w:val="single" w:color="000000" w:sz="6" w:space="0"/>
              <w:bottom w:val="single" w:color="000000" w:sz="6" w:space="0"/>
              <w:right w:val="single" w:color="000000" w:sz="6" w:space="0"/>
            </w:tcBorders>
            <w:vAlign w:val="center"/>
          </w:tcPr>
          <w:p w14:paraId="04A4D3D3">
            <w:pPr>
              <w:ind w:firstLine="400"/>
              <w:jc w:val="center"/>
              <w:rPr>
                <w:rFonts w:ascii="仿宋_GB2312"/>
                <w:color w:val="000000" w:themeColor="text1"/>
                <w:sz w:val="20"/>
                <w14:textFill>
                  <w14:solidFill>
                    <w14:schemeClr w14:val="tx1"/>
                  </w14:solidFill>
                </w14:textFill>
              </w:rPr>
            </w:pPr>
          </w:p>
        </w:tc>
        <w:tc>
          <w:tcPr>
            <w:tcW w:w="1400" w:type="dxa"/>
            <w:gridSpan w:val="2"/>
            <w:tcBorders>
              <w:top w:val="single" w:color="000000" w:sz="6" w:space="0"/>
              <w:left w:val="single" w:color="000000" w:sz="6" w:space="0"/>
              <w:bottom w:val="single" w:color="000000" w:sz="6" w:space="0"/>
            </w:tcBorders>
            <w:vAlign w:val="center"/>
          </w:tcPr>
          <w:p w14:paraId="1E388512">
            <w:pPr>
              <w:ind w:firstLine="400"/>
              <w:jc w:val="center"/>
              <w:rPr>
                <w:rFonts w:ascii="仿宋_GB2312"/>
                <w:color w:val="000000" w:themeColor="text1"/>
                <w:sz w:val="20"/>
                <w14:textFill>
                  <w14:solidFill>
                    <w14:schemeClr w14:val="tx1"/>
                  </w14:solidFill>
                </w14:textFill>
              </w:rPr>
            </w:pPr>
          </w:p>
        </w:tc>
      </w:tr>
      <w:tr w14:paraId="2373C82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3" w:hRule="atLeast"/>
        </w:trPr>
        <w:tc>
          <w:tcPr>
            <w:tcW w:w="1723" w:type="dxa"/>
            <w:gridSpan w:val="2"/>
            <w:tcBorders>
              <w:top w:val="single" w:color="000000" w:sz="6" w:space="0"/>
              <w:right w:val="single" w:color="000000" w:sz="6" w:space="0"/>
            </w:tcBorders>
            <w:vAlign w:val="center"/>
          </w:tcPr>
          <w:p w14:paraId="354B1814">
            <w:pPr>
              <w:ind w:firstLine="400"/>
              <w:jc w:val="center"/>
              <w:rPr>
                <w:rFonts w:ascii="仿宋_GB2312"/>
                <w:color w:val="000000" w:themeColor="text1"/>
                <w:sz w:val="20"/>
                <w14:textFill>
                  <w14:solidFill>
                    <w14:schemeClr w14:val="tx1"/>
                  </w14:solidFill>
                </w14:textFill>
              </w:rPr>
            </w:pPr>
          </w:p>
        </w:tc>
        <w:tc>
          <w:tcPr>
            <w:tcW w:w="1759" w:type="dxa"/>
            <w:tcBorders>
              <w:top w:val="single" w:color="000000" w:sz="6" w:space="0"/>
              <w:left w:val="single" w:color="000000" w:sz="6" w:space="0"/>
              <w:right w:val="single" w:color="000000" w:sz="6" w:space="0"/>
            </w:tcBorders>
            <w:vAlign w:val="center"/>
          </w:tcPr>
          <w:p w14:paraId="720E65EC">
            <w:pPr>
              <w:ind w:firstLine="400"/>
              <w:jc w:val="center"/>
              <w:rPr>
                <w:rFonts w:ascii="仿宋_GB2312"/>
                <w:color w:val="000000" w:themeColor="text1"/>
                <w:sz w:val="20"/>
                <w14:textFill>
                  <w14:solidFill>
                    <w14:schemeClr w14:val="tx1"/>
                  </w14:solidFill>
                </w14:textFill>
              </w:rPr>
            </w:pPr>
          </w:p>
        </w:tc>
        <w:tc>
          <w:tcPr>
            <w:tcW w:w="1834" w:type="dxa"/>
            <w:gridSpan w:val="2"/>
            <w:tcBorders>
              <w:top w:val="single" w:color="000000" w:sz="6" w:space="0"/>
              <w:left w:val="single" w:color="000000" w:sz="6" w:space="0"/>
              <w:right w:val="single" w:color="000000" w:sz="6" w:space="0"/>
            </w:tcBorders>
            <w:vAlign w:val="center"/>
          </w:tcPr>
          <w:p w14:paraId="3A30184B">
            <w:pPr>
              <w:ind w:firstLine="400"/>
              <w:jc w:val="center"/>
              <w:rPr>
                <w:rFonts w:ascii="仿宋_GB2312"/>
                <w:color w:val="000000" w:themeColor="text1"/>
                <w:sz w:val="20"/>
                <w14:textFill>
                  <w14:solidFill>
                    <w14:schemeClr w14:val="tx1"/>
                  </w14:solidFill>
                </w14:textFill>
              </w:rPr>
            </w:pPr>
          </w:p>
        </w:tc>
        <w:tc>
          <w:tcPr>
            <w:tcW w:w="1718" w:type="dxa"/>
            <w:gridSpan w:val="3"/>
            <w:tcBorders>
              <w:top w:val="single" w:color="000000" w:sz="6" w:space="0"/>
              <w:left w:val="single" w:color="000000" w:sz="6" w:space="0"/>
              <w:right w:val="single" w:color="000000" w:sz="6" w:space="0"/>
            </w:tcBorders>
            <w:vAlign w:val="center"/>
          </w:tcPr>
          <w:p w14:paraId="78819B46">
            <w:pPr>
              <w:ind w:firstLine="400"/>
              <w:jc w:val="center"/>
              <w:rPr>
                <w:rFonts w:ascii="仿宋_GB2312"/>
                <w:color w:val="000000" w:themeColor="text1"/>
                <w:sz w:val="20"/>
                <w14:textFill>
                  <w14:solidFill>
                    <w14:schemeClr w14:val="tx1"/>
                  </w14:solidFill>
                </w14:textFill>
              </w:rPr>
            </w:pPr>
          </w:p>
        </w:tc>
        <w:tc>
          <w:tcPr>
            <w:tcW w:w="1318" w:type="dxa"/>
            <w:tcBorders>
              <w:top w:val="single" w:color="000000" w:sz="6" w:space="0"/>
              <w:left w:val="single" w:color="000000" w:sz="6" w:space="0"/>
              <w:right w:val="single" w:color="000000" w:sz="6" w:space="0"/>
            </w:tcBorders>
            <w:vAlign w:val="center"/>
          </w:tcPr>
          <w:p w14:paraId="02A239B4">
            <w:pPr>
              <w:ind w:firstLine="400"/>
              <w:jc w:val="center"/>
              <w:rPr>
                <w:rFonts w:ascii="仿宋_GB2312"/>
                <w:color w:val="000000" w:themeColor="text1"/>
                <w:sz w:val="20"/>
                <w14:textFill>
                  <w14:solidFill>
                    <w14:schemeClr w14:val="tx1"/>
                  </w14:solidFill>
                </w14:textFill>
              </w:rPr>
            </w:pPr>
          </w:p>
        </w:tc>
        <w:tc>
          <w:tcPr>
            <w:tcW w:w="1400" w:type="dxa"/>
            <w:gridSpan w:val="2"/>
            <w:tcBorders>
              <w:top w:val="single" w:color="000000" w:sz="6" w:space="0"/>
              <w:left w:val="single" w:color="000000" w:sz="6" w:space="0"/>
            </w:tcBorders>
            <w:vAlign w:val="center"/>
          </w:tcPr>
          <w:p w14:paraId="439F6D66">
            <w:pPr>
              <w:ind w:firstLine="400"/>
              <w:jc w:val="center"/>
              <w:rPr>
                <w:rFonts w:ascii="仿宋_GB2312"/>
                <w:color w:val="000000" w:themeColor="text1"/>
                <w:sz w:val="20"/>
                <w14:textFill>
                  <w14:solidFill>
                    <w14:schemeClr w14:val="tx1"/>
                  </w14:solidFill>
                </w14:textFill>
              </w:rPr>
            </w:pPr>
          </w:p>
        </w:tc>
      </w:tr>
    </w:tbl>
    <w:p w14:paraId="75E7104A">
      <w:pPr>
        <w:ind w:firstLine="560"/>
        <w:rPr>
          <w:rFonts w:ascii="仿宋_GB2312"/>
          <w:color w:val="000000" w:themeColor="text1"/>
          <w14:textFill>
            <w14:solidFill>
              <w14:schemeClr w14:val="tx1"/>
            </w14:solidFill>
          </w14:textFill>
        </w:rPr>
      </w:pPr>
      <w:r>
        <w:rPr>
          <w:rFonts w:hint="eastAsia" w:ascii="仿宋_GB2312"/>
          <w:color w:val="000000" w:themeColor="text1"/>
          <w14:textFill>
            <w14:solidFill>
              <w14:schemeClr w14:val="tx1"/>
            </w14:solidFill>
          </w14:textFill>
        </w:rPr>
        <w:t>注：其他项目管理机构成员简况表均参考本表。</w:t>
      </w:r>
    </w:p>
    <w:p w14:paraId="7C5D5DDC">
      <w:pPr>
        <w:ind w:firstLine="6235" w:firstLineChars="2227"/>
        <w:rPr>
          <w:rFonts w:ascii="仿宋_GB2312" w:hAnsi="宋体" w:cs="宋体"/>
          <w:color w:val="000000" w:themeColor="text1"/>
          <w:szCs w:val="28"/>
          <w14:textFill>
            <w14:solidFill>
              <w14:schemeClr w14:val="tx1"/>
            </w14:solidFill>
          </w14:textFill>
        </w:rPr>
      </w:pPr>
      <w:r>
        <w:rPr>
          <w:rFonts w:hint="eastAsia" w:ascii="仿宋_GB2312" w:hAnsi="宋体" w:cs="宋体"/>
          <w:color w:val="000000" w:themeColor="text1"/>
          <w:szCs w:val="28"/>
          <w14:textFill>
            <w14:solidFill>
              <w14:schemeClr w14:val="tx1"/>
            </w14:solidFill>
          </w14:textFill>
        </w:rPr>
        <w:t>报价供应商(盖章):</w:t>
      </w:r>
    </w:p>
    <w:p w14:paraId="7F0DBEDF">
      <w:pPr>
        <w:ind w:firstLine="6235" w:firstLineChars="2227"/>
        <w:rPr>
          <w:rFonts w:ascii="仿宋_GB2312" w:hAnsi="宋体" w:cs="宋体"/>
          <w:color w:val="000000" w:themeColor="text1"/>
          <w:szCs w:val="28"/>
          <w14:textFill>
            <w14:solidFill>
              <w14:schemeClr w14:val="tx1"/>
            </w14:solidFill>
          </w14:textFill>
        </w:rPr>
      </w:pPr>
      <w:r>
        <w:rPr>
          <w:rFonts w:hint="eastAsia" w:ascii="仿宋_GB2312" w:hAnsi="宋体" w:cs="宋体"/>
          <w:color w:val="000000" w:themeColor="text1"/>
          <w:szCs w:val="28"/>
          <w14:textFill>
            <w14:solidFill>
              <w14:schemeClr w14:val="tx1"/>
            </w14:solidFill>
          </w14:textFill>
        </w:rPr>
        <w:t>法定代表人签章:</w:t>
      </w:r>
    </w:p>
    <w:p w14:paraId="590532E0">
      <w:pPr>
        <w:widowControl/>
        <w:spacing w:line="240" w:lineRule="auto"/>
        <w:ind w:firstLine="0" w:firstLineChars="0"/>
        <w:jc w:val="left"/>
        <w:rPr>
          <w:rFonts w:ascii="仿宋_GB2312" w:hAnsi="宋体"/>
          <w:color w:val="000000" w:themeColor="text1"/>
          <w:sz w:val="22"/>
          <w:szCs w:val="28"/>
          <w14:textFill>
            <w14:solidFill>
              <w14:schemeClr w14:val="tx1"/>
            </w14:solidFill>
          </w14:textFill>
        </w:rPr>
      </w:pPr>
      <w:r>
        <w:rPr>
          <w:rFonts w:ascii="仿宋_GB2312" w:hAnsi="宋体"/>
          <w:color w:val="000000" w:themeColor="text1"/>
          <w:sz w:val="22"/>
          <w:szCs w:val="28"/>
          <w14:textFill>
            <w14:solidFill>
              <w14:schemeClr w14:val="tx1"/>
            </w14:solidFill>
          </w14:textFill>
        </w:rPr>
        <w:br w:type="page"/>
      </w:r>
    </w:p>
    <w:p w14:paraId="073DCF39">
      <w:pPr>
        <w:ind w:firstLine="640"/>
        <w:jc w:val="center"/>
        <w:rPr>
          <w:rFonts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供应商基本情况表</w:t>
      </w:r>
    </w:p>
    <w:tbl>
      <w:tblPr>
        <w:tblStyle w:val="4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576"/>
        <w:gridCol w:w="1673"/>
        <w:gridCol w:w="576"/>
        <w:gridCol w:w="1115"/>
        <w:gridCol w:w="576"/>
        <w:gridCol w:w="668"/>
        <w:gridCol w:w="1581"/>
        <w:gridCol w:w="47"/>
        <w:gridCol w:w="512"/>
        <w:gridCol w:w="2083"/>
      </w:tblGrid>
      <w:tr w14:paraId="1F59E4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96" w:hRule="atLeast"/>
          <w:jc w:val="center"/>
        </w:trPr>
        <w:tc>
          <w:tcPr>
            <w:tcW w:w="2249" w:type="dxa"/>
            <w:gridSpan w:val="2"/>
            <w:vAlign w:val="center"/>
          </w:tcPr>
          <w:p w14:paraId="413D2DD0">
            <w:pPr>
              <w:ind w:firstLine="480"/>
              <w:rPr>
                <w:rFonts w:ascii="仿宋_GB2312" w:hAnsi="仿宋"/>
                <w:color w:val="000000" w:themeColor="text1"/>
                <w:sz w:val="24"/>
                <w:szCs w:val="24"/>
                <w14:textFill>
                  <w14:solidFill>
                    <w14:schemeClr w14:val="tx1"/>
                  </w14:solidFill>
                </w14:textFill>
              </w:rPr>
            </w:pPr>
            <w:r>
              <w:rPr>
                <w:rFonts w:hint="eastAsia" w:ascii="仿宋_GB2312" w:hAnsi="仿宋"/>
                <w:color w:val="000000" w:themeColor="text1"/>
                <w:sz w:val="24"/>
                <w:szCs w:val="24"/>
                <w14:textFill>
                  <w14:solidFill>
                    <w14:schemeClr w14:val="tx1"/>
                  </w14:solidFill>
                </w14:textFill>
              </w:rPr>
              <w:t>单位名称</w:t>
            </w:r>
          </w:p>
        </w:tc>
        <w:tc>
          <w:tcPr>
            <w:tcW w:w="2935" w:type="dxa"/>
            <w:gridSpan w:val="4"/>
            <w:vAlign w:val="center"/>
          </w:tcPr>
          <w:p w14:paraId="7BD7C50C">
            <w:pPr>
              <w:ind w:firstLine="480"/>
              <w:rPr>
                <w:rFonts w:ascii="仿宋_GB2312" w:hAnsi="仿宋"/>
                <w:color w:val="000000" w:themeColor="text1"/>
                <w:sz w:val="24"/>
                <w:szCs w:val="24"/>
                <w14:textFill>
                  <w14:solidFill>
                    <w14:schemeClr w14:val="tx1"/>
                  </w14:solidFill>
                </w14:textFill>
              </w:rPr>
            </w:pPr>
          </w:p>
        </w:tc>
        <w:tc>
          <w:tcPr>
            <w:tcW w:w="2140" w:type="dxa"/>
            <w:gridSpan w:val="3"/>
            <w:vAlign w:val="center"/>
          </w:tcPr>
          <w:p w14:paraId="22C7031E">
            <w:pPr>
              <w:ind w:firstLine="480"/>
              <w:rPr>
                <w:rFonts w:ascii="仿宋_GB2312" w:hAnsi="仿宋"/>
                <w:color w:val="000000" w:themeColor="text1"/>
                <w:sz w:val="24"/>
                <w:szCs w:val="24"/>
                <w14:textFill>
                  <w14:solidFill>
                    <w14:schemeClr w14:val="tx1"/>
                  </w14:solidFill>
                </w14:textFill>
              </w:rPr>
            </w:pPr>
            <w:r>
              <w:rPr>
                <w:rFonts w:hint="eastAsia" w:ascii="仿宋_GB2312" w:hAnsi="仿宋"/>
                <w:color w:val="000000" w:themeColor="text1"/>
                <w:sz w:val="24"/>
                <w:szCs w:val="24"/>
                <w14:textFill>
                  <w14:solidFill>
                    <w14:schemeClr w14:val="tx1"/>
                  </w14:solidFill>
                </w14:textFill>
              </w:rPr>
              <w:t>地址</w:t>
            </w:r>
          </w:p>
        </w:tc>
        <w:tc>
          <w:tcPr>
            <w:tcW w:w="2082" w:type="dxa"/>
            <w:vAlign w:val="center"/>
          </w:tcPr>
          <w:p w14:paraId="4ABF0D7D">
            <w:pPr>
              <w:ind w:firstLine="480"/>
              <w:rPr>
                <w:rFonts w:ascii="仿宋_GB2312" w:hAnsi="仿宋"/>
                <w:color w:val="000000" w:themeColor="text1"/>
                <w:sz w:val="24"/>
                <w:szCs w:val="24"/>
                <w14:textFill>
                  <w14:solidFill>
                    <w14:schemeClr w14:val="tx1"/>
                  </w14:solidFill>
                </w14:textFill>
              </w:rPr>
            </w:pPr>
          </w:p>
        </w:tc>
      </w:tr>
      <w:tr w14:paraId="006904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96" w:hRule="atLeast"/>
          <w:jc w:val="center"/>
        </w:trPr>
        <w:tc>
          <w:tcPr>
            <w:tcW w:w="2249" w:type="dxa"/>
            <w:gridSpan w:val="2"/>
            <w:vAlign w:val="center"/>
          </w:tcPr>
          <w:p w14:paraId="7A2B3588">
            <w:pPr>
              <w:ind w:firstLine="480"/>
              <w:rPr>
                <w:rFonts w:ascii="仿宋_GB2312" w:hAnsi="仿宋"/>
                <w:color w:val="000000" w:themeColor="text1"/>
                <w:sz w:val="24"/>
                <w:szCs w:val="24"/>
                <w14:textFill>
                  <w14:solidFill>
                    <w14:schemeClr w14:val="tx1"/>
                  </w14:solidFill>
                </w14:textFill>
              </w:rPr>
            </w:pPr>
            <w:r>
              <w:rPr>
                <w:rFonts w:hint="eastAsia" w:ascii="仿宋_GB2312" w:hAnsi="仿宋"/>
                <w:color w:val="000000" w:themeColor="text1"/>
                <w:sz w:val="24"/>
                <w:szCs w:val="24"/>
                <w14:textFill>
                  <w14:solidFill>
                    <w14:schemeClr w14:val="tx1"/>
                  </w14:solidFill>
                </w14:textFill>
              </w:rPr>
              <w:t>办公电话/传真</w:t>
            </w:r>
          </w:p>
        </w:tc>
        <w:tc>
          <w:tcPr>
            <w:tcW w:w="2935" w:type="dxa"/>
            <w:gridSpan w:val="4"/>
            <w:vAlign w:val="center"/>
          </w:tcPr>
          <w:p w14:paraId="159933F6">
            <w:pPr>
              <w:ind w:firstLine="480"/>
              <w:rPr>
                <w:rFonts w:ascii="仿宋_GB2312" w:hAnsi="仿宋"/>
                <w:color w:val="000000" w:themeColor="text1"/>
                <w:sz w:val="24"/>
                <w:szCs w:val="24"/>
                <w14:textFill>
                  <w14:solidFill>
                    <w14:schemeClr w14:val="tx1"/>
                  </w14:solidFill>
                </w14:textFill>
              </w:rPr>
            </w:pPr>
          </w:p>
        </w:tc>
        <w:tc>
          <w:tcPr>
            <w:tcW w:w="2140" w:type="dxa"/>
            <w:gridSpan w:val="3"/>
            <w:vAlign w:val="center"/>
          </w:tcPr>
          <w:p w14:paraId="63411B73">
            <w:pPr>
              <w:ind w:firstLine="480"/>
              <w:rPr>
                <w:rFonts w:ascii="仿宋_GB2312" w:hAnsi="仿宋"/>
                <w:color w:val="000000" w:themeColor="text1"/>
                <w:sz w:val="24"/>
                <w:szCs w:val="24"/>
                <w14:textFill>
                  <w14:solidFill>
                    <w14:schemeClr w14:val="tx1"/>
                  </w14:solidFill>
                </w14:textFill>
              </w:rPr>
            </w:pPr>
            <w:r>
              <w:rPr>
                <w:rFonts w:hint="eastAsia" w:ascii="仿宋_GB2312" w:hAnsi="仿宋"/>
                <w:color w:val="000000" w:themeColor="text1"/>
                <w:sz w:val="24"/>
                <w:szCs w:val="24"/>
                <w14:textFill>
                  <w14:solidFill>
                    <w14:schemeClr w14:val="tx1"/>
                  </w14:solidFill>
                </w14:textFill>
              </w:rPr>
              <w:t>联系人</w:t>
            </w:r>
          </w:p>
        </w:tc>
        <w:tc>
          <w:tcPr>
            <w:tcW w:w="2082" w:type="dxa"/>
            <w:vAlign w:val="center"/>
          </w:tcPr>
          <w:p w14:paraId="77FB2DBE">
            <w:pPr>
              <w:ind w:firstLine="480"/>
              <w:rPr>
                <w:rFonts w:ascii="仿宋_GB2312" w:hAnsi="仿宋"/>
                <w:color w:val="000000" w:themeColor="text1"/>
                <w:sz w:val="24"/>
                <w:szCs w:val="24"/>
                <w14:textFill>
                  <w14:solidFill>
                    <w14:schemeClr w14:val="tx1"/>
                  </w14:solidFill>
                </w14:textFill>
              </w:rPr>
            </w:pPr>
          </w:p>
        </w:tc>
      </w:tr>
      <w:tr w14:paraId="227682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96" w:hRule="atLeast"/>
          <w:jc w:val="center"/>
        </w:trPr>
        <w:tc>
          <w:tcPr>
            <w:tcW w:w="2249" w:type="dxa"/>
            <w:gridSpan w:val="2"/>
            <w:vAlign w:val="center"/>
          </w:tcPr>
          <w:p w14:paraId="5ACC96E2">
            <w:pPr>
              <w:ind w:firstLine="480"/>
              <w:rPr>
                <w:rFonts w:ascii="仿宋_GB2312" w:hAnsi="仿宋"/>
                <w:color w:val="000000" w:themeColor="text1"/>
                <w:sz w:val="24"/>
                <w:szCs w:val="24"/>
                <w14:textFill>
                  <w14:solidFill>
                    <w14:schemeClr w14:val="tx1"/>
                  </w14:solidFill>
                </w14:textFill>
              </w:rPr>
            </w:pPr>
            <w:r>
              <w:rPr>
                <w:rFonts w:hint="eastAsia" w:ascii="仿宋_GB2312" w:hAnsi="仿宋"/>
                <w:color w:val="000000" w:themeColor="text1"/>
                <w:sz w:val="24"/>
                <w:szCs w:val="24"/>
                <w14:textFill>
                  <w14:solidFill>
                    <w14:schemeClr w14:val="tx1"/>
                  </w14:solidFill>
                </w14:textFill>
              </w:rPr>
              <w:t>所属/主管部门</w:t>
            </w:r>
          </w:p>
        </w:tc>
        <w:tc>
          <w:tcPr>
            <w:tcW w:w="7157" w:type="dxa"/>
            <w:gridSpan w:val="8"/>
            <w:vAlign w:val="center"/>
          </w:tcPr>
          <w:p w14:paraId="54DFB9E5">
            <w:pPr>
              <w:ind w:firstLine="480"/>
              <w:rPr>
                <w:rFonts w:ascii="仿宋_GB2312" w:hAnsi="仿宋"/>
                <w:color w:val="000000" w:themeColor="text1"/>
                <w:sz w:val="24"/>
                <w:szCs w:val="24"/>
                <w14:textFill>
                  <w14:solidFill>
                    <w14:schemeClr w14:val="tx1"/>
                  </w14:solidFill>
                </w14:textFill>
              </w:rPr>
            </w:pPr>
          </w:p>
        </w:tc>
      </w:tr>
      <w:tr w14:paraId="6F9842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96" w:hRule="atLeast"/>
          <w:jc w:val="center"/>
        </w:trPr>
        <w:tc>
          <w:tcPr>
            <w:tcW w:w="2249" w:type="dxa"/>
            <w:gridSpan w:val="2"/>
            <w:vAlign w:val="center"/>
          </w:tcPr>
          <w:p w14:paraId="6D8B5152">
            <w:pPr>
              <w:ind w:firstLine="480"/>
              <w:rPr>
                <w:rFonts w:ascii="仿宋_GB2312" w:hAnsi="仿宋"/>
                <w:color w:val="000000" w:themeColor="text1"/>
                <w:sz w:val="24"/>
                <w:szCs w:val="24"/>
                <w14:textFill>
                  <w14:solidFill>
                    <w14:schemeClr w14:val="tx1"/>
                  </w14:solidFill>
                </w14:textFill>
              </w:rPr>
            </w:pPr>
            <w:r>
              <w:rPr>
                <w:rFonts w:hint="eastAsia" w:ascii="仿宋_GB2312" w:hAnsi="仿宋"/>
                <w:color w:val="000000" w:themeColor="text1"/>
                <w:sz w:val="24"/>
                <w:szCs w:val="24"/>
                <w14:textFill>
                  <w14:solidFill>
                    <w14:schemeClr w14:val="tx1"/>
                  </w14:solidFill>
                </w14:textFill>
              </w:rPr>
              <w:t>总经理</w:t>
            </w:r>
          </w:p>
        </w:tc>
        <w:tc>
          <w:tcPr>
            <w:tcW w:w="1691" w:type="dxa"/>
            <w:gridSpan w:val="2"/>
            <w:vAlign w:val="center"/>
          </w:tcPr>
          <w:p w14:paraId="6B78B939">
            <w:pPr>
              <w:ind w:firstLine="480"/>
              <w:rPr>
                <w:rFonts w:ascii="仿宋_GB2312" w:hAnsi="仿宋"/>
                <w:color w:val="000000" w:themeColor="text1"/>
                <w:sz w:val="24"/>
                <w:szCs w:val="24"/>
                <w14:textFill>
                  <w14:solidFill>
                    <w14:schemeClr w14:val="tx1"/>
                  </w14:solidFill>
                </w14:textFill>
              </w:rPr>
            </w:pPr>
          </w:p>
        </w:tc>
        <w:tc>
          <w:tcPr>
            <w:tcW w:w="2872" w:type="dxa"/>
            <w:gridSpan w:val="4"/>
            <w:vAlign w:val="center"/>
          </w:tcPr>
          <w:p w14:paraId="1BEB8BF2">
            <w:pPr>
              <w:ind w:firstLine="480"/>
              <w:rPr>
                <w:rFonts w:ascii="仿宋_GB2312" w:hAnsi="仿宋"/>
                <w:color w:val="000000" w:themeColor="text1"/>
                <w:sz w:val="24"/>
                <w:szCs w:val="24"/>
                <w14:textFill>
                  <w14:solidFill>
                    <w14:schemeClr w14:val="tx1"/>
                  </w14:solidFill>
                </w14:textFill>
              </w:rPr>
            </w:pPr>
            <w:r>
              <w:rPr>
                <w:rFonts w:hint="eastAsia" w:ascii="仿宋_GB2312" w:hAnsi="仿宋"/>
                <w:color w:val="000000" w:themeColor="text1"/>
                <w:sz w:val="24"/>
                <w:szCs w:val="24"/>
                <w14:textFill>
                  <w14:solidFill>
                    <w14:schemeClr w14:val="tx1"/>
                  </w14:solidFill>
                </w14:textFill>
              </w:rPr>
              <w:t>固定办公面积（平米）</w:t>
            </w:r>
          </w:p>
        </w:tc>
        <w:tc>
          <w:tcPr>
            <w:tcW w:w="2593" w:type="dxa"/>
            <w:gridSpan w:val="2"/>
            <w:vAlign w:val="center"/>
          </w:tcPr>
          <w:p w14:paraId="0CEBB810">
            <w:pPr>
              <w:ind w:firstLine="480"/>
              <w:rPr>
                <w:rFonts w:ascii="仿宋_GB2312" w:hAnsi="仿宋"/>
                <w:color w:val="000000" w:themeColor="text1"/>
                <w:sz w:val="24"/>
                <w:szCs w:val="24"/>
                <w14:textFill>
                  <w14:solidFill>
                    <w14:schemeClr w14:val="tx1"/>
                  </w14:solidFill>
                </w14:textFill>
              </w:rPr>
            </w:pPr>
          </w:p>
        </w:tc>
      </w:tr>
      <w:tr w14:paraId="7F9026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96" w:hRule="atLeast"/>
          <w:jc w:val="center"/>
        </w:trPr>
        <w:tc>
          <w:tcPr>
            <w:tcW w:w="576" w:type="dxa"/>
            <w:vMerge w:val="restart"/>
            <w:vAlign w:val="center"/>
          </w:tcPr>
          <w:p w14:paraId="549DCC4D">
            <w:pPr>
              <w:ind w:firstLine="0" w:firstLineChars="0"/>
              <w:rPr>
                <w:rFonts w:ascii="仿宋_GB2312" w:hAnsi="仿宋"/>
                <w:color w:val="000000" w:themeColor="text1"/>
                <w:sz w:val="24"/>
                <w:szCs w:val="24"/>
                <w14:textFill>
                  <w14:solidFill>
                    <w14:schemeClr w14:val="tx1"/>
                  </w14:solidFill>
                </w14:textFill>
              </w:rPr>
            </w:pPr>
            <w:r>
              <w:rPr>
                <w:rFonts w:hint="eastAsia" w:ascii="仿宋_GB2312" w:hAnsi="仿宋"/>
                <w:color w:val="000000" w:themeColor="text1"/>
                <w:sz w:val="24"/>
                <w:szCs w:val="24"/>
                <w14:textFill>
                  <w14:solidFill>
                    <w14:schemeClr w14:val="tx1"/>
                  </w14:solidFill>
                </w14:textFill>
              </w:rPr>
              <w:t>注册情况</w:t>
            </w:r>
          </w:p>
        </w:tc>
        <w:tc>
          <w:tcPr>
            <w:tcW w:w="2249" w:type="dxa"/>
            <w:gridSpan w:val="2"/>
            <w:vAlign w:val="center"/>
          </w:tcPr>
          <w:p w14:paraId="425D8699">
            <w:pPr>
              <w:ind w:firstLine="480"/>
              <w:rPr>
                <w:rFonts w:ascii="仿宋_GB2312" w:hAnsi="仿宋"/>
                <w:color w:val="000000" w:themeColor="text1"/>
                <w:sz w:val="24"/>
                <w:szCs w:val="24"/>
                <w14:textFill>
                  <w14:solidFill>
                    <w14:schemeClr w14:val="tx1"/>
                  </w14:solidFill>
                </w14:textFill>
              </w:rPr>
            </w:pPr>
            <w:r>
              <w:rPr>
                <w:rFonts w:hint="eastAsia" w:ascii="仿宋_GB2312" w:hAnsi="仿宋"/>
                <w:color w:val="000000" w:themeColor="text1"/>
                <w:sz w:val="24"/>
                <w:szCs w:val="24"/>
                <w14:textFill>
                  <w14:solidFill>
                    <w14:schemeClr w14:val="tx1"/>
                  </w14:solidFill>
                </w14:textFill>
              </w:rPr>
              <w:t>工商注册号</w:t>
            </w:r>
          </w:p>
        </w:tc>
        <w:tc>
          <w:tcPr>
            <w:tcW w:w="6581" w:type="dxa"/>
            <w:gridSpan w:val="7"/>
            <w:vAlign w:val="center"/>
          </w:tcPr>
          <w:p w14:paraId="468B57FE">
            <w:pPr>
              <w:ind w:firstLine="480"/>
              <w:rPr>
                <w:rFonts w:ascii="仿宋_GB2312" w:hAnsi="仿宋"/>
                <w:color w:val="000000" w:themeColor="text1"/>
                <w:sz w:val="24"/>
                <w:szCs w:val="24"/>
                <w14:textFill>
                  <w14:solidFill>
                    <w14:schemeClr w14:val="tx1"/>
                  </w14:solidFill>
                </w14:textFill>
              </w:rPr>
            </w:pPr>
          </w:p>
        </w:tc>
      </w:tr>
      <w:tr w14:paraId="4E5C5A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96" w:hRule="atLeast"/>
          <w:jc w:val="center"/>
        </w:trPr>
        <w:tc>
          <w:tcPr>
            <w:tcW w:w="576" w:type="dxa"/>
            <w:vMerge w:val="continue"/>
            <w:textDirection w:val="tbRlV"/>
            <w:vAlign w:val="center"/>
          </w:tcPr>
          <w:p w14:paraId="07A4C58A">
            <w:pPr>
              <w:ind w:firstLine="480"/>
              <w:rPr>
                <w:rFonts w:ascii="仿宋_GB2312" w:hAnsi="仿宋"/>
                <w:color w:val="000000" w:themeColor="text1"/>
                <w:sz w:val="24"/>
                <w:szCs w:val="24"/>
                <w14:textFill>
                  <w14:solidFill>
                    <w14:schemeClr w14:val="tx1"/>
                  </w14:solidFill>
                </w14:textFill>
              </w:rPr>
            </w:pPr>
          </w:p>
        </w:tc>
        <w:tc>
          <w:tcPr>
            <w:tcW w:w="2249" w:type="dxa"/>
            <w:gridSpan w:val="2"/>
            <w:vAlign w:val="center"/>
          </w:tcPr>
          <w:p w14:paraId="4F6EDCBB">
            <w:pPr>
              <w:ind w:firstLine="480"/>
              <w:rPr>
                <w:rFonts w:ascii="仿宋_GB2312" w:hAnsi="仿宋"/>
                <w:color w:val="000000" w:themeColor="text1"/>
                <w:sz w:val="24"/>
                <w:szCs w:val="24"/>
                <w14:textFill>
                  <w14:solidFill>
                    <w14:schemeClr w14:val="tx1"/>
                  </w14:solidFill>
                </w14:textFill>
              </w:rPr>
            </w:pPr>
            <w:r>
              <w:rPr>
                <w:rFonts w:hint="eastAsia" w:ascii="仿宋_GB2312" w:hAnsi="仿宋"/>
                <w:color w:val="000000" w:themeColor="text1"/>
                <w:sz w:val="24"/>
                <w:szCs w:val="24"/>
                <w14:textFill>
                  <w14:solidFill>
                    <w14:schemeClr w14:val="tx1"/>
                  </w14:solidFill>
                </w14:textFill>
              </w:rPr>
              <w:t>注册资本（万元）</w:t>
            </w:r>
          </w:p>
        </w:tc>
        <w:tc>
          <w:tcPr>
            <w:tcW w:w="6581" w:type="dxa"/>
            <w:gridSpan w:val="7"/>
            <w:vAlign w:val="center"/>
          </w:tcPr>
          <w:p w14:paraId="741C082D">
            <w:pPr>
              <w:ind w:firstLine="480"/>
              <w:rPr>
                <w:rFonts w:ascii="仿宋_GB2312" w:hAnsi="仿宋"/>
                <w:color w:val="000000" w:themeColor="text1"/>
                <w:sz w:val="24"/>
                <w:szCs w:val="24"/>
                <w14:textFill>
                  <w14:solidFill>
                    <w14:schemeClr w14:val="tx1"/>
                  </w14:solidFill>
                </w14:textFill>
              </w:rPr>
            </w:pPr>
          </w:p>
        </w:tc>
      </w:tr>
      <w:tr w14:paraId="264B36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96" w:hRule="atLeast"/>
          <w:jc w:val="center"/>
        </w:trPr>
        <w:tc>
          <w:tcPr>
            <w:tcW w:w="576" w:type="dxa"/>
            <w:vMerge w:val="continue"/>
            <w:textDirection w:val="tbRlV"/>
            <w:vAlign w:val="center"/>
          </w:tcPr>
          <w:p w14:paraId="28C0A7A9">
            <w:pPr>
              <w:ind w:firstLine="480"/>
              <w:rPr>
                <w:rFonts w:ascii="仿宋_GB2312" w:hAnsi="仿宋"/>
                <w:color w:val="000000" w:themeColor="text1"/>
                <w:sz w:val="24"/>
                <w:szCs w:val="24"/>
                <w14:textFill>
                  <w14:solidFill>
                    <w14:schemeClr w14:val="tx1"/>
                  </w14:solidFill>
                </w14:textFill>
              </w:rPr>
            </w:pPr>
          </w:p>
        </w:tc>
        <w:tc>
          <w:tcPr>
            <w:tcW w:w="2249" w:type="dxa"/>
            <w:gridSpan w:val="2"/>
            <w:vAlign w:val="center"/>
          </w:tcPr>
          <w:p w14:paraId="180F8BC3">
            <w:pPr>
              <w:ind w:firstLine="480"/>
              <w:rPr>
                <w:rFonts w:ascii="仿宋_GB2312" w:hAnsi="仿宋"/>
                <w:color w:val="000000" w:themeColor="text1"/>
                <w:sz w:val="24"/>
                <w:szCs w:val="24"/>
                <w14:textFill>
                  <w14:solidFill>
                    <w14:schemeClr w14:val="tx1"/>
                  </w14:solidFill>
                </w14:textFill>
              </w:rPr>
            </w:pPr>
            <w:r>
              <w:rPr>
                <w:rFonts w:hint="eastAsia" w:ascii="仿宋_GB2312" w:hAnsi="仿宋"/>
                <w:color w:val="000000" w:themeColor="text1"/>
                <w:sz w:val="24"/>
                <w:szCs w:val="24"/>
                <w14:textFill>
                  <w14:solidFill>
                    <w14:schemeClr w14:val="tx1"/>
                  </w14:solidFill>
                </w14:textFill>
              </w:rPr>
              <w:t>法定代表人</w:t>
            </w:r>
          </w:p>
        </w:tc>
        <w:tc>
          <w:tcPr>
            <w:tcW w:w="1691" w:type="dxa"/>
            <w:gridSpan w:val="2"/>
            <w:vAlign w:val="center"/>
          </w:tcPr>
          <w:p w14:paraId="529EA6B8">
            <w:pPr>
              <w:ind w:firstLine="480"/>
              <w:rPr>
                <w:rFonts w:ascii="仿宋_GB2312" w:hAnsi="仿宋"/>
                <w:color w:val="000000" w:themeColor="text1"/>
                <w:sz w:val="24"/>
                <w:szCs w:val="24"/>
                <w14:textFill>
                  <w14:solidFill>
                    <w14:schemeClr w14:val="tx1"/>
                  </w14:solidFill>
                </w14:textFill>
              </w:rPr>
            </w:pPr>
          </w:p>
        </w:tc>
        <w:tc>
          <w:tcPr>
            <w:tcW w:w="2249" w:type="dxa"/>
            <w:gridSpan w:val="2"/>
            <w:vAlign w:val="center"/>
          </w:tcPr>
          <w:p w14:paraId="67F1B284">
            <w:pPr>
              <w:ind w:firstLine="480"/>
              <w:rPr>
                <w:rFonts w:ascii="仿宋_GB2312" w:hAnsi="仿宋"/>
                <w:color w:val="000000" w:themeColor="text1"/>
                <w:sz w:val="24"/>
                <w:szCs w:val="24"/>
                <w14:textFill>
                  <w14:solidFill>
                    <w14:schemeClr w14:val="tx1"/>
                  </w14:solidFill>
                </w14:textFill>
              </w:rPr>
            </w:pPr>
            <w:r>
              <w:rPr>
                <w:rFonts w:hint="eastAsia" w:ascii="仿宋_GB2312" w:hAnsi="仿宋"/>
                <w:color w:val="000000" w:themeColor="text1"/>
                <w:sz w:val="24"/>
                <w:szCs w:val="24"/>
                <w14:textFill>
                  <w14:solidFill>
                    <w14:schemeClr w14:val="tx1"/>
                  </w14:solidFill>
                </w14:textFill>
              </w:rPr>
              <w:t>单位类型</w:t>
            </w:r>
          </w:p>
        </w:tc>
        <w:tc>
          <w:tcPr>
            <w:tcW w:w="2640" w:type="dxa"/>
            <w:gridSpan w:val="3"/>
            <w:vAlign w:val="center"/>
          </w:tcPr>
          <w:p w14:paraId="255417E5">
            <w:pPr>
              <w:ind w:firstLine="480"/>
              <w:rPr>
                <w:rFonts w:ascii="仿宋_GB2312" w:hAnsi="仿宋"/>
                <w:color w:val="000000" w:themeColor="text1"/>
                <w:sz w:val="24"/>
                <w:szCs w:val="24"/>
                <w14:textFill>
                  <w14:solidFill>
                    <w14:schemeClr w14:val="tx1"/>
                  </w14:solidFill>
                </w14:textFill>
              </w:rPr>
            </w:pPr>
          </w:p>
        </w:tc>
      </w:tr>
      <w:tr w14:paraId="1DCD5D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96" w:hRule="atLeast"/>
          <w:jc w:val="center"/>
        </w:trPr>
        <w:tc>
          <w:tcPr>
            <w:tcW w:w="576" w:type="dxa"/>
            <w:vMerge w:val="continue"/>
            <w:textDirection w:val="tbRlV"/>
            <w:vAlign w:val="center"/>
          </w:tcPr>
          <w:p w14:paraId="543466BE">
            <w:pPr>
              <w:ind w:firstLine="480"/>
              <w:rPr>
                <w:rFonts w:ascii="仿宋_GB2312" w:hAnsi="仿宋"/>
                <w:color w:val="000000" w:themeColor="text1"/>
                <w:sz w:val="24"/>
                <w:szCs w:val="24"/>
                <w14:textFill>
                  <w14:solidFill>
                    <w14:schemeClr w14:val="tx1"/>
                  </w14:solidFill>
                </w14:textFill>
              </w:rPr>
            </w:pPr>
          </w:p>
        </w:tc>
        <w:tc>
          <w:tcPr>
            <w:tcW w:w="2249" w:type="dxa"/>
            <w:gridSpan w:val="2"/>
            <w:vAlign w:val="center"/>
          </w:tcPr>
          <w:p w14:paraId="6C4DF86D">
            <w:pPr>
              <w:ind w:firstLine="480"/>
              <w:rPr>
                <w:rFonts w:ascii="仿宋_GB2312" w:hAnsi="仿宋"/>
                <w:color w:val="000000" w:themeColor="text1"/>
                <w:sz w:val="24"/>
                <w:szCs w:val="24"/>
                <w14:textFill>
                  <w14:solidFill>
                    <w14:schemeClr w14:val="tx1"/>
                  </w14:solidFill>
                </w14:textFill>
              </w:rPr>
            </w:pPr>
            <w:r>
              <w:rPr>
                <w:rFonts w:hint="eastAsia" w:ascii="仿宋_GB2312" w:hAnsi="仿宋"/>
                <w:color w:val="000000" w:themeColor="text1"/>
                <w:sz w:val="24"/>
                <w:szCs w:val="24"/>
                <w14:textFill>
                  <w14:solidFill>
                    <w14:schemeClr w14:val="tx1"/>
                  </w14:solidFill>
                </w14:textFill>
              </w:rPr>
              <w:t>成立时间</w:t>
            </w:r>
          </w:p>
        </w:tc>
        <w:tc>
          <w:tcPr>
            <w:tcW w:w="1691" w:type="dxa"/>
            <w:gridSpan w:val="2"/>
            <w:vAlign w:val="center"/>
          </w:tcPr>
          <w:p w14:paraId="0CCD6B2E">
            <w:pPr>
              <w:ind w:firstLine="480"/>
              <w:rPr>
                <w:rFonts w:ascii="仿宋_GB2312" w:hAnsi="仿宋"/>
                <w:color w:val="000000" w:themeColor="text1"/>
                <w:sz w:val="24"/>
                <w:szCs w:val="24"/>
                <w14:textFill>
                  <w14:solidFill>
                    <w14:schemeClr w14:val="tx1"/>
                  </w14:solidFill>
                </w14:textFill>
              </w:rPr>
            </w:pPr>
          </w:p>
        </w:tc>
        <w:tc>
          <w:tcPr>
            <w:tcW w:w="2249" w:type="dxa"/>
            <w:gridSpan w:val="2"/>
            <w:vAlign w:val="center"/>
          </w:tcPr>
          <w:p w14:paraId="57DAE2C2">
            <w:pPr>
              <w:ind w:firstLine="480"/>
              <w:rPr>
                <w:rFonts w:ascii="仿宋_GB2312" w:hAnsi="仿宋"/>
                <w:color w:val="000000" w:themeColor="text1"/>
                <w:sz w:val="24"/>
                <w:szCs w:val="24"/>
                <w14:textFill>
                  <w14:solidFill>
                    <w14:schemeClr w14:val="tx1"/>
                  </w14:solidFill>
                </w14:textFill>
              </w:rPr>
            </w:pPr>
            <w:r>
              <w:rPr>
                <w:rFonts w:hint="eastAsia" w:ascii="仿宋_GB2312" w:hAnsi="仿宋"/>
                <w:color w:val="000000" w:themeColor="text1"/>
                <w:sz w:val="24"/>
                <w:szCs w:val="24"/>
                <w14:textFill>
                  <w14:solidFill>
                    <w14:schemeClr w14:val="tx1"/>
                  </w14:solidFill>
                </w14:textFill>
              </w:rPr>
              <w:t>营业期限</w:t>
            </w:r>
          </w:p>
        </w:tc>
        <w:tc>
          <w:tcPr>
            <w:tcW w:w="2640" w:type="dxa"/>
            <w:gridSpan w:val="3"/>
            <w:vAlign w:val="center"/>
          </w:tcPr>
          <w:p w14:paraId="79251298">
            <w:pPr>
              <w:ind w:firstLine="480"/>
              <w:rPr>
                <w:rFonts w:ascii="仿宋_GB2312" w:hAnsi="仿宋"/>
                <w:color w:val="000000" w:themeColor="text1"/>
                <w:sz w:val="24"/>
                <w:szCs w:val="24"/>
                <w14:textFill>
                  <w14:solidFill>
                    <w14:schemeClr w14:val="tx1"/>
                  </w14:solidFill>
                </w14:textFill>
              </w:rPr>
            </w:pPr>
          </w:p>
        </w:tc>
      </w:tr>
      <w:tr w14:paraId="69E8E0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96" w:hRule="atLeast"/>
          <w:jc w:val="center"/>
        </w:trPr>
        <w:tc>
          <w:tcPr>
            <w:tcW w:w="576" w:type="dxa"/>
            <w:vMerge w:val="continue"/>
            <w:textDirection w:val="tbRlV"/>
            <w:vAlign w:val="center"/>
          </w:tcPr>
          <w:p w14:paraId="0A60F5DB">
            <w:pPr>
              <w:ind w:firstLine="480"/>
              <w:rPr>
                <w:rFonts w:ascii="仿宋_GB2312" w:hAnsi="仿宋"/>
                <w:color w:val="000000" w:themeColor="text1"/>
                <w:sz w:val="24"/>
                <w:szCs w:val="24"/>
                <w14:textFill>
                  <w14:solidFill>
                    <w14:schemeClr w14:val="tx1"/>
                  </w14:solidFill>
                </w14:textFill>
              </w:rPr>
            </w:pPr>
          </w:p>
        </w:tc>
        <w:tc>
          <w:tcPr>
            <w:tcW w:w="2249" w:type="dxa"/>
            <w:gridSpan w:val="2"/>
            <w:vAlign w:val="center"/>
          </w:tcPr>
          <w:p w14:paraId="3E50B77C">
            <w:pPr>
              <w:ind w:firstLine="480"/>
              <w:rPr>
                <w:rFonts w:ascii="仿宋_GB2312" w:hAnsi="仿宋"/>
                <w:color w:val="000000" w:themeColor="text1"/>
                <w:sz w:val="24"/>
                <w:szCs w:val="24"/>
                <w14:textFill>
                  <w14:solidFill>
                    <w14:schemeClr w14:val="tx1"/>
                  </w14:solidFill>
                </w14:textFill>
              </w:rPr>
            </w:pPr>
            <w:r>
              <w:rPr>
                <w:rFonts w:hint="eastAsia" w:ascii="仿宋_GB2312" w:hAnsi="仿宋"/>
                <w:color w:val="000000" w:themeColor="text1"/>
                <w:sz w:val="24"/>
                <w:szCs w:val="24"/>
                <w14:textFill>
                  <w14:solidFill>
                    <w14:schemeClr w14:val="tx1"/>
                  </w14:solidFill>
                </w14:textFill>
              </w:rPr>
              <w:t>经营范围</w:t>
            </w:r>
          </w:p>
        </w:tc>
        <w:tc>
          <w:tcPr>
            <w:tcW w:w="6581" w:type="dxa"/>
            <w:gridSpan w:val="7"/>
            <w:vAlign w:val="center"/>
          </w:tcPr>
          <w:p w14:paraId="02E74BFF">
            <w:pPr>
              <w:ind w:firstLine="480"/>
              <w:rPr>
                <w:rFonts w:ascii="仿宋_GB2312" w:hAnsi="仿宋"/>
                <w:color w:val="000000" w:themeColor="text1"/>
                <w:sz w:val="24"/>
                <w:szCs w:val="24"/>
                <w14:textFill>
                  <w14:solidFill>
                    <w14:schemeClr w14:val="tx1"/>
                  </w14:solidFill>
                </w14:textFill>
              </w:rPr>
            </w:pPr>
          </w:p>
        </w:tc>
      </w:tr>
      <w:tr w14:paraId="232517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96" w:hRule="atLeast"/>
          <w:jc w:val="center"/>
        </w:trPr>
        <w:tc>
          <w:tcPr>
            <w:tcW w:w="9407" w:type="dxa"/>
            <w:gridSpan w:val="10"/>
            <w:vAlign w:val="center"/>
          </w:tcPr>
          <w:p w14:paraId="36492759">
            <w:pPr>
              <w:ind w:firstLine="480"/>
              <w:rPr>
                <w:rFonts w:ascii="仿宋_GB2312" w:hAnsi="仿宋"/>
                <w:color w:val="000000" w:themeColor="text1"/>
                <w:sz w:val="24"/>
                <w:szCs w:val="24"/>
                <w14:textFill>
                  <w14:solidFill>
                    <w14:schemeClr w14:val="tx1"/>
                  </w14:solidFill>
                </w14:textFill>
              </w:rPr>
            </w:pPr>
            <w:r>
              <w:rPr>
                <w:rFonts w:hint="eastAsia" w:ascii="仿宋_GB2312" w:hAnsi="仿宋"/>
                <w:color w:val="000000" w:themeColor="text1"/>
                <w:sz w:val="24"/>
                <w:szCs w:val="24"/>
                <w14:textFill>
                  <w14:solidFill>
                    <w14:schemeClr w14:val="tx1"/>
                  </w14:solidFill>
                </w14:textFill>
              </w:rPr>
              <w:t>报价供应商情况简介</w:t>
            </w:r>
          </w:p>
        </w:tc>
      </w:tr>
      <w:tr w14:paraId="33DDDA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4683" w:hRule="atLeast"/>
          <w:jc w:val="center"/>
        </w:trPr>
        <w:tc>
          <w:tcPr>
            <w:tcW w:w="9407" w:type="dxa"/>
            <w:gridSpan w:val="10"/>
          </w:tcPr>
          <w:p w14:paraId="027705C8">
            <w:pPr>
              <w:ind w:firstLine="480"/>
              <w:rPr>
                <w:rFonts w:ascii="仿宋_GB2312" w:hAnsi="仿宋"/>
                <w:color w:val="000000" w:themeColor="text1"/>
                <w:sz w:val="24"/>
                <w:szCs w:val="24"/>
                <w14:textFill>
                  <w14:solidFill>
                    <w14:schemeClr w14:val="tx1"/>
                  </w14:solidFill>
                </w14:textFill>
              </w:rPr>
            </w:pPr>
          </w:p>
        </w:tc>
      </w:tr>
    </w:tbl>
    <w:p w14:paraId="077B584D">
      <w:pPr>
        <w:ind w:firstLine="640"/>
        <w:jc w:val="right"/>
        <w:rPr>
          <w:rFonts w:ascii="仿宋_GB2312" w:hAnsi="仿宋"/>
          <w:color w:val="000000" w:themeColor="text1"/>
          <w:sz w:val="32"/>
          <w:szCs w:val="32"/>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报价供应商（盖章）：</w:t>
      </w:r>
    </w:p>
    <w:p w14:paraId="7A3571CB">
      <w:pPr>
        <w:ind w:firstLine="640"/>
        <w:jc w:val="right"/>
        <w:rPr>
          <w:rFonts w:ascii="仿宋_GB2312" w:hAnsi="仿宋"/>
          <w:color w:val="000000" w:themeColor="text1"/>
          <w:sz w:val="32"/>
          <w:szCs w:val="32"/>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法定代表人签章：</w:t>
      </w:r>
    </w:p>
    <w:p w14:paraId="2A33A721">
      <w:pPr>
        <w:widowControl/>
        <w:spacing w:line="240" w:lineRule="auto"/>
        <w:ind w:firstLine="0" w:firstLineChars="0"/>
        <w:jc w:val="left"/>
        <w:rPr>
          <w:rFonts w:ascii="仿宋_GB2312" w:hAnsi="宋体"/>
          <w:color w:val="000000" w:themeColor="text1"/>
          <w:sz w:val="22"/>
          <w:szCs w:val="28"/>
          <w14:textFill>
            <w14:solidFill>
              <w14:schemeClr w14:val="tx1"/>
            </w14:solidFill>
          </w14:textFill>
        </w:rPr>
      </w:pPr>
      <w:r>
        <w:rPr>
          <w:rFonts w:ascii="仿宋_GB2312" w:hAnsi="宋体"/>
          <w:color w:val="000000" w:themeColor="text1"/>
          <w:sz w:val="22"/>
          <w:szCs w:val="28"/>
          <w14:textFill>
            <w14:solidFill>
              <w14:schemeClr w14:val="tx1"/>
            </w14:solidFill>
          </w14:textFill>
        </w:rPr>
        <w:br w:type="page"/>
      </w:r>
    </w:p>
    <w:p w14:paraId="6EDAB4BF">
      <w:pPr>
        <w:ind w:firstLine="440"/>
        <w:jc w:val="right"/>
        <w:rPr>
          <w:rFonts w:ascii="宋体" w:hAnsi="宋体" w:cs="宋体"/>
          <w:color w:val="000000" w:themeColor="text1"/>
          <w:sz w:val="44"/>
          <w:szCs w:val="44"/>
          <w14:textFill>
            <w14:solidFill>
              <w14:schemeClr w14:val="tx1"/>
            </w14:solidFill>
          </w14:textFill>
        </w:rPr>
      </w:pPr>
      <w:r>
        <w:rPr>
          <w:rFonts w:hint="eastAsia" w:ascii="仿宋_GB2312" w:hAnsi="宋体"/>
          <w:color w:val="000000" w:themeColor="text1"/>
          <w:sz w:val="22"/>
          <w:szCs w:val="28"/>
          <w14:textFill>
            <w14:solidFill>
              <w14:schemeClr w14:val="tx1"/>
            </w14:solidFill>
          </w14:textFill>
        </w:rPr>
        <w:t>如中标（成交），随中标（成交）公告公示</w:t>
      </w:r>
    </w:p>
    <w:p w14:paraId="68FEF46C">
      <w:pPr>
        <w:ind w:firstLine="640"/>
        <w:jc w:val="center"/>
        <w:rPr>
          <w:rFonts w:ascii="黑体" w:hAnsi="黑体" w:eastAsia="黑体"/>
          <w:color w:val="000000" w:themeColor="text1"/>
          <w:sz w:val="32"/>
          <w:szCs w:val="32"/>
          <w14:textFill>
            <w14:solidFill>
              <w14:schemeClr w14:val="tx1"/>
            </w14:solidFill>
          </w14:textFill>
        </w:rPr>
      </w:pPr>
    </w:p>
    <w:p w14:paraId="2A93DEBC">
      <w:pPr>
        <w:ind w:firstLine="640"/>
        <w:rPr>
          <w:rFonts w:ascii="黑体" w:hAnsi="黑体" w:eastAsia="黑体"/>
          <w:color w:val="000000" w:themeColor="text1"/>
          <w:sz w:val="32"/>
          <w:szCs w:val="32"/>
          <w14:textFill>
            <w14:solidFill>
              <w14:schemeClr w14:val="tx1"/>
            </w14:solidFill>
          </w14:textFill>
        </w:rPr>
      </w:pPr>
    </w:p>
    <w:p w14:paraId="2596ADD3">
      <w:pPr>
        <w:ind w:firstLine="640"/>
        <w:jc w:val="center"/>
        <w:rPr>
          <w:rFonts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企业业绩情况表</w:t>
      </w:r>
    </w:p>
    <w:p w14:paraId="69046899">
      <w:pPr>
        <w:ind w:firstLine="522"/>
        <w:rPr>
          <w:b/>
          <w:color w:val="000000" w:themeColor="text1"/>
          <w:sz w:val="26"/>
          <w14:textFill>
            <w14:solidFill>
              <w14:schemeClr w14:val="tx1"/>
            </w14:solidFill>
          </w14:textFill>
        </w:rPr>
      </w:pPr>
    </w:p>
    <w:tbl>
      <w:tblPr>
        <w:tblStyle w:val="45"/>
        <w:tblW w:w="9752"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76"/>
        <w:gridCol w:w="976"/>
        <w:gridCol w:w="975"/>
        <w:gridCol w:w="975"/>
        <w:gridCol w:w="975"/>
        <w:gridCol w:w="975"/>
        <w:gridCol w:w="975"/>
        <w:gridCol w:w="975"/>
        <w:gridCol w:w="975"/>
        <w:gridCol w:w="975"/>
      </w:tblGrid>
      <w:tr w14:paraId="5DC40D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54" w:hRule="atLeast"/>
        </w:trPr>
        <w:tc>
          <w:tcPr>
            <w:tcW w:w="976" w:type="dxa"/>
            <w:vAlign w:val="center"/>
          </w:tcPr>
          <w:p w14:paraId="5E0B9E35">
            <w:pPr>
              <w:ind w:firstLine="400"/>
              <w:jc w:val="center"/>
              <w:rPr>
                <w:color w:val="000000" w:themeColor="text1"/>
                <w:sz w:val="20"/>
                <w14:textFill>
                  <w14:solidFill>
                    <w14:schemeClr w14:val="tx1"/>
                  </w14:solidFill>
                </w14:textFill>
              </w:rPr>
            </w:pPr>
            <w:r>
              <w:rPr>
                <w:rFonts w:hint="eastAsia" w:ascii="宋体" w:hAnsi="宋体" w:cs="宋体"/>
                <w:color w:val="000000" w:themeColor="text1"/>
                <w:sz w:val="20"/>
                <w14:textFill>
                  <w14:solidFill>
                    <w14:schemeClr w14:val="tx1"/>
                  </w14:solidFill>
                </w14:textFill>
              </w:rPr>
              <w:t>序号</w:t>
            </w:r>
          </w:p>
        </w:tc>
        <w:tc>
          <w:tcPr>
            <w:tcW w:w="976" w:type="dxa"/>
            <w:vAlign w:val="center"/>
          </w:tcPr>
          <w:p w14:paraId="538A9016">
            <w:pPr>
              <w:ind w:firstLine="400"/>
              <w:jc w:val="center"/>
              <w:rPr>
                <w:color w:val="000000" w:themeColor="text1"/>
                <w:sz w:val="20"/>
                <w14:textFill>
                  <w14:solidFill>
                    <w14:schemeClr w14:val="tx1"/>
                  </w14:solidFill>
                </w14:textFill>
              </w:rPr>
            </w:pPr>
            <w:r>
              <w:rPr>
                <w:rFonts w:hint="eastAsia" w:ascii="宋体" w:hAnsi="宋体" w:cs="宋体"/>
                <w:color w:val="000000" w:themeColor="text1"/>
                <w:sz w:val="20"/>
                <w14:textFill>
                  <w14:solidFill>
                    <w14:schemeClr w14:val="tx1"/>
                  </w14:solidFill>
                </w14:textFill>
              </w:rPr>
              <w:t>项目名称</w:t>
            </w:r>
          </w:p>
        </w:tc>
        <w:tc>
          <w:tcPr>
            <w:tcW w:w="975" w:type="dxa"/>
            <w:vAlign w:val="center"/>
          </w:tcPr>
          <w:p w14:paraId="5419773C">
            <w:pPr>
              <w:ind w:firstLine="400"/>
              <w:jc w:val="center"/>
              <w:rPr>
                <w:color w:val="000000" w:themeColor="text1"/>
                <w:sz w:val="20"/>
                <w14:textFill>
                  <w14:solidFill>
                    <w14:schemeClr w14:val="tx1"/>
                  </w14:solidFill>
                </w14:textFill>
              </w:rPr>
            </w:pPr>
            <w:r>
              <w:rPr>
                <w:rFonts w:hint="eastAsia" w:ascii="宋体" w:hAnsi="宋体" w:cs="宋体"/>
                <w:color w:val="000000" w:themeColor="text1"/>
                <w:sz w:val="20"/>
                <w14:textFill>
                  <w14:solidFill>
                    <w14:schemeClr w14:val="tx1"/>
                  </w14:solidFill>
                </w14:textFill>
              </w:rPr>
              <w:t>项目规模</w:t>
            </w:r>
          </w:p>
        </w:tc>
        <w:tc>
          <w:tcPr>
            <w:tcW w:w="975" w:type="dxa"/>
            <w:vAlign w:val="center"/>
          </w:tcPr>
          <w:p w14:paraId="4F8BD2E1">
            <w:pPr>
              <w:ind w:firstLine="400"/>
              <w:jc w:val="center"/>
              <w:rPr>
                <w:color w:val="000000" w:themeColor="text1"/>
                <w:sz w:val="20"/>
                <w14:textFill>
                  <w14:solidFill>
                    <w14:schemeClr w14:val="tx1"/>
                  </w14:solidFill>
                </w14:textFill>
              </w:rPr>
            </w:pPr>
            <w:r>
              <w:rPr>
                <w:rFonts w:hint="eastAsia" w:ascii="宋体" w:hAnsi="宋体" w:cs="宋体"/>
                <w:color w:val="000000" w:themeColor="text1"/>
                <w:sz w:val="20"/>
                <w14:textFill>
                  <w14:solidFill>
                    <w14:schemeClr w14:val="tx1"/>
                  </w14:solidFill>
                </w14:textFill>
              </w:rPr>
              <w:t>发包人名称</w:t>
            </w:r>
          </w:p>
        </w:tc>
        <w:tc>
          <w:tcPr>
            <w:tcW w:w="975" w:type="dxa"/>
            <w:vAlign w:val="center"/>
          </w:tcPr>
          <w:p w14:paraId="6FF2F299">
            <w:pPr>
              <w:ind w:firstLine="400"/>
              <w:jc w:val="center"/>
              <w:rPr>
                <w:color w:val="000000" w:themeColor="text1"/>
                <w:sz w:val="20"/>
                <w14:textFill>
                  <w14:solidFill>
                    <w14:schemeClr w14:val="tx1"/>
                  </w14:solidFill>
                </w14:textFill>
              </w:rPr>
            </w:pPr>
            <w:r>
              <w:rPr>
                <w:rFonts w:hint="eastAsia" w:ascii="宋体" w:hAnsi="宋体" w:cs="宋体"/>
                <w:color w:val="000000" w:themeColor="text1"/>
                <w:sz w:val="20"/>
                <w14:textFill>
                  <w14:solidFill>
                    <w14:schemeClr w14:val="tx1"/>
                  </w14:solidFill>
                </w14:textFill>
              </w:rPr>
              <w:t>发包人联系人及电话</w:t>
            </w:r>
          </w:p>
        </w:tc>
        <w:tc>
          <w:tcPr>
            <w:tcW w:w="975" w:type="dxa"/>
            <w:vAlign w:val="center"/>
          </w:tcPr>
          <w:p w14:paraId="371B3C1D">
            <w:pPr>
              <w:ind w:firstLine="400"/>
              <w:jc w:val="center"/>
              <w:rPr>
                <w:color w:val="000000" w:themeColor="text1"/>
                <w:sz w:val="20"/>
                <w14:textFill>
                  <w14:solidFill>
                    <w14:schemeClr w14:val="tx1"/>
                  </w14:solidFill>
                </w14:textFill>
              </w:rPr>
            </w:pPr>
            <w:r>
              <w:rPr>
                <w:rFonts w:hint="eastAsia" w:ascii="宋体" w:hAnsi="宋体" w:cs="宋体"/>
                <w:color w:val="000000" w:themeColor="text1"/>
                <w:sz w:val="20"/>
                <w14:textFill>
                  <w14:solidFill>
                    <w14:schemeClr w14:val="tx1"/>
                  </w14:solidFill>
                </w14:textFill>
              </w:rPr>
              <w:t>合同价格</w:t>
            </w:r>
          </w:p>
        </w:tc>
        <w:tc>
          <w:tcPr>
            <w:tcW w:w="975" w:type="dxa"/>
            <w:vAlign w:val="center"/>
          </w:tcPr>
          <w:p w14:paraId="2D27DCF8">
            <w:pPr>
              <w:ind w:firstLine="400"/>
              <w:jc w:val="center"/>
              <w:rPr>
                <w:color w:val="000000" w:themeColor="text1"/>
                <w:sz w:val="20"/>
                <w14:textFill>
                  <w14:solidFill>
                    <w14:schemeClr w14:val="tx1"/>
                  </w14:solidFill>
                </w14:textFill>
              </w:rPr>
            </w:pPr>
            <w:r>
              <w:rPr>
                <w:rFonts w:hint="eastAsia" w:ascii="宋体" w:hAnsi="宋体" w:cs="宋体"/>
                <w:color w:val="000000" w:themeColor="text1"/>
                <w:sz w:val="20"/>
                <w14:textFill>
                  <w14:solidFill>
                    <w14:schemeClr w14:val="tx1"/>
                  </w14:solidFill>
                </w14:textFill>
              </w:rPr>
              <w:t>开、竣工日期</w:t>
            </w:r>
          </w:p>
        </w:tc>
        <w:tc>
          <w:tcPr>
            <w:tcW w:w="975" w:type="dxa"/>
            <w:vAlign w:val="center"/>
          </w:tcPr>
          <w:p w14:paraId="731B3673">
            <w:pPr>
              <w:ind w:firstLine="400"/>
              <w:jc w:val="center"/>
              <w:rPr>
                <w:color w:val="000000" w:themeColor="text1"/>
                <w:sz w:val="20"/>
                <w14:textFill>
                  <w14:solidFill>
                    <w14:schemeClr w14:val="tx1"/>
                  </w14:solidFill>
                </w14:textFill>
              </w:rPr>
            </w:pPr>
            <w:r>
              <w:rPr>
                <w:rFonts w:hint="eastAsia" w:ascii="宋体" w:hAnsi="宋体" w:cs="宋体"/>
                <w:color w:val="000000" w:themeColor="text1"/>
                <w:sz w:val="20"/>
                <w14:textFill>
                  <w14:solidFill>
                    <w14:schemeClr w14:val="tx1"/>
                  </w14:solidFill>
                </w14:textFill>
              </w:rPr>
              <w:t>工程质量</w:t>
            </w:r>
          </w:p>
        </w:tc>
        <w:tc>
          <w:tcPr>
            <w:tcW w:w="975" w:type="dxa"/>
            <w:vAlign w:val="center"/>
          </w:tcPr>
          <w:p w14:paraId="646D711A">
            <w:pPr>
              <w:ind w:firstLine="400"/>
              <w:jc w:val="center"/>
              <w:rPr>
                <w:color w:val="000000" w:themeColor="text1"/>
                <w:sz w:val="20"/>
                <w14:textFill>
                  <w14:solidFill>
                    <w14:schemeClr w14:val="tx1"/>
                  </w14:solidFill>
                </w14:textFill>
              </w:rPr>
            </w:pPr>
            <w:r>
              <w:rPr>
                <w:rFonts w:hint="eastAsia" w:ascii="宋体" w:hAnsi="宋体" w:cs="宋体"/>
                <w:color w:val="000000" w:themeColor="text1"/>
                <w:sz w:val="20"/>
                <w14:textFill>
                  <w14:solidFill>
                    <w14:schemeClr w14:val="tx1"/>
                  </w14:solidFill>
                </w14:textFill>
              </w:rPr>
              <w:t>项目经理</w:t>
            </w:r>
          </w:p>
        </w:tc>
        <w:tc>
          <w:tcPr>
            <w:tcW w:w="975" w:type="dxa"/>
            <w:vAlign w:val="center"/>
          </w:tcPr>
          <w:p w14:paraId="22374DDC">
            <w:pPr>
              <w:ind w:firstLine="400"/>
              <w:jc w:val="center"/>
              <w:rPr>
                <w:color w:val="000000" w:themeColor="text1"/>
                <w:sz w:val="20"/>
                <w14:textFill>
                  <w14:solidFill>
                    <w14:schemeClr w14:val="tx1"/>
                  </w14:solidFill>
                </w14:textFill>
              </w:rPr>
            </w:pPr>
            <w:r>
              <w:rPr>
                <w:rFonts w:hint="eastAsia" w:ascii="宋体" w:hAnsi="宋体" w:cs="宋体"/>
                <w:color w:val="000000" w:themeColor="text1"/>
                <w:sz w:val="20"/>
                <w14:textFill>
                  <w14:solidFill>
                    <w14:schemeClr w14:val="tx1"/>
                  </w14:solidFill>
                </w14:textFill>
              </w:rPr>
              <w:t>设计负责人</w:t>
            </w:r>
          </w:p>
        </w:tc>
      </w:tr>
      <w:tr w14:paraId="040DC1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0" w:hRule="atLeast"/>
        </w:trPr>
        <w:tc>
          <w:tcPr>
            <w:tcW w:w="976" w:type="dxa"/>
          </w:tcPr>
          <w:p w14:paraId="71115EFA">
            <w:pPr>
              <w:ind w:firstLine="381"/>
              <w:rPr>
                <w:b/>
                <w:color w:val="000000" w:themeColor="text1"/>
                <w:sz w:val="19"/>
                <w14:textFill>
                  <w14:solidFill>
                    <w14:schemeClr w14:val="tx1"/>
                  </w14:solidFill>
                </w14:textFill>
              </w:rPr>
            </w:pPr>
          </w:p>
          <w:p w14:paraId="0869101D">
            <w:pPr>
              <w:ind w:firstLine="394"/>
              <w:rPr>
                <w:color w:val="000000" w:themeColor="text1"/>
                <w:sz w:val="20"/>
                <w14:textFill>
                  <w14:solidFill>
                    <w14:schemeClr w14:val="tx1"/>
                  </w14:solidFill>
                </w14:textFill>
              </w:rPr>
            </w:pPr>
            <w:r>
              <w:rPr>
                <w:color w:val="000000" w:themeColor="text1"/>
                <w:w w:val="99"/>
                <w:sz w:val="20"/>
                <w14:textFill>
                  <w14:solidFill>
                    <w14:schemeClr w14:val="tx1"/>
                  </w14:solidFill>
                </w14:textFill>
              </w:rPr>
              <w:t>1</w:t>
            </w:r>
          </w:p>
        </w:tc>
        <w:tc>
          <w:tcPr>
            <w:tcW w:w="976" w:type="dxa"/>
          </w:tcPr>
          <w:p w14:paraId="2AEAD4A4">
            <w:pPr>
              <w:ind w:firstLine="400"/>
              <w:rPr>
                <w:color w:val="000000" w:themeColor="text1"/>
                <w:sz w:val="20"/>
                <w14:textFill>
                  <w14:solidFill>
                    <w14:schemeClr w14:val="tx1"/>
                  </w14:solidFill>
                </w14:textFill>
              </w:rPr>
            </w:pPr>
          </w:p>
        </w:tc>
        <w:tc>
          <w:tcPr>
            <w:tcW w:w="975" w:type="dxa"/>
          </w:tcPr>
          <w:p w14:paraId="08E3A954">
            <w:pPr>
              <w:ind w:firstLine="400"/>
              <w:rPr>
                <w:color w:val="000000" w:themeColor="text1"/>
                <w:sz w:val="20"/>
                <w14:textFill>
                  <w14:solidFill>
                    <w14:schemeClr w14:val="tx1"/>
                  </w14:solidFill>
                </w14:textFill>
              </w:rPr>
            </w:pPr>
          </w:p>
        </w:tc>
        <w:tc>
          <w:tcPr>
            <w:tcW w:w="975" w:type="dxa"/>
          </w:tcPr>
          <w:p w14:paraId="5680CA61">
            <w:pPr>
              <w:ind w:firstLine="400"/>
              <w:rPr>
                <w:color w:val="000000" w:themeColor="text1"/>
                <w:sz w:val="20"/>
                <w14:textFill>
                  <w14:solidFill>
                    <w14:schemeClr w14:val="tx1"/>
                  </w14:solidFill>
                </w14:textFill>
              </w:rPr>
            </w:pPr>
          </w:p>
        </w:tc>
        <w:tc>
          <w:tcPr>
            <w:tcW w:w="975" w:type="dxa"/>
          </w:tcPr>
          <w:p w14:paraId="50C72386">
            <w:pPr>
              <w:ind w:firstLine="400"/>
              <w:rPr>
                <w:color w:val="000000" w:themeColor="text1"/>
                <w:sz w:val="20"/>
                <w14:textFill>
                  <w14:solidFill>
                    <w14:schemeClr w14:val="tx1"/>
                  </w14:solidFill>
                </w14:textFill>
              </w:rPr>
            </w:pPr>
          </w:p>
        </w:tc>
        <w:tc>
          <w:tcPr>
            <w:tcW w:w="975" w:type="dxa"/>
          </w:tcPr>
          <w:p w14:paraId="324DC77D">
            <w:pPr>
              <w:ind w:firstLine="400"/>
              <w:rPr>
                <w:color w:val="000000" w:themeColor="text1"/>
                <w:sz w:val="20"/>
                <w14:textFill>
                  <w14:solidFill>
                    <w14:schemeClr w14:val="tx1"/>
                  </w14:solidFill>
                </w14:textFill>
              </w:rPr>
            </w:pPr>
          </w:p>
        </w:tc>
        <w:tc>
          <w:tcPr>
            <w:tcW w:w="975" w:type="dxa"/>
          </w:tcPr>
          <w:p w14:paraId="00F58A68">
            <w:pPr>
              <w:ind w:firstLine="400"/>
              <w:rPr>
                <w:color w:val="000000" w:themeColor="text1"/>
                <w:sz w:val="20"/>
                <w14:textFill>
                  <w14:solidFill>
                    <w14:schemeClr w14:val="tx1"/>
                  </w14:solidFill>
                </w14:textFill>
              </w:rPr>
            </w:pPr>
          </w:p>
        </w:tc>
        <w:tc>
          <w:tcPr>
            <w:tcW w:w="975" w:type="dxa"/>
          </w:tcPr>
          <w:p w14:paraId="74C2E3E9">
            <w:pPr>
              <w:ind w:firstLine="400"/>
              <w:rPr>
                <w:color w:val="000000" w:themeColor="text1"/>
                <w:sz w:val="20"/>
                <w14:textFill>
                  <w14:solidFill>
                    <w14:schemeClr w14:val="tx1"/>
                  </w14:solidFill>
                </w14:textFill>
              </w:rPr>
            </w:pPr>
          </w:p>
        </w:tc>
        <w:tc>
          <w:tcPr>
            <w:tcW w:w="975" w:type="dxa"/>
          </w:tcPr>
          <w:p w14:paraId="7C18F04E">
            <w:pPr>
              <w:ind w:firstLine="400"/>
              <w:rPr>
                <w:color w:val="000000" w:themeColor="text1"/>
                <w:sz w:val="20"/>
                <w14:textFill>
                  <w14:solidFill>
                    <w14:schemeClr w14:val="tx1"/>
                  </w14:solidFill>
                </w14:textFill>
              </w:rPr>
            </w:pPr>
          </w:p>
        </w:tc>
        <w:tc>
          <w:tcPr>
            <w:tcW w:w="975" w:type="dxa"/>
          </w:tcPr>
          <w:p w14:paraId="6F7F9E3C">
            <w:pPr>
              <w:ind w:firstLine="400"/>
              <w:rPr>
                <w:color w:val="000000" w:themeColor="text1"/>
                <w:sz w:val="20"/>
                <w14:textFill>
                  <w14:solidFill>
                    <w14:schemeClr w14:val="tx1"/>
                  </w14:solidFill>
                </w14:textFill>
              </w:rPr>
            </w:pPr>
          </w:p>
        </w:tc>
      </w:tr>
      <w:tr w14:paraId="5C3AB8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0" w:hRule="atLeast"/>
        </w:trPr>
        <w:tc>
          <w:tcPr>
            <w:tcW w:w="976" w:type="dxa"/>
          </w:tcPr>
          <w:p w14:paraId="6296AE04">
            <w:pPr>
              <w:ind w:firstLine="381"/>
              <w:rPr>
                <w:b/>
                <w:color w:val="000000" w:themeColor="text1"/>
                <w:sz w:val="19"/>
                <w14:textFill>
                  <w14:solidFill>
                    <w14:schemeClr w14:val="tx1"/>
                  </w14:solidFill>
                </w14:textFill>
              </w:rPr>
            </w:pPr>
          </w:p>
          <w:p w14:paraId="3B206DFC">
            <w:pPr>
              <w:ind w:firstLine="394"/>
              <w:rPr>
                <w:color w:val="000000" w:themeColor="text1"/>
                <w:sz w:val="20"/>
                <w14:textFill>
                  <w14:solidFill>
                    <w14:schemeClr w14:val="tx1"/>
                  </w14:solidFill>
                </w14:textFill>
              </w:rPr>
            </w:pPr>
            <w:r>
              <w:rPr>
                <w:color w:val="000000" w:themeColor="text1"/>
                <w:w w:val="99"/>
                <w:sz w:val="20"/>
                <w14:textFill>
                  <w14:solidFill>
                    <w14:schemeClr w14:val="tx1"/>
                  </w14:solidFill>
                </w14:textFill>
              </w:rPr>
              <w:t>2</w:t>
            </w:r>
          </w:p>
        </w:tc>
        <w:tc>
          <w:tcPr>
            <w:tcW w:w="976" w:type="dxa"/>
          </w:tcPr>
          <w:p w14:paraId="660C0F9F">
            <w:pPr>
              <w:ind w:firstLine="400"/>
              <w:rPr>
                <w:color w:val="000000" w:themeColor="text1"/>
                <w:sz w:val="20"/>
                <w14:textFill>
                  <w14:solidFill>
                    <w14:schemeClr w14:val="tx1"/>
                  </w14:solidFill>
                </w14:textFill>
              </w:rPr>
            </w:pPr>
          </w:p>
        </w:tc>
        <w:tc>
          <w:tcPr>
            <w:tcW w:w="975" w:type="dxa"/>
          </w:tcPr>
          <w:p w14:paraId="47A5B654">
            <w:pPr>
              <w:ind w:firstLine="400"/>
              <w:rPr>
                <w:color w:val="000000" w:themeColor="text1"/>
                <w:sz w:val="20"/>
                <w14:textFill>
                  <w14:solidFill>
                    <w14:schemeClr w14:val="tx1"/>
                  </w14:solidFill>
                </w14:textFill>
              </w:rPr>
            </w:pPr>
          </w:p>
        </w:tc>
        <w:tc>
          <w:tcPr>
            <w:tcW w:w="975" w:type="dxa"/>
          </w:tcPr>
          <w:p w14:paraId="556A2409">
            <w:pPr>
              <w:ind w:firstLine="400"/>
              <w:rPr>
                <w:color w:val="000000" w:themeColor="text1"/>
                <w:sz w:val="20"/>
                <w14:textFill>
                  <w14:solidFill>
                    <w14:schemeClr w14:val="tx1"/>
                  </w14:solidFill>
                </w14:textFill>
              </w:rPr>
            </w:pPr>
          </w:p>
        </w:tc>
        <w:tc>
          <w:tcPr>
            <w:tcW w:w="975" w:type="dxa"/>
          </w:tcPr>
          <w:p w14:paraId="63B623B2">
            <w:pPr>
              <w:ind w:firstLine="400"/>
              <w:rPr>
                <w:color w:val="000000" w:themeColor="text1"/>
                <w:sz w:val="20"/>
                <w14:textFill>
                  <w14:solidFill>
                    <w14:schemeClr w14:val="tx1"/>
                  </w14:solidFill>
                </w14:textFill>
              </w:rPr>
            </w:pPr>
          </w:p>
        </w:tc>
        <w:tc>
          <w:tcPr>
            <w:tcW w:w="975" w:type="dxa"/>
          </w:tcPr>
          <w:p w14:paraId="1891EED2">
            <w:pPr>
              <w:ind w:firstLine="400"/>
              <w:rPr>
                <w:color w:val="000000" w:themeColor="text1"/>
                <w:sz w:val="20"/>
                <w14:textFill>
                  <w14:solidFill>
                    <w14:schemeClr w14:val="tx1"/>
                  </w14:solidFill>
                </w14:textFill>
              </w:rPr>
            </w:pPr>
          </w:p>
        </w:tc>
        <w:tc>
          <w:tcPr>
            <w:tcW w:w="975" w:type="dxa"/>
          </w:tcPr>
          <w:p w14:paraId="366193F4">
            <w:pPr>
              <w:ind w:firstLine="400"/>
              <w:rPr>
                <w:color w:val="000000" w:themeColor="text1"/>
                <w:sz w:val="20"/>
                <w14:textFill>
                  <w14:solidFill>
                    <w14:schemeClr w14:val="tx1"/>
                  </w14:solidFill>
                </w14:textFill>
              </w:rPr>
            </w:pPr>
          </w:p>
        </w:tc>
        <w:tc>
          <w:tcPr>
            <w:tcW w:w="975" w:type="dxa"/>
          </w:tcPr>
          <w:p w14:paraId="3608271C">
            <w:pPr>
              <w:ind w:firstLine="400"/>
              <w:rPr>
                <w:color w:val="000000" w:themeColor="text1"/>
                <w:sz w:val="20"/>
                <w14:textFill>
                  <w14:solidFill>
                    <w14:schemeClr w14:val="tx1"/>
                  </w14:solidFill>
                </w14:textFill>
              </w:rPr>
            </w:pPr>
          </w:p>
        </w:tc>
        <w:tc>
          <w:tcPr>
            <w:tcW w:w="975" w:type="dxa"/>
          </w:tcPr>
          <w:p w14:paraId="3A7F36F5">
            <w:pPr>
              <w:ind w:firstLine="400"/>
              <w:rPr>
                <w:color w:val="000000" w:themeColor="text1"/>
                <w:sz w:val="20"/>
                <w14:textFill>
                  <w14:solidFill>
                    <w14:schemeClr w14:val="tx1"/>
                  </w14:solidFill>
                </w14:textFill>
              </w:rPr>
            </w:pPr>
          </w:p>
        </w:tc>
        <w:tc>
          <w:tcPr>
            <w:tcW w:w="975" w:type="dxa"/>
          </w:tcPr>
          <w:p w14:paraId="7D558AD2">
            <w:pPr>
              <w:ind w:firstLine="400"/>
              <w:rPr>
                <w:color w:val="000000" w:themeColor="text1"/>
                <w:sz w:val="20"/>
                <w14:textFill>
                  <w14:solidFill>
                    <w14:schemeClr w14:val="tx1"/>
                  </w14:solidFill>
                </w14:textFill>
              </w:rPr>
            </w:pPr>
          </w:p>
        </w:tc>
      </w:tr>
      <w:tr w14:paraId="1515C3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0" w:hRule="atLeast"/>
        </w:trPr>
        <w:tc>
          <w:tcPr>
            <w:tcW w:w="976" w:type="dxa"/>
          </w:tcPr>
          <w:p w14:paraId="49D2C518">
            <w:pPr>
              <w:ind w:firstLine="381"/>
              <w:rPr>
                <w:b/>
                <w:color w:val="000000" w:themeColor="text1"/>
                <w:sz w:val="19"/>
                <w14:textFill>
                  <w14:solidFill>
                    <w14:schemeClr w14:val="tx1"/>
                  </w14:solidFill>
                </w14:textFill>
              </w:rPr>
            </w:pPr>
          </w:p>
          <w:p w14:paraId="13940E4E">
            <w:pPr>
              <w:ind w:firstLine="394"/>
              <w:rPr>
                <w:color w:val="000000" w:themeColor="text1"/>
                <w:sz w:val="20"/>
                <w14:textFill>
                  <w14:solidFill>
                    <w14:schemeClr w14:val="tx1"/>
                  </w14:solidFill>
                </w14:textFill>
              </w:rPr>
            </w:pPr>
            <w:r>
              <w:rPr>
                <w:color w:val="000000" w:themeColor="text1"/>
                <w:w w:val="99"/>
                <w:sz w:val="20"/>
                <w14:textFill>
                  <w14:solidFill>
                    <w14:schemeClr w14:val="tx1"/>
                  </w14:solidFill>
                </w14:textFill>
              </w:rPr>
              <w:t>3</w:t>
            </w:r>
          </w:p>
        </w:tc>
        <w:tc>
          <w:tcPr>
            <w:tcW w:w="976" w:type="dxa"/>
          </w:tcPr>
          <w:p w14:paraId="2F9E491C">
            <w:pPr>
              <w:ind w:firstLine="400"/>
              <w:rPr>
                <w:color w:val="000000" w:themeColor="text1"/>
                <w:sz w:val="20"/>
                <w14:textFill>
                  <w14:solidFill>
                    <w14:schemeClr w14:val="tx1"/>
                  </w14:solidFill>
                </w14:textFill>
              </w:rPr>
            </w:pPr>
          </w:p>
        </w:tc>
        <w:tc>
          <w:tcPr>
            <w:tcW w:w="975" w:type="dxa"/>
          </w:tcPr>
          <w:p w14:paraId="5DEF9062">
            <w:pPr>
              <w:ind w:firstLine="400"/>
              <w:rPr>
                <w:color w:val="000000" w:themeColor="text1"/>
                <w:sz w:val="20"/>
                <w14:textFill>
                  <w14:solidFill>
                    <w14:schemeClr w14:val="tx1"/>
                  </w14:solidFill>
                </w14:textFill>
              </w:rPr>
            </w:pPr>
          </w:p>
        </w:tc>
        <w:tc>
          <w:tcPr>
            <w:tcW w:w="975" w:type="dxa"/>
          </w:tcPr>
          <w:p w14:paraId="30C7B58A">
            <w:pPr>
              <w:ind w:firstLine="400"/>
              <w:rPr>
                <w:color w:val="000000" w:themeColor="text1"/>
                <w:sz w:val="20"/>
                <w14:textFill>
                  <w14:solidFill>
                    <w14:schemeClr w14:val="tx1"/>
                  </w14:solidFill>
                </w14:textFill>
              </w:rPr>
            </w:pPr>
          </w:p>
        </w:tc>
        <w:tc>
          <w:tcPr>
            <w:tcW w:w="975" w:type="dxa"/>
          </w:tcPr>
          <w:p w14:paraId="3933A539">
            <w:pPr>
              <w:ind w:firstLine="400"/>
              <w:rPr>
                <w:color w:val="000000" w:themeColor="text1"/>
                <w:sz w:val="20"/>
                <w14:textFill>
                  <w14:solidFill>
                    <w14:schemeClr w14:val="tx1"/>
                  </w14:solidFill>
                </w14:textFill>
              </w:rPr>
            </w:pPr>
          </w:p>
        </w:tc>
        <w:tc>
          <w:tcPr>
            <w:tcW w:w="975" w:type="dxa"/>
          </w:tcPr>
          <w:p w14:paraId="7BF1D09E">
            <w:pPr>
              <w:ind w:firstLine="400"/>
              <w:rPr>
                <w:color w:val="000000" w:themeColor="text1"/>
                <w:sz w:val="20"/>
                <w14:textFill>
                  <w14:solidFill>
                    <w14:schemeClr w14:val="tx1"/>
                  </w14:solidFill>
                </w14:textFill>
              </w:rPr>
            </w:pPr>
          </w:p>
        </w:tc>
        <w:tc>
          <w:tcPr>
            <w:tcW w:w="975" w:type="dxa"/>
          </w:tcPr>
          <w:p w14:paraId="59F966F2">
            <w:pPr>
              <w:ind w:firstLine="400"/>
              <w:rPr>
                <w:color w:val="000000" w:themeColor="text1"/>
                <w:sz w:val="20"/>
                <w14:textFill>
                  <w14:solidFill>
                    <w14:schemeClr w14:val="tx1"/>
                  </w14:solidFill>
                </w14:textFill>
              </w:rPr>
            </w:pPr>
          </w:p>
        </w:tc>
        <w:tc>
          <w:tcPr>
            <w:tcW w:w="975" w:type="dxa"/>
          </w:tcPr>
          <w:p w14:paraId="3D7916C9">
            <w:pPr>
              <w:ind w:firstLine="400"/>
              <w:rPr>
                <w:color w:val="000000" w:themeColor="text1"/>
                <w:sz w:val="20"/>
                <w14:textFill>
                  <w14:solidFill>
                    <w14:schemeClr w14:val="tx1"/>
                  </w14:solidFill>
                </w14:textFill>
              </w:rPr>
            </w:pPr>
          </w:p>
        </w:tc>
        <w:tc>
          <w:tcPr>
            <w:tcW w:w="975" w:type="dxa"/>
          </w:tcPr>
          <w:p w14:paraId="7A6DDB1B">
            <w:pPr>
              <w:ind w:firstLine="400"/>
              <w:rPr>
                <w:color w:val="000000" w:themeColor="text1"/>
                <w:sz w:val="20"/>
                <w14:textFill>
                  <w14:solidFill>
                    <w14:schemeClr w14:val="tx1"/>
                  </w14:solidFill>
                </w14:textFill>
              </w:rPr>
            </w:pPr>
          </w:p>
        </w:tc>
        <w:tc>
          <w:tcPr>
            <w:tcW w:w="975" w:type="dxa"/>
          </w:tcPr>
          <w:p w14:paraId="0DB8E0B1">
            <w:pPr>
              <w:ind w:firstLine="400"/>
              <w:rPr>
                <w:color w:val="000000" w:themeColor="text1"/>
                <w:sz w:val="20"/>
                <w14:textFill>
                  <w14:solidFill>
                    <w14:schemeClr w14:val="tx1"/>
                  </w14:solidFill>
                </w14:textFill>
              </w:rPr>
            </w:pPr>
          </w:p>
        </w:tc>
      </w:tr>
      <w:tr w14:paraId="497E5E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79" w:hRule="atLeast"/>
        </w:trPr>
        <w:tc>
          <w:tcPr>
            <w:tcW w:w="976" w:type="dxa"/>
          </w:tcPr>
          <w:p w14:paraId="5EF362CC">
            <w:pPr>
              <w:ind w:firstLine="381"/>
              <w:rPr>
                <w:b/>
                <w:color w:val="000000" w:themeColor="text1"/>
                <w:sz w:val="19"/>
                <w14:textFill>
                  <w14:solidFill>
                    <w14:schemeClr w14:val="tx1"/>
                  </w14:solidFill>
                </w14:textFill>
              </w:rPr>
            </w:pPr>
          </w:p>
          <w:p w14:paraId="09583CCA">
            <w:pPr>
              <w:ind w:firstLine="394"/>
              <w:rPr>
                <w:color w:val="000000" w:themeColor="text1"/>
                <w:sz w:val="20"/>
                <w14:textFill>
                  <w14:solidFill>
                    <w14:schemeClr w14:val="tx1"/>
                  </w14:solidFill>
                </w14:textFill>
              </w:rPr>
            </w:pPr>
            <w:r>
              <w:rPr>
                <w:color w:val="000000" w:themeColor="text1"/>
                <w:w w:val="99"/>
                <w:sz w:val="20"/>
                <w14:textFill>
                  <w14:solidFill>
                    <w14:schemeClr w14:val="tx1"/>
                  </w14:solidFill>
                </w14:textFill>
              </w:rPr>
              <w:t>4</w:t>
            </w:r>
          </w:p>
        </w:tc>
        <w:tc>
          <w:tcPr>
            <w:tcW w:w="976" w:type="dxa"/>
          </w:tcPr>
          <w:p w14:paraId="4268A0EC">
            <w:pPr>
              <w:ind w:firstLine="400"/>
              <w:rPr>
                <w:color w:val="000000" w:themeColor="text1"/>
                <w:sz w:val="20"/>
                <w14:textFill>
                  <w14:solidFill>
                    <w14:schemeClr w14:val="tx1"/>
                  </w14:solidFill>
                </w14:textFill>
              </w:rPr>
            </w:pPr>
          </w:p>
        </w:tc>
        <w:tc>
          <w:tcPr>
            <w:tcW w:w="975" w:type="dxa"/>
          </w:tcPr>
          <w:p w14:paraId="5DB43400">
            <w:pPr>
              <w:ind w:firstLine="400"/>
              <w:rPr>
                <w:color w:val="000000" w:themeColor="text1"/>
                <w:sz w:val="20"/>
                <w14:textFill>
                  <w14:solidFill>
                    <w14:schemeClr w14:val="tx1"/>
                  </w14:solidFill>
                </w14:textFill>
              </w:rPr>
            </w:pPr>
          </w:p>
        </w:tc>
        <w:tc>
          <w:tcPr>
            <w:tcW w:w="975" w:type="dxa"/>
          </w:tcPr>
          <w:p w14:paraId="6F32CD1F">
            <w:pPr>
              <w:ind w:firstLine="400"/>
              <w:rPr>
                <w:color w:val="000000" w:themeColor="text1"/>
                <w:sz w:val="20"/>
                <w14:textFill>
                  <w14:solidFill>
                    <w14:schemeClr w14:val="tx1"/>
                  </w14:solidFill>
                </w14:textFill>
              </w:rPr>
            </w:pPr>
          </w:p>
        </w:tc>
        <w:tc>
          <w:tcPr>
            <w:tcW w:w="975" w:type="dxa"/>
          </w:tcPr>
          <w:p w14:paraId="74F3BFF9">
            <w:pPr>
              <w:ind w:firstLine="400"/>
              <w:rPr>
                <w:color w:val="000000" w:themeColor="text1"/>
                <w:sz w:val="20"/>
                <w14:textFill>
                  <w14:solidFill>
                    <w14:schemeClr w14:val="tx1"/>
                  </w14:solidFill>
                </w14:textFill>
              </w:rPr>
            </w:pPr>
          </w:p>
        </w:tc>
        <w:tc>
          <w:tcPr>
            <w:tcW w:w="975" w:type="dxa"/>
          </w:tcPr>
          <w:p w14:paraId="61285B25">
            <w:pPr>
              <w:ind w:firstLine="400"/>
              <w:rPr>
                <w:color w:val="000000" w:themeColor="text1"/>
                <w:sz w:val="20"/>
                <w14:textFill>
                  <w14:solidFill>
                    <w14:schemeClr w14:val="tx1"/>
                  </w14:solidFill>
                </w14:textFill>
              </w:rPr>
            </w:pPr>
          </w:p>
        </w:tc>
        <w:tc>
          <w:tcPr>
            <w:tcW w:w="975" w:type="dxa"/>
          </w:tcPr>
          <w:p w14:paraId="5A65B08E">
            <w:pPr>
              <w:ind w:firstLine="400"/>
              <w:rPr>
                <w:color w:val="000000" w:themeColor="text1"/>
                <w:sz w:val="20"/>
                <w14:textFill>
                  <w14:solidFill>
                    <w14:schemeClr w14:val="tx1"/>
                  </w14:solidFill>
                </w14:textFill>
              </w:rPr>
            </w:pPr>
          </w:p>
        </w:tc>
        <w:tc>
          <w:tcPr>
            <w:tcW w:w="975" w:type="dxa"/>
          </w:tcPr>
          <w:p w14:paraId="2371F1A9">
            <w:pPr>
              <w:ind w:firstLine="400"/>
              <w:rPr>
                <w:color w:val="000000" w:themeColor="text1"/>
                <w:sz w:val="20"/>
                <w14:textFill>
                  <w14:solidFill>
                    <w14:schemeClr w14:val="tx1"/>
                  </w14:solidFill>
                </w14:textFill>
              </w:rPr>
            </w:pPr>
          </w:p>
        </w:tc>
        <w:tc>
          <w:tcPr>
            <w:tcW w:w="975" w:type="dxa"/>
          </w:tcPr>
          <w:p w14:paraId="130A0A84">
            <w:pPr>
              <w:ind w:firstLine="400"/>
              <w:rPr>
                <w:color w:val="000000" w:themeColor="text1"/>
                <w:sz w:val="20"/>
                <w14:textFill>
                  <w14:solidFill>
                    <w14:schemeClr w14:val="tx1"/>
                  </w14:solidFill>
                </w14:textFill>
              </w:rPr>
            </w:pPr>
          </w:p>
        </w:tc>
        <w:tc>
          <w:tcPr>
            <w:tcW w:w="975" w:type="dxa"/>
          </w:tcPr>
          <w:p w14:paraId="309454F6">
            <w:pPr>
              <w:ind w:firstLine="400"/>
              <w:rPr>
                <w:color w:val="000000" w:themeColor="text1"/>
                <w:sz w:val="20"/>
                <w14:textFill>
                  <w14:solidFill>
                    <w14:schemeClr w14:val="tx1"/>
                  </w14:solidFill>
                </w14:textFill>
              </w:rPr>
            </w:pPr>
          </w:p>
        </w:tc>
      </w:tr>
      <w:tr w14:paraId="04ADD6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0" w:hRule="atLeast"/>
        </w:trPr>
        <w:tc>
          <w:tcPr>
            <w:tcW w:w="976" w:type="dxa"/>
          </w:tcPr>
          <w:p w14:paraId="44160CE3">
            <w:pPr>
              <w:ind w:firstLine="400"/>
              <w:rPr>
                <w:color w:val="000000" w:themeColor="text1"/>
                <w:sz w:val="20"/>
                <w14:textFill>
                  <w14:solidFill>
                    <w14:schemeClr w14:val="tx1"/>
                  </w14:solidFill>
                </w14:textFill>
              </w:rPr>
            </w:pPr>
          </w:p>
        </w:tc>
        <w:tc>
          <w:tcPr>
            <w:tcW w:w="976" w:type="dxa"/>
          </w:tcPr>
          <w:p w14:paraId="3CEFB2A0">
            <w:pPr>
              <w:ind w:firstLine="400"/>
              <w:rPr>
                <w:color w:val="000000" w:themeColor="text1"/>
                <w:sz w:val="20"/>
                <w14:textFill>
                  <w14:solidFill>
                    <w14:schemeClr w14:val="tx1"/>
                  </w14:solidFill>
                </w14:textFill>
              </w:rPr>
            </w:pPr>
          </w:p>
        </w:tc>
        <w:tc>
          <w:tcPr>
            <w:tcW w:w="975" w:type="dxa"/>
          </w:tcPr>
          <w:p w14:paraId="605F2646">
            <w:pPr>
              <w:ind w:firstLine="400"/>
              <w:rPr>
                <w:color w:val="000000" w:themeColor="text1"/>
                <w:sz w:val="20"/>
                <w14:textFill>
                  <w14:solidFill>
                    <w14:schemeClr w14:val="tx1"/>
                  </w14:solidFill>
                </w14:textFill>
              </w:rPr>
            </w:pPr>
          </w:p>
        </w:tc>
        <w:tc>
          <w:tcPr>
            <w:tcW w:w="975" w:type="dxa"/>
          </w:tcPr>
          <w:p w14:paraId="02CC58E0">
            <w:pPr>
              <w:ind w:firstLine="400"/>
              <w:rPr>
                <w:color w:val="000000" w:themeColor="text1"/>
                <w:sz w:val="20"/>
                <w14:textFill>
                  <w14:solidFill>
                    <w14:schemeClr w14:val="tx1"/>
                  </w14:solidFill>
                </w14:textFill>
              </w:rPr>
            </w:pPr>
          </w:p>
        </w:tc>
        <w:tc>
          <w:tcPr>
            <w:tcW w:w="975" w:type="dxa"/>
          </w:tcPr>
          <w:p w14:paraId="7FA8165D">
            <w:pPr>
              <w:ind w:firstLine="400"/>
              <w:rPr>
                <w:color w:val="000000" w:themeColor="text1"/>
                <w:sz w:val="20"/>
                <w14:textFill>
                  <w14:solidFill>
                    <w14:schemeClr w14:val="tx1"/>
                  </w14:solidFill>
                </w14:textFill>
              </w:rPr>
            </w:pPr>
          </w:p>
        </w:tc>
        <w:tc>
          <w:tcPr>
            <w:tcW w:w="975" w:type="dxa"/>
          </w:tcPr>
          <w:p w14:paraId="4749F114">
            <w:pPr>
              <w:ind w:firstLine="400"/>
              <w:rPr>
                <w:color w:val="000000" w:themeColor="text1"/>
                <w:sz w:val="20"/>
                <w14:textFill>
                  <w14:solidFill>
                    <w14:schemeClr w14:val="tx1"/>
                  </w14:solidFill>
                </w14:textFill>
              </w:rPr>
            </w:pPr>
          </w:p>
        </w:tc>
        <w:tc>
          <w:tcPr>
            <w:tcW w:w="975" w:type="dxa"/>
          </w:tcPr>
          <w:p w14:paraId="79ABFF38">
            <w:pPr>
              <w:ind w:firstLine="400"/>
              <w:rPr>
                <w:color w:val="000000" w:themeColor="text1"/>
                <w:sz w:val="20"/>
                <w14:textFill>
                  <w14:solidFill>
                    <w14:schemeClr w14:val="tx1"/>
                  </w14:solidFill>
                </w14:textFill>
              </w:rPr>
            </w:pPr>
          </w:p>
        </w:tc>
        <w:tc>
          <w:tcPr>
            <w:tcW w:w="975" w:type="dxa"/>
          </w:tcPr>
          <w:p w14:paraId="53D2D063">
            <w:pPr>
              <w:ind w:firstLine="400"/>
              <w:rPr>
                <w:color w:val="000000" w:themeColor="text1"/>
                <w:sz w:val="20"/>
                <w14:textFill>
                  <w14:solidFill>
                    <w14:schemeClr w14:val="tx1"/>
                  </w14:solidFill>
                </w14:textFill>
              </w:rPr>
            </w:pPr>
          </w:p>
        </w:tc>
        <w:tc>
          <w:tcPr>
            <w:tcW w:w="975" w:type="dxa"/>
          </w:tcPr>
          <w:p w14:paraId="10FC1068">
            <w:pPr>
              <w:ind w:firstLine="400"/>
              <w:rPr>
                <w:color w:val="000000" w:themeColor="text1"/>
                <w:sz w:val="20"/>
                <w14:textFill>
                  <w14:solidFill>
                    <w14:schemeClr w14:val="tx1"/>
                  </w14:solidFill>
                </w14:textFill>
              </w:rPr>
            </w:pPr>
          </w:p>
        </w:tc>
        <w:tc>
          <w:tcPr>
            <w:tcW w:w="975" w:type="dxa"/>
          </w:tcPr>
          <w:p w14:paraId="064961BB">
            <w:pPr>
              <w:ind w:firstLine="400"/>
              <w:rPr>
                <w:color w:val="000000" w:themeColor="text1"/>
                <w:sz w:val="20"/>
                <w14:textFill>
                  <w14:solidFill>
                    <w14:schemeClr w14:val="tx1"/>
                  </w14:solidFill>
                </w14:textFill>
              </w:rPr>
            </w:pPr>
          </w:p>
        </w:tc>
      </w:tr>
      <w:tr w14:paraId="5CFEF7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0" w:hRule="atLeast"/>
        </w:trPr>
        <w:tc>
          <w:tcPr>
            <w:tcW w:w="976" w:type="dxa"/>
          </w:tcPr>
          <w:p w14:paraId="06B9B3A7">
            <w:pPr>
              <w:ind w:firstLine="400"/>
              <w:rPr>
                <w:color w:val="000000" w:themeColor="text1"/>
                <w:sz w:val="20"/>
                <w14:textFill>
                  <w14:solidFill>
                    <w14:schemeClr w14:val="tx1"/>
                  </w14:solidFill>
                </w14:textFill>
              </w:rPr>
            </w:pPr>
          </w:p>
        </w:tc>
        <w:tc>
          <w:tcPr>
            <w:tcW w:w="976" w:type="dxa"/>
          </w:tcPr>
          <w:p w14:paraId="0664F6AB">
            <w:pPr>
              <w:ind w:firstLine="400"/>
              <w:rPr>
                <w:color w:val="000000" w:themeColor="text1"/>
                <w:sz w:val="20"/>
                <w14:textFill>
                  <w14:solidFill>
                    <w14:schemeClr w14:val="tx1"/>
                  </w14:solidFill>
                </w14:textFill>
              </w:rPr>
            </w:pPr>
          </w:p>
        </w:tc>
        <w:tc>
          <w:tcPr>
            <w:tcW w:w="975" w:type="dxa"/>
          </w:tcPr>
          <w:p w14:paraId="45D88EEE">
            <w:pPr>
              <w:ind w:firstLine="400"/>
              <w:rPr>
                <w:color w:val="000000" w:themeColor="text1"/>
                <w:sz w:val="20"/>
                <w14:textFill>
                  <w14:solidFill>
                    <w14:schemeClr w14:val="tx1"/>
                  </w14:solidFill>
                </w14:textFill>
              </w:rPr>
            </w:pPr>
          </w:p>
        </w:tc>
        <w:tc>
          <w:tcPr>
            <w:tcW w:w="975" w:type="dxa"/>
          </w:tcPr>
          <w:p w14:paraId="45E3B835">
            <w:pPr>
              <w:ind w:firstLine="400"/>
              <w:rPr>
                <w:color w:val="000000" w:themeColor="text1"/>
                <w:sz w:val="20"/>
                <w14:textFill>
                  <w14:solidFill>
                    <w14:schemeClr w14:val="tx1"/>
                  </w14:solidFill>
                </w14:textFill>
              </w:rPr>
            </w:pPr>
          </w:p>
        </w:tc>
        <w:tc>
          <w:tcPr>
            <w:tcW w:w="975" w:type="dxa"/>
          </w:tcPr>
          <w:p w14:paraId="4BD323FC">
            <w:pPr>
              <w:ind w:firstLine="400"/>
              <w:rPr>
                <w:color w:val="000000" w:themeColor="text1"/>
                <w:sz w:val="20"/>
                <w14:textFill>
                  <w14:solidFill>
                    <w14:schemeClr w14:val="tx1"/>
                  </w14:solidFill>
                </w14:textFill>
              </w:rPr>
            </w:pPr>
          </w:p>
        </w:tc>
        <w:tc>
          <w:tcPr>
            <w:tcW w:w="975" w:type="dxa"/>
          </w:tcPr>
          <w:p w14:paraId="6B149668">
            <w:pPr>
              <w:ind w:firstLine="400"/>
              <w:rPr>
                <w:color w:val="000000" w:themeColor="text1"/>
                <w:sz w:val="20"/>
                <w14:textFill>
                  <w14:solidFill>
                    <w14:schemeClr w14:val="tx1"/>
                  </w14:solidFill>
                </w14:textFill>
              </w:rPr>
            </w:pPr>
          </w:p>
        </w:tc>
        <w:tc>
          <w:tcPr>
            <w:tcW w:w="975" w:type="dxa"/>
          </w:tcPr>
          <w:p w14:paraId="500A9BA1">
            <w:pPr>
              <w:ind w:firstLine="400"/>
              <w:rPr>
                <w:color w:val="000000" w:themeColor="text1"/>
                <w:sz w:val="20"/>
                <w14:textFill>
                  <w14:solidFill>
                    <w14:schemeClr w14:val="tx1"/>
                  </w14:solidFill>
                </w14:textFill>
              </w:rPr>
            </w:pPr>
          </w:p>
        </w:tc>
        <w:tc>
          <w:tcPr>
            <w:tcW w:w="975" w:type="dxa"/>
          </w:tcPr>
          <w:p w14:paraId="4AE870D6">
            <w:pPr>
              <w:ind w:firstLine="400"/>
              <w:rPr>
                <w:color w:val="000000" w:themeColor="text1"/>
                <w:sz w:val="20"/>
                <w14:textFill>
                  <w14:solidFill>
                    <w14:schemeClr w14:val="tx1"/>
                  </w14:solidFill>
                </w14:textFill>
              </w:rPr>
            </w:pPr>
          </w:p>
        </w:tc>
        <w:tc>
          <w:tcPr>
            <w:tcW w:w="975" w:type="dxa"/>
          </w:tcPr>
          <w:p w14:paraId="4B735441">
            <w:pPr>
              <w:ind w:firstLine="400"/>
              <w:rPr>
                <w:color w:val="000000" w:themeColor="text1"/>
                <w:sz w:val="20"/>
                <w14:textFill>
                  <w14:solidFill>
                    <w14:schemeClr w14:val="tx1"/>
                  </w14:solidFill>
                </w14:textFill>
              </w:rPr>
            </w:pPr>
          </w:p>
        </w:tc>
        <w:tc>
          <w:tcPr>
            <w:tcW w:w="975" w:type="dxa"/>
          </w:tcPr>
          <w:p w14:paraId="672DFE69">
            <w:pPr>
              <w:ind w:firstLine="400"/>
              <w:rPr>
                <w:color w:val="000000" w:themeColor="text1"/>
                <w:sz w:val="20"/>
                <w14:textFill>
                  <w14:solidFill>
                    <w14:schemeClr w14:val="tx1"/>
                  </w14:solidFill>
                </w14:textFill>
              </w:rPr>
            </w:pPr>
          </w:p>
        </w:tc>
      </w:tr>
      <w:tr w14:paraId="1FE896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0" w:hRule="atLeast"/>
        </w:trPr>
        <w:tc>
          <w:tcPr>
            <w:tcW w:w="976" w:type="dxa"/>
          </w:tcPr>
          <w:p w14:paraId="07776A49">
            <w:pPr>
              <w:ind w:firstLine="381"/>
              <w:rPr>
                <w:b/>
                <w:color w:val="000000" w:themeColor="text1"/>
                <w:sz w:val="19"/>
                <w14:textFill>
                  <w14:solidFill>
                    <w14:schemeClr w14:val="tx1"/>
                  </w14:solidFill>
                </w14:textFill>
              </w:rPr>
            </w:pPr>
          </w:p>
          <w:p w14:paraId="7DE4B2EE">
            <w:pPr>
              <w:ind w:firstLine="400"/>
              <w:rPr>
                <w:color w:val="000000" w:themeColor="text1"/>
                <w:sz w:val="20"/>
                <w14:textFill>
                  <w14:solidFill>
                    <w14:schemeClr w14:val="tx1"/>
                  </w14:solidFill>
                </w14:textFill>
              </w:rPr>
            </w:pPr>
            <w:r>
              <w:rPr>
                <w:color w:val="000000" w:themeColor="text1"/>
                <w:sz w:val="20"/>
                <w14:textFill>
                  <w14:solidFill>
                    <w14:schemeClr w14:val="tx1"/>
                  </w14:solidFill>
                </w14:textFill>
              </w:rPr>
              <w:t>……</w:t>
            </w:r>
          </w:p>
        </w:tc>
        <w:tc>
          <w:tcPr>
            <w:tcW w:w="976" w:type="dxa"/>
          </w:tcPr>
          <w:p w14:paraId="7417AAA8">
            <w:pPr>
              <w:ind w:firstLine="400"/>
              <w:rPr>
                <w:color w:val="000000" w:themeColor="text1"/>
                <w:sz w:val="20"/>
                <w14:textFill>
                  <w14:solidFill>
                    <w14:schemeClr w14:val="tx1"/>
                  </w14:solidFill>
                </w14:textFill>
              </w:rPr>
            </w:pPr>
          </w:p>
        </w:tc>
        <w:tc>
          <w:tcPr>
            <w:tcW w:w="975" w:type="dxa"/>
          </w:tcPr>
          <w:p w14:paraId="155EA0B2">
            <w:pPr>
              <w:ind w:firstLine="400"/>
              <w:rPr>
                <w:color w:val="000000" w:themeColor="text1"/>
                <w:sz w:val="20"/>
                <w14:textFill>
                  <w14:solidFill>
                    <w14:schemeClr w14:val="tx1"/>
                  </w14:solidFill>
                </w14:textFill>
              </w:rPr>
            </w:pPr>
          </w:p>
        </w:tc>
        <w:tc>
          <w:tcPr>
            <w:tcW w:w="975" w:type="dxa"/>
          </w:tcPr>
          <w:p w14:paraId="38A018F2">
            <w:pPr>
              <w:ind w:firstLine="400"/>
              <w:rPr>
                <w:color w:val="000000" w:themeColor="text1"/>
                <w:sz w:val="20"/>
                <w14:textFill>
                  <w14:solidFill>
                    <w14:schemeClr w14:val="tx1"/>
                  </w14:solidFill>
                </w14:textFill>
              </w:rPr>
            </w:pPr>
          </w:p>
        </w:tc>
        <w:tc>
          <w:tcPr>
            <w:tcW w:w="975" w:type="dxa"/>
          </w:tcPr>
          <w:p w14:paraId="568D9E03">
            <w:pPr>
              <w:ind w:firstLine="400"/>
              <w:rPr>
                <w:color w:val="000000" w:themeColor="text1"/>
                <w:sz w:val="20"/>
                <w14:textFill>
                  <w14:solidFill>
                    <w14:schemeClr w14:val="tx1"/>
                  </w14:solidFill>
                </w14:textFill>
              </w:rPr>
            </w:pPr>
          </w:p>
        </w:tc>
        <w:tc>
          <w:tcPr>
            <w:tcW w:w="975" w:type="dxa"/>
          </w:tcPr>
          <w:p w14:paraId="0A809B77">
            <w:pPr>
              <w:ind w:firstLine="400"/>
              <w:rPr>
                <w:color w:val="000000" w:themeColor="text1"/>
                <w:sz w:val="20"/>
                <w14:textFill>
                  <w14:solidFill>
                    <w14:schemeClr w14:val="tx1"/>
                  </w14:solidFill>
                </w14:textFill>
              </w:rPr>
            </w:pPr>
          </w:p>
        </w:tc>
        <w:tc>
          <w:tcPr>
            <w:tcW w:w="975" w:type="dxa"/>
          </w:tcPr>
          <w:p w14:paraId="35C71D9D">
            <w:pPr>
              <w:ind w:firstLine="400"/>
              <w:rPr>
                <w:color w:val="000000" w:themeColor="text1"/>
                <w:sz w:val="20"/>
                <w14:textFill>
                  <w14:solidFill>
                    <w14:schemeClr w14:val="tx1"/>
                  </w14:solidFill>
                </w14:textFill>
              </w:rPr>
            </w:pPr>
          </w:p>
        </w:tc>
        <w:tc>
          <w:tcPr>
            <w:tcW w:w="975" w:type="dxa"/>
          </w:tcPr>
          <w:p w14:paraId="653A4E00">
            <w:pPr>
              <w:ind w:firstLine="400"/>
              <w:rPr>
                <w:color w:val="000000" w:themeColor="text1"/>
                <w:sz w:val="20"/>
                <w14:textFill>
                  <w14:solidFill>
                    <w14:schemeClr w14:val="tx1"/>
                  </w14:solidFill>
                </w14:textFill>
              </w:rPr>
            </w:pPr>
          </w:p>
        </w:tc>
        <w:tc>
          <w:tcPr>
            <w:tcW w:w="975" w:type="dxa"/>
          </w:tcPr>
          <w:p w14:paraId="415769C0">
            <w:pPr>
              <w:ind w:firstLine="400"/>
              <w:rPr>
                <w:color w:val="000000" w:themeColor="text1"/>
                <w:sz w:val="20"/>
                <w14:textFill>
                  <w14:solidFill>
                    <w14:schemeClr w14:val="tx1"/>
                  </w14:solidFill>
                </w14:textFill>
              </w:rPr>
            </w:pPr>
          </w:p>
        </w:tc>
        <w:tc>
          <w:tcPr>
            <w:tcW w:w="975" w:type="dxa"/>
          </w:tcPr>
          <w:p w14:paraId="57C414E3">
            <w:pPr>
              <w:ind w:firstLine="400"/>
              <w:rPr>
                <w:color w:val="000000" w:themeColor="text1"/>
                <w:sz w:val="20"/>
                <w14:textFill>
                  <w14:solidFill>
                    <w14:schemeClr w14:val="tx1"/>
                  </w14:solidFill>
                </w14:textFill>
              </w:rPr>
            </w:pPr>
          </w:p>
        </w:tc>
      </w:tr>
    </w:tbl>
    <w:p w14:paraId="0513C8DF">
      <w:pPr>
        <w:ind w:firstLine="372"/>
        <w:rPr>
          <w:color w:val="000000" w:themeColor="text1"/>
          <w:sz w:val="20"/>
          <w14:textFill>
            <w14:solidFill>
              <w14:schemeClr w14:val="tx1"/>
            </w14:solidFill>
          </w14:textFill>
        </w:rPr>
      </w:pPr>
      <w:r>
        <w:rPr>
          <w:color w:val="000000" w:themeColor="text1"/>
          <w:spacing w:val="-7"/>
          <w:sz w:val="20"/>
          <w14:textFill>
            <w14:solidFill>
              <w14:schemeClr w14:val="tx1"/>
            </w14:solidFill>
          </w14:textFill>
        </w:rPr>
        <w:t>备注：须按照磋商文件要求提交相关材料扫描件</w:t>
      </w:r>
      <w:r>
        <w:rPr>
          <w:color w:val="000000" w:themeColor="text1"/>
          <w:sz w:val="20"/>
          <w14:textFill>
            <w14:solidFill>
              <w14:schemeClr w14:val="tx1"/>
            </w14:solidFill>
          </w14:textFill>
        </w:rPr>
        <w:t>。</w:t>
      </w:r>
    </w:p>
    <w:p w14:paraId="22AC62A6">
      <w:pPr>
        <w:ind w:firstLine="400"/>
        <w:rPr>
          <w:color w:val="000000" w:themeColor="text1"/>
          <w:sz w:val="20"/>
          <w14:textFill>
            <w14:solidFill>
              <w14:schemeClr w14:val="tx1"/>
            </w14:solidFill>
          </w14:textFill>
        </w:rPr>
      </w:pPr>
    </w:p>
    <w:p w14:paraId="027CCBED">
      <w:pPr>
        <w:ind w:firstLine="640"/>
        <w:jc w:val="right"/>
        <w:rPr>
          <w:rFonts w:ascii="仿宋_GB2312" w:hAnsi="仿宋"/>
          <w:color w:val="000000" w:themeColor="text1"/>
          <w:sz w:val="32"/>
          <w:szCs w:val="32"/>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供应商全称（公章）：</w:t>
      </w:r>
    </w:p>
    <w:p w14:paraId="5BB9987B">
      <w:pPr>
        <w:ind w:firstLine="640"/>
        <w:jc w:val="right"/>
        <w:rPr>
          <w:rFonts w:ascii="仿宋_GB2312" w:hAnsi="仿宋"/>
          <w:color w:val="000000" w:themeColor="text1"/>
          <w:sz w:val="32"/>
          <w:szCs w:val="32"/>
          <w14:textFill>
            <w14:solidFill>
              <w14:schemeClr w14:val="tx1"/>
            </w14:solidFill>
          </w14:textFill>
        </w:rPr>
      </w:pPr>
      <w:r>
        <w:rPr>
          <w:rFonts w:hint="eastAsia" w:ascii="仿宋_GB2312" w:hAnsi="仿宋"/>
          <w:color w:val="000000" w:themeColor="text1"/>
          <w:sz w:val="32"/>
          <w:szCs w:val="32"/>
          <w14:textFill>
            <w14:solidFill>
              <w14:schemeClr w14:val="tx1"/>
            </w14:solidFill>
          </w14:textFill>
        </w:rPr>
        <w:t>法定代表人签章</w:t>
      </w:r>
      <w:r>
        <w:rPr>
          <w:rFonts w:ascii="仿宋_GB2312" w:hAnsi="仿宋"/>
          <w:color w:val="000000" w:themeColor="text1"/>
          <w:sz w:val="32"/>
          <w:szCs w:val="32"/>
          <w14:textFill>
            <w14:solidFill>
              <w14:schemeClr w14:val="tx1"/>
            </w14:solidFill>
          </w14:textFill>
        </w:rPr>
        <w:t>：</w:t>
      </w:r>
    </w:p>
    <w:p w14:paraId="464CF9AE">
      <w:pPr>
        <w:ind w:firstLine="560"/>
        <w:jc w:val="right"/>
        <w:rPr>
          <w:rFonts w:ascii="仿宋_GB2312" w:hAnsi="仿宋"/>
          <w:color w:val="000000" w:themeColor="text1"/>
          <w:sz w:val="32"/>
          <w:szCs w:val="32"/>
          <w14:textFill>
            <w14:solidFill>
              <w14:schemeClr w14:val="tx1"/>
            </w14:solidFill>
          </w14:textFill>
        </w:rPr>
      </w:pPr>
    </w:p>
    <w:p w14:paraId="0EC9A2ED">
      <w:pPr>
        <w:ind w:firstLine="560"/>
        <w:jc w:val="right"/>
        <w:rPr>
          <w:rFonts w:ascii="仿宋_GB2312" w:hAnsi="仿宋"/>
          <w:color w:val="000000" w:themeColor="text1"/>
          <w14:textFill>
            <w14:solidFill>
              <w14:schemeClr w14:val="tx1"/>
            </w14:solidFill>
          </w14:textFill>
        </w:rPr>
      </w:pPr>
    </w:p>
    <w:p w14:paraId="041A5944">
      <w:pPr>
        <w:ind w:firstLine="600"/>
        <w:jc w:val="right"/>
        <w:rPr>
          <w:rFonts w:ascii="仿宋_GB2312" w:hAnsi="仿宋" w:cs="Arial"/>
          <w:color w:val="000000" w:themeColor="text1"/>
          <w:sz w:val="32"/>
          <w:szCs w:val="32"/>
          <w14:textFill>
            <w14:solidFill>
              <w14:schemeClr w14:val="tx1"/>
            </w14:solidFill>
          </w14:textFill>
        </w:rPr>
      </w:pPr>
    </w:p>
    <w:p w14:paraId="067CDAAF">
      <w:pPr>
        <w:ind w:firstLine="640"/>
        <w:jc w:val="center"/>
        <w:rPr>
          <w:b/>
          <w:color w:val="000000" w:themeColor="text1"/>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要求采购人提供的配合</w:t>
      </w:r>
    </w:p>
    <w:p w14:paraId="7C8965F7">
      <w:pPr>
        <w:ind w:firstLine="560"/>
        <w:jc w:val="center"/>
        <w:rPr>
          <w:b/>
          <w:color w:val="000000" w:themeColor="text1"/>
          <w14:textFill>
            <w14:solidFill>
              <w14:schemeClr w14:val="tx1"/>
            </w14:solidFill>
          </w14:textFill>
        </w:rPr>
      </w:pPr>
      <w:r>
        <w:rPr>
          <w:color w:val="000000" w:themeColor="text1"/>
          <w14:textFill>
            <w14:solidFill>
              <w14:schemeClr w14:val="tx1"/>
            </w14:solidFill>
          </w14:textFill>
        </w:rPr>
        <w:br w:type="page"/>
      </w:r>
      <w:r>
        <w:rPr>
          <w:rFonts w:hint="eastAsia" w:ascii="黑体" w:hAnsi="黑体" w:eastAsia="黑体"/>
          <w:color w:val="000000" w:themeColor="text1"/>
          <w:sz w:val="32"/>
          <w:szCs w:val="32"/>
          <w14:textFill>
            <w14:solidFill>
              <w14:schemeClr w14:val="tx1"/>
            </w14:solidFill>
          </w14:textFill>
        </w:rPr>
        <w:t>供应商认为需要提供的其他资料（如有）</w:t>
      </w:r>
    </w:p>
    <w:p w14:paraId="39C6181D">
      <w:pPr>
        <w:widowControl/>
        <w:spacing w:line="240" w:lineRule="auto"/>
        <w:ind w:firstLine="0" w:firstLineChars="0"/>
        <w:jc w:val="left"/>
        <w:rPr>
          <w:rFonts w:ascii="黑体" w:hAnsi="黑体" w:eastAsia="黑体"/>
          <w:color w:val="000000" w:themeColor="text1"/>
          <w:sz w:val="44"/>
          <w:szCs w:val="44"/>
          <w14:textFill>
            <w14:solidFill>
              <w14:schemeClr w14:val="tx1"/>
            </w14:solidFill>
          </w14:textFill>
        </w:rPr>
      </w:pPr>
      <w:r>
        <w:rPr>
          <w:rFonts w:ascii="黑体" w:hAnsi="黑体" w:eastAsia="黑体"/>
          <w:color w:val="000000" w:themeColor="text1"/>
          <w:sz w:val="44"/>
          <w:szCs w:val="44"/>
          <w14:textFill>
            <w14:solidFill>
              <w14:schemeClr w14:val="tx1"/>
            </w14:solidFill>
          </w14:textFill>
        </w:rPr>
        <w:br w:type="page"/>
      </w:r>
    </w:p>
    <w:p w14:paraId="3143B08A">
      <w:pPr>
        <w:spacing w:after="240"/>
        <w:ind w:firstLine="880"/>
        <w:jc w:val="center"/>
        <w:rPr>
          <w:rFonts w:ascii="黑体" w:hAnsi="黑体" w:eastAsia="黑体"/>
          <w:color w:val="000000" w:themeColor="text1"/>
          <w:sz w:val="44"/>
          <w:szCs w:val="44"/>
          <w14:textFill>
            <w14:solidFill>
              <w14:schemeClr w14:val="tx1"/>
            </w14:solidFill>
          </w14:textFill>
        </w:rPr>
      </w:pPr>
      <w:r>
        <w:rPr>
          <w:rFonts w:hint="eastAsia" w:ascii="黑体" w:hAnsi="黑体" w:eastAsia="黑体"/>
          <w:color w:val="000000" w:themeColor="text1"/>
          <w:sz w:val="44"/>
          <w:szCs w:val="44"/>
          <w14:textFill>
            <w14:solidFill>
              <w14:schemeClr w14:val="tx1"/>
            </w14:solidFill>
          </w14:textFill>
        </w:rPr>
        <w:t>技术文件</w:t>
      </w:r>
    </w:p>
    <w:p w14:paraId="49DE422C">
      <w:pPr>
        <w:ind w:firstLine="560"/>
        <w:jc w:val="right"/>
        <w:rPr>
          <w:color w:val="000000" w:themeColor="text1"/>
          <w14:textFill>
            <w14:solidFill>
              <w14:schemeClr w14:val="tx1"/>
            </w14:solidFill>
          </w14:textFill>
        </w:rPr>
      </w:pPr>
      <w:r>
        <w:rPr>
          <w:color w:val="000000" w:themeColor="text1"/>
          <w14:textFill>
            <w14:solidFill>
              <w14:schemeClr w14:val="tx1"/>
            </w14:solidFill>
          </w14:textFill>
        </w:rPr>
        <w:br w:type="page"/>
      </w:r>
    </w:p>
    <w:p w14:paraId="1517CBD8">
      <w:pPr>
        <w:ind w:firstLine="640"/>
        <w:jc w:val="center"/>
        <w:rPr>
          <w:rFonts w:ascii="黑体" w:hAnsi="黑体" w:eastAsia="黑体"/>
          <w:color w:val="000000" w:themeColor="text1"/>
          <w:sz w:val="32"/>
          <w:szCs w:val="32"/>
          <w14:textFill>
            <w14:solidFill>
              <w14:schemeClr w14:val="tx1"/>
            </w14:solidFill>
          </w14:textFill>
        </w:rPr>
      </w:pPr>
      <w:r>
        <w:rPr>
          <w:rFonts w:ascii="黑体" w:hAnsi="黑体" w:eastAsia="黑体"/>
          <w:color w:val="000000" w:themeColor="text1"/>
          <w:sz w:val="32"/>
          <w:szCs w:val="32"/>
          <w14:textFill>
            <w14:solidFill>
              <w14:schemeClr w14:val="tx1"/>
            </w14:solidFill>
          </w14:textFill>
        </w:rPr>
        <w:t>供应商认为说明的其他内容</w:t>
      </w:r>
    </w:p>
    <w:p w14:paraId="478F3EA5">
      <w:pPr>
        <w:ind w:right="1280" w:firstLine="640"/>
        <w:rPr>
          <w:rFonts w:ascii="仿宋_GB2312" w:hAnsi="宋体"/>
          <w:b/>
          <w:bCs/>
          <w:color w:val="000000" w:themeColor="text1"/>
          <w:sz w:val="30"/>
          <w:szCs w:val="30"/>
          <w14:textFill>
            <w14:solidFill>
              <w14:schemeClr w14:val="tx1"/>
            </w14:solidFill>
          </w14:textFill>
        </w:rPr>
      </w:pPr>
      <w:r>
        <w:rPr>
          <w:color w:val="000000" w:themeColor="text1"/>
          <w:sz w:val="32"/>
          <w:szCs w:val="32"/>
          <w14:textFill>
            <w14:solidFill>
              <w14:schemeClr w14:val="tx1"/>
            </w14:solidFill>
          </w14:textFill>
        </w:rPr>
        <w:br w:type="page"/>
      </w:r>
    </w:p>
    <w:p w14:paraId="064D6859">
      <w:pPr>
        <w:ind w:firstLine="560"/>
        <w:rPr>
          <w:color w:val="000000" w:themeColor="text1"/>
          <w14:textFill>
            <w14:solidFill>
              <w14:schemeClr w14:val="tx1"/>
            </w14:solidFill>
          </w14:textFill>
        </w:rPr>
        <w:sectPr>
          <w:headerReference r:id="rId28" w:type="first"/>
          <w:headerReference r:id="rId26" w:type="default"/>
          <w:footerReference r:id="rId29" w:type="default"/>
          <w:headerReference r:id="rId27" w:type="even"/>
          <w:pgSz w:w="11906" w:h="16838"/>
          <w:pgMar w:top="1440" w:right="1080" w:bottom="1440" w:left="1080" w:header="851" w:footer="992" w:gutter="0"/>
          <w:cols w:space="720" w:num="1"/>
          <w:docGrid w:type="lines" w:linePitch="312" w:charSpace="0"/>
        </w:sectPr>
      </w:pPr>
    </w:p>
    <w:p w14:paraId="5F64CD5B">
      <w:pPr>
        <w:pStyle w:val="43"/>
        <w:spacing w:before="100" w:beforeAutospacing="1" w:after="100" w:afterAutospacing="1" w:line="415" w:lineRule="auto"/>
        <w:ind w:left="1440" w:firstLine="883"/>
        <w:jc w:val="both"/>
        <w:rPr>
          <w:rFonts w:ascii="楷体_GB2312" w:hAnsi="宋体" w:eastAsia="楷体_GB2312" w:cs="宋体"/>
          <w:color w:val="000000" w:themeColor="text1"/>
          <w:sz w:val="44"/>
          <w:szCs w:val="44"/>
          <w14:textFill>
            <w14:solidFill>
              <w14:schemeClr w14:val="tx1"/>
            </w14:solidFill>
          </w14:textFill>
        </w:rPr>
      </w:pPr>
      <w:r>
        <w:rPr>
          <w:rFonts w:hint="eastAsia" w:ascii="宋体" w:hAnsi="宋体" w:cs="宋体"/>
          <w:color w:val="000000" w:themeColor="text1"/>
          <w:sz w:val="44"/>
          <w:szCs w:val="44"/>
          <w14:textFill>
            <w14:solidFill>
              <w14:schemeClr w14:val="tx1"/>
            </w14:solidFill>
          </w14:textFill>
        </w:rPr>
        <w:t>第六章</w:t>
      </w:r>
      <w:r>
        <w:rPr>
          <w:rFonts w:hint="eastAsia" w:ascii="楷体_GB2312" w:hAnsi="宋体" w:eastAsia="楷体_GB2312" w:cs="宋体"/>
          <w:color w:val="000000" w:themeColor="text1"/>
          <w:sz w:val="44"/>
          <w:szCs w:val="44"/>
          <w14:textFill>
            <w14:solidFill>
              <w14:schemeClr w14:val="tx1"/>
            </w14:solidFill>
          </w14:textFill>
        </w:rPr>
        <w:t>政府采购合同（范本）</w:t>
      </w:r>
    </w:p>
    <w:p w14:paraId="0E7EE851">
      <w:pPr>
        <w:ind w:firstLine="560"/>
        <w:rPr>
          <w:color w:val="000000" w:themeColor="text1"/>
          <w14:textFill>
            <w14:solidFill>
              <w14:schemeClr w14:val="tx1"/>
            </w14:solidFill>
          </w14:textFill>
        </w:rPr>
      </w:pPr>
    </w:p>
    <w:p w14:paraId="0816A09C">
      <w:pPr>
        <w:ind w:firstLine="560"/>
        <w:rPr>
          <w:color w:val="000000" w:themeColor="text1"/>
          <w14:textFill>
            <w14:solidFill>
              <w14:schemeClr w14:val="tx1"/>
            </w14:solidFill>
          </w14:textFill>
        </w:rPr>
        <w:sectPr>
          <w:headerReference r:id="rId31" w:type="first"/>
          <w:footerReference r:id="rId32" w:type="default"/>
          <w:headerReference r:id="rId30" w:type="even"/>
          <w:pgSz w:w="11906" w:h="16838"/>
          <w:pgMar w:top="1440" w:right="1077" w:bottom="1440" w:left="1077" w:header="851" w:footer="992" w:gutter="0"/>
          <w:cols w:space="720" w:num="1"/>
          <w:docGrid w:type="lines" w:linePitch="312" w:charSpace="0"/>
        </w:sectPr>
      </w:pPr>
    </w:p>
    <w:p w14:paraId="1BC36FE2">
      <w:pPr>
        <w:spacing w:line="560" w:lineRule="exact"/>
        <w:ind w:firstLine="720"/>
        <w:jc w:val="center"/>
        <w:rPr>
          <w:rFonts w:ascii="宋体" w:hAnsi="宋体"/>
          <w:color w:val="000000" w:themeColor="text1"/>
          <w:sz w:val="36"/>
          <w:szCs w:val="36"/>
          <w14:textFill>
            <w14:solidFill>
              <w14:schemeClr w14:val="tx1"/>
            </w14:solidFill>
          </w14:textFill>
        </w:rPr>
      </w:pPr>
    </w:p>
    <w:p w14:paraId="5DD53588">
      <w:pPr>
        <w:spacing w:line="560" w:lineRule="exact"/>
        <w:ind w:firstLine="720"/>
        <w:jc w:val="center"/>
        <w:rPr>
          <w:rFonts w:ascii="宋体" w:hAnsi="宋体"/>
          <w:color w:val="000000" w:themeColor="text1"/>
          <w:sz w:val="36"/>
          <w:szCs w:val="36"/>
          <w14:textFill>
            <w14:solidFill>
              <w14:schemeClr w14:val="tx1"/>
            </w14:solidFill>
          </w14:textFill>
        </w:rPr>
      </w:pPr>
    </w:p>
    <w:p w14:paraId="3C9C1EB9">
      <w:pPr>
        <w:spacing w:line="560" w:lineRule="exact"/>
        <w:ind w:firstLine="720"/>
        <w:jc w:val="center"/>
        <w:rPr>
          <w:rFonts w:ascii="宋体" w:hAnsi="宋体"/>
          <w:color w:val="000000" w:themeColor="text1"/>
          <w:sz w:val="36"/>
          <w:szCs w:val="36"/>
          <w14:textFill>
            <w14:solidFill>
              <w14:schemeClr w14:val="tx1"/>
            </w14:solidFill>
          </w14:textFill>
        </w:rPr>
      </w:pPr>
    </w:p>
    <w:p w14:paraId="595AA907">
      <w:pPr>
        <w:spacing w:line="560" w:lineRule="exact"/>
        <w:ind w:firstLine="723"/>
        <w:jc w:val="center"/>
        <w:outlineLvl w:val="1"/>
        <w:rPr>
          <w:rFonts w:ascii="宋体" w:hAnsi="宋体"/>
          <w:b/>
          <w:color w:val="000000" w:themeColor="text1"/>
          <w:sz w:val="36"/>
          <w:szCs w:val="36"/>
          <w14:textFill>
            <w14:solidFill>
              <w14:schemeClr w14:val="tx1"/>
            </w14:solidFill>
          </w14:textFill>
        </w:rPr>
      </w:pPr>
      <w:r>
        <w:rPr>
          <w:rFonts w:hint="eastAsia" w:ascii="宋体" w:hAnsi="宋体"/>
          <w:b/>
          <w:color w:val="000000" w:themeColor="text1"/>
          <w:sz w:val="36"/>
          <w:szCs w:val="36"/>
          <w14:textFill>
            <w14:solidFill>
              <w14:schemeClr w14:val="tx1"/>
            </w14:solidFill>
          </w14:textFill>
        </w:rPr>
        <w:t>合同书</w:t>
      </w:r>
    </w:p>
    <w:p w14:paraId="63B7B96A">
      <w:pPr>
        <w:spacing w:line="560" w:lineRule="exact"/>
        <w:ind w:firstLine="720"/>
        <w:jc w:val="center"/>
        <w:rPr>
          <w:rFonts w:ascii="宋体" w:hAnsi="宋体"/>
          <w:color w:val="000000" w:themeColor="text1"/>
          <w:sz w:val="36"/>
          <w:szCs w:val="36"/>
          <w14:textFill>
            <w14:solidFill>
              <w14:schemeClr w14:val="tx1"/>
            </w14:solidFill>
          </w14:textFill>
        </w:rPr>
      </w:pPr>
    </w:p>
    <w:p w14:paraId="2CF20853">
      <w:pPr>
        <w:spacing w:line="560" w:lineRule="exact"/>
        <w:ind w:firstLine="720"/>
        <w:jc w:val="center"/>
        <w:rPr>
          <w:rFonts w:ascii="宋体" w:hAnsi="宋体"/>
          <w:color w:val="000000" w:themeColor="text1"/>
          <w:sz w:val="36"/>
          <w:szCs w:val="36"/>
          <w14:textFill>
            <w14:solidFill>
              <w14:schemeClr w14:val="tx1"/>
            </w14:solidFill>
          </w14:textFill>
        </w:rPr>
      </w:pPr>
    </w:p>
    <w:p w14:paraId="16B98A10">
      <w:pPr>
        <w:spacing w:line="560" w:lineRule="exact"/>
        <w:ind w:firstLine="720"/>
        <w:jc w:val="center"/>
        <w:rPr>
          <w:rFonts w:ascii="宋体" w:hAnsi="宋体"/>
          <w:color w:val="000000" w:themeColor="text1"/>
          <w:sz w:val="36"/>
          <w:szCs w:val="36"/>
          <w14:textFill>
            <w14:solidFill>
              <w14:schemeClr w14:val="tx1"/>
            </w14:solidFill>
          </w14:textFill>
        </w:rPr>
      </w:pPr>
    </w:p>
    <w:p w14:paraId="33D755A8">
      <w:pPr>
        <w:spacing w:line="560" w:lineRule="exact"/>
        <w:ind w:firstLine="720"/>
        <w:jc w:val="center"/>
        <w:rPr>
          <w:rFonts w:ascii="宋体" w:hAnsi="宋体"/>
          <w:color w:val="000000" w:themeColor="text1"/>
          <w:sz w:val="36"/>
          <w:szCs w:val="36"/>
          <w14:textFill>
            <w14:solidFill>
              <w14:schemeClr w14:val="tx1"/>
            </w14:solidFill>
          </w14:textFill>
        </w:rPr>
      </w:pPr>
    </w:p>
    <w:p w14:paraId="67B5DA74">
      <w:pPr>
        <w:spacing w:line="560" w:lineRule="exact"/>
        <w:ind w:firstLine="720"/>
        <w:jc w:val="center"/>
        <w:rPr>
          <w:rFonts w:ascii="宋体" w:hAnsi="宋体"/>
          <w:color w:val="000000" w:themeColor="text1"/>
          <w:sz w:val="36"/>
          <w:szCs w:val="36"/>
          <w14:textFill>
            <w14:solidFill>
              <w14:schemeClr w14:val="tx1"/>
            </w14:solidFill>
          </w14:textFill>
        </w:rPr>
      </w:pPr>
    </w:p>
    <w:p w14:paraId="6A07CAA0">
      <w:pPr>
        <w:spacing w:line="560" w:lineRule="exact"/>
        <w:ind w:firstLine="0" w:firstLineChars="0"/>
        <w:jc w:val="left"/>
        <w:rPr>
          <w:rFonts w:hint="eastAsia" w:ascii="宋体" w:hAnsi="宋体" w:eastAsia="仿宋_GB2312"/>
          <w:b/>
          <w:color w:val="000000" w:themeColor="text1"/>
          <w:sz w:val="36"/>
          <w:szCs w:val="36"/>
          <w:lang w:eastAsia="zh-CN"/>
          <w14:textFill>
            <w14:solidFill>
              <w14:schemeClr w14:val="tx1"/>
            </w14:solidFill>
          </w14:textFill>
        </w:rPr>
      </w:pPr>
      <w:r>
        <w:rPr>
          <w:rFonts w:hint="eastAsia" w:ascii="宋体" w:hAnsi="宋体"/>
          <w:b/>
          <w:color w:val="000000" w:themeColor="text1"/>
          <w:sz w:val="36"/>
          <w:szCs w:val="36"/>
          <w14:textFill>
            <w14:solidFill>
              <w14:schemeClr w14:val="tx1"/>
            </w14:solidFill>
          </w14:textFill>
        </w:rPr>
        <w:t>项目名称:</w:t>
      </w:r>
      <w:r>
        <w:rPr>
          <w:rFonts w:ascii="宋体" w:hAnsi="宋体"/>
          <w:b/>
          <w:color w:val="000000" w:themeColor="text1"/>
          <w:sz w:val="36"/>
          <w:szCs w:val="36"/>
          <w14:textFill>
            <w14:solidFill>
              <w14:schemeClr w14:val="tx1"/>
            </w14:solidFill>
          </w14:textFill>
        </w:rPr>
        <w:t xml:space="preserve"> </w:t>
      </w:r>
      <w:r>
        <w:rPr>
          <w:rFonts w:hint="eastAsia" w:ascii="宋体" w:hAnsi="宋体"/>
          <w:b/>
          <w:color w:val="000000" w:themeColor="text1"/>
          <w:sz w:val="36"/>
          <w:szCs w:val="36"/>
          <w:lang w:eastAsia="zh-CN"/>
          <w14:textFill>
            <w14:solidFill>
              <w14:schemeClr w14:val="tx1"/>
            </w14:solidFill>
          </w14:textFill>
        </w:rPr>
        <w:t>乳山市2024年小型水库维修养护项目</w:t>
      </w:r>
    </w:p>
    <w:p w14:paraId="3CB864DA">
      <w:pPr>
        <w:spacing w:line="560" w:lineRule="exact"/>
        <w:ind w:firstLine="723"/>
        <w:jc w:val="left"/>
        <w:rPr>
          <w:rFonts w:ascii="宋体" w:hAnsi="宋体"/>
          <w:b/>
          <w:color w:val="000000" w:themeColor="text1"/>
          <w:sz w:val="36"/>
          <w:szCs w:val="36"/>
          <w14:textFill>
            <w14:solidFill>
              <w14:schemeClr w14:val="tx1"/>
            </w14:solidFill>
          </w14:textFill>
        </w:rPr>
      </w:pPr>
      <w:r>
        <w:rPr>
          <w:rFonts w:hint="eastAsia" w:ascii="宋体" w:hAnsi="宋体"/>
          <w:b/>
          <w:color w:val="000000" w:themeColor="text1"/>
          <w:sz w:val="36"/>
          <w:szCs w:val="36"/>
          <w14:textFill>
            <w14:solidFill>
              <w14:schemeClr w14:val="tx1"/>
            </w14:solidFill>
          </w14:textFill>
        </w:rPr>
        <w:t>合同编号:</w:t>
      </w:r>
      <w:r>
        <w:rPr>
          <w:rFonts w:hint="eastAsia" w:ascii="宋体" w:hAnsi="宋体"/>
          <w:b/>
          <w:color w:val="000000" w:themeColor="text1"/>
          <w:sz w:val="36"/>
          <w:szCs w:val="36"/>
          <w:lang w:eastAsia="zh-CN"/>
          <w14:textFill>
            <w14:solidFill>
              <w14:schemeClr w14:val="tx1"/>
            </w14:solidFill>
          </w14:textFill>
        </w:rPr>
        <w:t>SDGP371083000202402000122</w:t>
      </w:r>
      <w:r>
        <w:rPr>
          <w:rFonts w:ascii="宋体" w:hAnsi="宋体" w:eastAsia="宋体"/>
          <w:b/>
          <w:color w:val="000000" w:themeColor="text1"/>
          <w:sz w:val="36"/>
          <w:szCs w:val="36"/>
          <w14:textFill>
            <w14:solidFill>
              <w14:schemeClr w14:val="tx1"/>
            </w14:solidFill>
          </w14:textFill>
        </w:rPr>
        <w:t>A</w:t>
      </w:r>
      <w:r>
        <w:rPr>
          <w:rFonts w:hint="eastAsia" w:ascii="宋体" w:hAnsi="宋体"/>
          <w:b/>
          <w:color w:val="000000" w:themeColor="text1"/>
          <w:sz w:val="36"/>
          <w:szCs w:val="36"/>
          <w14:textFill>
            <w14:solidFill>
              <w14:schemeClr w14:val="tx1"/>
            </w14:solidFill>
          </w14:textFill>
        </w:rPr>
        <w:t>_</w:t>
      </w:r>
      <w:r>
        <w:rPr>
          <w:rFonts w:ascii="宋体" w:hAnsi="宋体"/>
          <w:b/>
          <w:color w:val="000000" w:themeColor="text1"/>
          <w:sz w:val="36"/>
          <w:szCs w:val="36"/>
          <w14:textFill>
            <w14:solidFill>
              <w14:schemeClr w14:val="tx1"/>
            </w14:solidFill>
          </w14:textFill>
        </w:rPr>
        <w:t>001</w:t>
      </w:r>
    </w:p>
    <w:p w14:paraId="5DD454F7">
      <w:pPr>
        <w:spacing w:line="560" w:lineRule="exact"/>
        <w:ind w:firstLine="723"/>
        <w:jc w:val="left"/>
        <w:rPr>
          <w:rFonts w:ascii="宋体" w:hAnsi="宋体"/>
          <w:b/>
          <w:color w:val="000000" w:themeColor="text1"/>
          <w:sz w:val="36"/>
          <w:szCs w:val="36"/>
          <w14:textFill>
            <w14:solidFill>
              <w14:schemeClr w14:val="tx1"/>
            </w14:solidFill>
          </w14:textFill>
        </w:rPr>
      </w:pPr>
      <w:r>
        <w:rPr>
          <w:rFonts w:hint="eastAsia" w:ascii="宋体" w:hAnsi="宋体"/>
          <w:b/>
          <w:color w:val="000000" w:themeColor="text1"/>
          <w:sz w:val="36"/>
          <w:szCs w:val="36"/>
          <w14:textFill>
            <w14:solidFill>
              <w14:schemeClr w14:val="tx1"/>
            </w14:solidFill>
          </w14:textFill>
        </w:rPr>
        <w:t>计划编号:</w:t>
      </w:r>
    </w:p>
    <w:p w14:paraId="660CDEE4">
      <w:pPr>
        <w:spacing w:line="560" w:lineRule="exact"/>
        <w:ind w:firstLine="720"/>
        <w:jc w:val="center"/>
        <w:rPr>
          <w:rFonts w:ascii="宋体" w:hAnsi="宋体"/>
          <w:color w:val="000000" w:themeColor="text1"/>
          <w:sz w:val="36"/>
          <w:szCs w:val="36"/>
          <w14:textFill>
            <w14:solidFill>
              <w14:schemeClr w14:val="tx1"/>
            </w14:solidFill>
          </w14:textFill>
        </w:rPr>
      </w:pPr>
    </w:p>
    <w:p w14:paraId="7B1BB9CA">
      <w:pPr>
        <w:spacing w:line="560" w:lineRule="exact"/>
        <w:ind w:firstLine="720"/>
        <w:jc w:val="center"/>
        <w:rPr>
          <w:rFonts w:ascii="宋体" w:hAnsi="宋体"/>
          <w:color w:val="000000" w:themeColor="text1"/>
          <w:sz w:val="36"/>
          <w:szCs w:val="36"/>
          <w14:textFill>
            <w14:solidFill>
              <w14:schemeClr w14:val="tx1"/>
            </w14:solidFill>
          </w14:textFill>
        </w:rPr>
      </w:pPr>
    </w:p>
    <w:p w14:paraId="7903CE36">
      <w:pPr>
        <w:spacing w:line="560" w:lineRule="exact"/>
        <w:ind w:firstLine="720"/>
        <w:jc w:val="center"/>
        <w:rPr>
          <w:rFonts w:ascii="宋体" w:hAnsi="宋体"/>
          <w:color w:val="000000" w:themeColor="text1"/>
          <w:sz w:val="36"/>
          <w:szCs w:val="36"/>
          <w14:textFill>
            <w14:solidFill>
              <w14:schemeClr w14:val="tx1"/>
            </w14:solidFill>
          </w14:textFill>
        </w:rPr>
      </w:pPr>
    </w:p>
    <w:p w14:paraId="5274E1F5">
      <w:pPr>
        <w:spacing w:line="560" w:lineRule="exact"/>
        <w:ind w:firstLine="723"/>
        <w:rPr>
          <w:rFonts w:ascii="宋体" w:hAnsi="宋体"/>
          <w:b/>
          <w:color w:val="000000" w:themeColor="text1"/>
          <w:sz w:val="36"/>
          <w:szCs w:val="36"/>
          <w14:textFill>
            <w14:solidFill>
              <w14:schemeClr w14:val="tx1"/>
            </w14:solidFill>
          </w14:textFill>
        </w:rPr>
      </w:pPr>
      <w:r>
        <w:rPr>
          <w:rFonts w:hint="eastAsia" w:ascii="宋体" w:hAnsi="宋体"/>
          <w:b/>
          <w:color w:val="000000" w:themeColor="text1"/>
          <w:sz w:val="36"/>
          <w:szCs w:val="36"/>
          <w14:textFill>
            <w14:solidFill>
              <w14:schemeClr w14:val="tx1"/>
            </w14:solidFill>
          </w14:textFill>
        </w:rPr>
        <w:t>甲方:</w:t>
      </w:r>
      <w:r>
        <w:rPr>
          <w:rFonts w:ascii="宋体" w:hAnsi="宋体"/>
          <w:b/>
          <w:color w:val="000000" w:themeColor="text1"/>
          <w:sz w:val="36"/>
          <w:szCs w:val="36"/>
          <w14:textFill>
            <w14:solidFill>
              <w14:schemeClr w14:val="tx1"/>
            </w14:solidFill>
          </w14:textFill>
        </w:rPr>
        <w:t>乳山市水利事务服务中心</w:t>
      </w:r>
    </w:p>
    <w:p w14:paraId="4B9AB3CF">
      <w:pPr>
        <w:spacing w:line="560" w:lineRule="exact"/>
        <w:ind w:firstLine="723"/>
        <w:rPr>
          <w:rFonts w:ascii="宋体" w:hAnsi="宋体"/>
          <w:b/>
          <w:color w:val="000000" w:themeColor="text1"/>
          <w:sz w:val="36"/>
          <w:szCs w:val="36"/>
          <w14:textFill>
            <w14:solidFill>
              <w14:schemeClr w14:val="tx1"/>
            </w14:solidFill>
          </w14:textFill>
        </w:rPr>
      </w:pPr>
    </w:p>
    <w:p w14:paraId="16E5FFEB">
      <w:pPr>
        <w:spacing w:line="560" w:lineRule="exact"/>
        <w:ind w:firstLine="723"/>
        <w:rPr>
          <w:rFonts w:ascii="宋体" w:hAnsi="宋体"/>
          <w:b/>
          <w:color w:val="000000" w:themeColor="text1"/>
          <w:sz w:val="36"/>
          <w:szCs w:val="36"/>
          <w14:textFill>
            <w14:solidFill>
              <w14:schemeClr w14:val="tx1"/>
            </w14:solidFill>
          </w14:textFill>
        </w:rPr>
      </w:pPr>
      <w:r>
        <w:rPr>
          <w:rFonts w:hint="eastAsia" w:ascii="宋体" w:hAnsi="宋体"/>
          <w:b/>
          <w:color w:val="000000" w:themeColor="text1"/>
          <w:sz w:val="36"/>
          <w:szCs w:val="36"/>
          <w14:textFill>
            <w14:solidFill>
              <w14:schemeClr w14:val="tx1"/>
            </w14:solidFill>
          </w14:textFill>
        </w:rPr>
        <w:t>乙方:</w:t>
      </w:r>
    </w:p>
    <w:p w14:paraId="64860FE7">
      <w:pPr>
        <w:tabs>
          <w:tab w:val="left" w:pos="930"/>
          <w:tab w:val="left" w:pos="1980"/>
          <w:tab w:val="left" w:pos="2160"/>
          <w:tab w:val="left" w:pos="2340"/>
          <w:tab w:val="left" w:pos="6400"/>
        </w:tabs>
        <w:spacing w:before="312" w:beforeLines="100" w:after="100" w:afterAutospacing="1"/>
        <w:ind w:left="560" w:leftChars="200" w:firstLine="602"/>
        <w:jc w:val="center"/>
        <w:textAlignment w:val="center"/>
        <w:rPr>
          <w:rFonts w:ascii="仿宋_GB2312"/>
          <w:b/>
          <w:bCs/>
          <w:color w:val="000000" w:themeColor="text1"/>
          <w:sz w:val="30"/>
          <w:szCs w:val="30"/>
          <w14:textFill>
            <w14:solidFill>
              <w14:schemeClr w14:val="tx1"/>
            </w14:solidFill>
          </w14:textFill>
        </w:rPr>
      </w:pPr>
    </w:p>
    <w:p w14:paraId="38EDEC69">
      <w:pPr>
        <w:spacing w:before="312" w:beforeLines="100" w:line="400" w:lineRule="exact"/>
        <w:ind w:firstLine="1040"/>
        <w:jc w:val="center"/>
        <w:rPr>
          <w:rFonts w:ascii="宋体" w:hAnsi="宋体"/>
          <w:color w:val="000000" w:themeColor="text1"/>
          <w:sz w:val="52"/>
          <w:szCs w:val="52"/>
          <w14:textFill>
            <w14:solidFill>
              <w14:schemeClr w14:val="tx1"/>
            </w14:solidFill>
          </w14:textFill>
        </w:rPr>
      </w:pPr>
      <w:r>
        <w:rPr>
          <w:rFonts w:ascii="宋体" w:hAnsi="宋体"/>
          <w:color w:val="000000" w:themeColor="text1"/>
          <w:sz w:val="52"/>
          <w:szCs w:val="52"/>
          <w14:textFill>
            <w14:solidFill>
              <w14:schemeClr w14:val="tx1"/>
            </w14:solidFill>
          </w14:textFill>
        </w:rPr>
        <w:br w:type="page"/>
      </w:r>
    </w:p>
    <w:p w14:paraId="79093068">
      <w:pPr>
        <w:pStyle w:val="87"/>
        <w:spacing w:line="440" w:lineRule="atLeast"/>
        <w:ind w:firstLine="562"/>
        <w:jc w:val="center"/>
        <w:rPr>
          <w:rFonts w:hAnsi="宋体"/>
          <w:color w:val="000000" w:themeColor="text1"/>
          <w:sz w:val="28"/>
          <w:szCs w:val="28"/>
          <w14:textFill>
            <w14:solidFill>
              <w14:schemeClr w14:val="tx1"/>
            </w14:solidFill>
          </w14:textFill>
        </w:rPr>
      </w:pPr>
      <w:r>
        <w:rPr>
          <w:rFonts w:hint="eastAsia" w:hAnsi="宋体"/>
          <w:color w:val="000000" w:themeColor="text1"/>
          <w:sz w:val="28"/>
          <w:szCs w:val="28"/>
          <w14:textFill>
            <w14:solidFill>
              <w14:schemeClr w14:val="tx1"/>
            </w14:solidFill>
          </w14:textFill>
        </w:rPr>
        <w:t>合同协议书</w:t>
      </w:r>
    </w:p>
    <w:p w14:paraId="7B9868FE">
      <w:pPr>
        <w:pStyle w:val="87"/>
        <w:spacing w:line="400" w:lineRule="exact"/>
        <w:ind w:firstLine="361"/>
        <w:rPr>
          <w:rFonts w:hAnsi="宋体"/>
          <w:color w:val="000000" w:themeColor="text1"/>
          <w:u w:val="single"/>
          <w14:textFill>
            <w14:solidFill>
              <w14:schemeClr w14:val="tx1"/>
            </w14:solidFill>
          </w14:textFill>
        </w:rPr>
      </w:pPr>
    </w:p>
    <w:p w14:paraId="118005CE">
      <w:pPr>
        <w:pStyle w:val="87"/>
        <w:spacing w:line="400" w:lineRule="exact"/>
        <w:ind w:firstLine="361"/>
        <w:rPr>
          <w:rFonts w:hAnsi="宋体"/>
          <w:color w:val="000000" w:themeColor="text1"/>
          <w14:textFill>
            <w14:solidFill>
              <w14:schemeClr w14:val="tx1"/>
            </w14:solidFill>
          </w14:textFill>
        </w:rPr>
      </w:pPr>
      <w:r>
        <w:rPr>
          <w:rFonts w:hint="eastAsia" w:hAnsi="宋体"/>
          <w:color w:val="000000" w:themeColor="text1"/>
          <w:u w:val="single"/>
          <w14:textFill>
            <w14:solidFill>
              <w14:schemeClr w14:val="tx1"/>
            </w14:solidFill>
          </w14:textFill>
        </w:rPr>
        <w:t xml:space="preserve"> （发包人名称，以下简称“发包人”） </w:t>
      </w:r>
      <w:r>
        <w:rPr>
          <w:rFonts w:hint="eastAsia" w:hAnsi="宋体"/>
          <w:color w:val="000000" w:themeColor="text1"/>
          <w14:textFill>
            <w14:solidFill>
              <w14:schemeClr w14:val="tx1"/>
            </w14:solidFill>
          </w14:textFill>
        </w:rPr>
        <w:t>为实施</w:t>
      </w:r>
      <w:r>
        <w:rPr>
          <w:rFonts w:hint="eastAsia" w:hAnsi="宋体"/>
          <w:color w:val="000000" w:themeColor="text1"/>
          <w:u w:val="single"/>
          <w14:textFill>
            <w14:solidFill>
              <w14:schemeClr w14:val="tx1"/>
            </w14:solidFill>
          </w14:textFill>
        </w:rPr>
        <w:t xml:space="preserve">  （项目名称）   </w:t>
      </w:r>
      <w:r>
        <w:rPr>
          <w:rFonts w:hint="eastAsia" w:hAnsi="宋体"/>
          <w:color w:val="000000" w:themeColor="text1"/>
          <w14:textFill>
            <w14:solidFill>
              <w14:schemeClr w14:val="tx1"/>
            </w14:solidFill>
          </w14:textFill>
        </w:rPr>
        <w:t>，已接受</w:t>
      </w:r>
      <w:r>
        <w:rPr>
          <w:rFonts w:hint="eastAsia" w:hAnsi="宋体"/>
          <w:color w:val="000000" w:themeColor="text1"/>
          <w:u w:val="single"/>
          <w14:textFill>
            <w14:solidFill>
              <w14:schemeClr w14:val="tx1"/>
            </w14:solidFill>
          </w14:textFill>
        </w:rPr>
        <w:t>（承包人名称，以下简称“承包人”）</w:t>
      </w:r>
      <w:r>
        <w:rPr>
          <w:rFonts w:hint="eastAsia" w:hAnsi="宋体"/>
          <w:color w:val="000000" w:themeColor="text1"/>
          <w14:textFill>
            <w14:solidFill>
              <w14:schemeClr w14:val="tx1"/>
            </w14:solidFill>
          </w14:textFill>
        </w:rPr>
        <w:t>对该项目</w:t>
      </w:r>
      <w:r>
        <w:rPr>
          <w:rFonts w:hint="eastAsia" w:hAnsi="宋体"/>
          <w:color w:val="000000" w:themeColor="text1"/>
          <w:u w:val="single"/>
          <w14:textFill>
            <w14:solidFill>
              <w14:schemeClr w14:val="tx1"/>
            </w14:solidFill>
          </w14:textFill>
        </w:rPr>
        <w:t xml:space="preserve">标段   </w:t>
      </w:r>
      <w:r>
        <w:rPr>
          <w:rFonts w:hint="eastAsia" w:hAnsi="宋体"/>
          <w:color w:val="000000" w:themeColor="text1"/>
          <w14:textFill>
            <w14:solidFill>
              <w14:schemeClr w14:val="tx1"/>
            </w14:solidFill>
          </w14:textFill>
        </w:rPr>
        <w:t>施工的投标，并确定其为中标人。发包人和承包人共同达成如下协议。</w:t>
      </w:r>
    </w:p>
    <w:p w14:paraId="21E64A71">
      <w:pPr>
        <w:spacing w:line="400" w:lineRule="exact"/>
        <w:ind w:firstLine="478" w:firstLineChars="171"/>
        <w:rPr>
          <w:rFonts w:cs="宋体"/>
          <w:color w:val="000000" w:themeColor="text1"/>
          <w:szCs w:val="21"/>
          <w14:textFill>
            <w14:solidFill>
              <w14:schemeClr w14:val="tx1"/>
            </w14:solidFill>
          </w14:textFill>
        </w:rPr>
      </w:pPr>
      <w:bookmarkStart w:id="0" w:name="_Toc144974828"/>
      <w:bookmarkStart w:id="1" w:name="_Toc152042548"/>
      <w:r>
        <w:rPr>
          <w:rFonts w:hint="eastAsia" w:cs="宋体"/>
          <w:color w:val="000000" w:themeColor="text1"/>
          <w:szCs w:val="21"/>
          <w14:textFill>
            <w14:solidFill>
              <w14:schemeClr w14:val="tx1"/>
            </w14:solidFill>
          </w14:textFill>
        </w:rPr>
        <w:t>1. 本协议书与下列文件一起构成合同文件：</w:t>
      </w:r>
      <w:bookmarkEnd w:id="0"/>
      <w:bookmarkEnd w:id="1"/>
    </w:p>
    <w:p w14:paraId="17C80996">
      <w:pPr>
        <w:spacing w:line="400" w:lineRule="exact"/>
        <w:ind w:firstLine="957" w:firstLineChars="342"/>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（1）中标通知书；</w:t>
      </w:r>
    </w:p>
    <w:p w14:paraId="40B27B52">
      <w:pPr>
        <w:spacing w:line="400" w:lineRule="exact"/>
        <w:ind w:firstLine="957" w:firstLineChars="342"/>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（2）投标函及投标函附录；</w:t>
      </w:r>
    </w:p>
    <w:p w14:paraId="2E22C90A">
      <w:pPr>
        <w:spacing w:line="400" w:lineRule="exact"/>
        <w:ind w:firstLine="957" w:firstLineChars="342"/>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（3）专用合同条款；</w:t>
      </w:r>
    </w:p>
    <w:p w14:paraId="3C661EC9">
      <w:pPr>
        <w:spacing w:line="400" w:lineRule="exact"/>
        <w:ind w:firstLine="957" w:firstLineChars="342"/>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（4）通用合同条款；</w:t>
      </w:r>
    </w:p>
    <w:p w14:paraId="1417FEE6">
      <w:pPr>
        <w:spacing w:line="400" w:lineRule="exact"/>
        <w:ind w:firstLine="957" w:firstLineChars="342"/>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（5）技术标准和要求；</w:t>
      </w:r>
    </w:p>
    <w:p w14:paraId="25BE582A">
      <w:pPr>
        <w:spacing w:line="400" w:lineRule="exact"/>
        <w:ind w:firstLine="957" w:firstLineChars="342"/>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（6）图纸；</w:t>
      </w:r>
    </w:p>
    <w:p w14:paraId="544C90CF">
      <w:pPr>
        <w:spacing w:line="400" w:lineRule="exact"/>
        <w:ind w:firstLine="957" w:firstLineChars="342"/>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（7）工程量清单；</w:t>
      </w:r>
    </w:p>
    <w:p w14:paraId="301F1DB4">
      <w:pPr>
        <w:spacing w:line="400" w:lineRule="exact"/>
        <w:ind w:firstLine="957" w:firstLineChars="342"/>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（8）其他合同文件。</w:t>
      </w:r>
    </w:p>
    <w:p w14:paraId="176AD1EA">
      <w:pPr>
        <w:spacing w:line="400" w:lineRule="exact"/>
        <w:ind w:firstLine="478" w:firstLineChars="171"/>
        <w:rPr>
          <w:rFonts w:cs="宋体"/>
          <w:color w:val="000000" w:themeColor="text1"/>
          <w:szCs w:val="21"/>
          <w14:textFill>
            <w14:solidFill>
              <w14:schemeClr w14:val="tx1"/>
            </w14:solidFill>
          </w14:textFill>
        </w:rPr>
      </w:pPr>
      <w:bookmarkStart w:id="2" w:name="_Toc152042549"/>
      <w:bookmarkStart w:id="3" w:name="_Toc144974829"/>
      <w:r>
        <w:rPr>
          <w:rFonts w:hint="eastAsia" w:cs="宋体"/>
          <w:color w:val="000000" w:themeColor="text1"/>
          <w:szCs w:val="21"/>
          <w14:textFill>
            <w14:solidFill>
              <w14:schemeClr w14:val="tx1"/>
            </w14:solidFill>
          </w14:textFill>
        </w:rPr>
        <w:t>2. 上述文件互相补充和解释，如有不明确或不一致之处，以合同约定次序在先者为准。</w:t>
      </w:r>
      <w:bookmarkEnd w:id="2"/>
      <w:bookmarkEnd w:id="3"/>
    </w:p>
    <w:p w14:paraId="2374D5C1">
      <w:pPr>
        <w:spacing w:line="400" w:lineRule="exact"/>
        <w:ind w:firstLine="478" w:firstLineChars="171"/>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3. 签约合同价：人民币（大写）（¥）。</w:t>
      </w:r>
    </w:p>
    <w:p w14:paraId="27213323">
      <w:pPr>
        <w:spacing w:line="400" w:lineRule="exact"/>
        <w:ind w:firstLine="478" w:firstLineChars="171"/>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4. 合同形式：。</w:t>
      </w:r>
    </w:p>
    <w:p w14:paraId="510F94C8">
      <w:pPr>
        <w:spacing w:line="400" w:lineRule="exact"/>
        <w:ind w:firstLine="478" w:firstLineChars="171"/>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5. 计划开工日期：年月日；</w:t>
      </w:r>
    </w:p>
    <w:p w14:paraId="0D2D4BB4">
      <w:pPr>
        <w:spacing w:line="400" w:lineRule="exact"/>
        <w:ind w:firstLine="840" w:firstLineChars="300"/>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计划竣工日期：年月日；工期：日历天。</w:t>
      </w:r>
    </w:p>
    <w:p w14:paraId="7FBC2C11">
      <w:pPr>
        <w:spacing w:line="400" w:lineRule="exact"/>
        <w:ind w:firstLine="478" w:firstLineChars="171"/>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6. 承包人项目经理：；技术负责人：。</w:t>
      </w:r>
    </w:p>
    <w:p w14:paraId="73A03614">
      <w:pPr>
        <w:spacing w:line="400" w:lineRule="exact"/>
        <w:ind w:firstLine="478" w:firstLineChars="171"/>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7. 工程质量符合标准。</w:t>
      </w:r>
    </w:p>
    <w:p w14:paraId="0AC5B6AA">
      <w:pPr>
        <w:spacing w:line="400" w:lineRule="exact"/>
        <w:ind w:firstLine="478" w:firstLineChars="171"/>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8. 承包人承诺按合同约定承担工程的施工、竣工交付及缺陷修复。</w:t>
      </w:r>
    </w:p>
    <w:p w14:paraId="62EF3F6B">
      <w:pPr>
        <w:spacing w:line="400" w:lineRule="exact"/>
        <w:ind w:firstLine="478" w:firstLineChars="171"/>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9. 发包人承诺按合同约定的条件、时间和方式向承包人支付合同价款。</w:t>
      </w:r>
    </w:p>
    <w:p w14:paraId="3FA099E4">
      <w:pPr>
        <w:spacing w:line="400" w:lineRule="exact"/>
        <w:ind w:firstLine="478" w:firstLineChars="171"/>
        <w:rPr>
          <w:rFonts w:cs="宋体"/>
          <w:color w:val="000000" w:themeColor="text1"/>
          <w:szCs w:val="21"/>
          <w14:textFill>
            <w14:solidFill>
              <w14:schemeClr w14:val="tx1"/>
            </w14:solidFill>
          </w14:textFill>
        </w:rPr>
      </w:pPr>
      <w:bookmarkStart w:id="4" w:name="_Toc152042550"/>
      <w:bookmarkStart w:id="5" w:name="_Toc144974830"/>
      <w:r>
        <w:rPr>
          <w:rFonts w:hint="eastAsia" w:cs="宋体"/>
          <w:color w:val="000000" w:themeColor="text1"/>
          <w:szCs w:val="21"/>
          <w14:textFill>
            <w14:solidFill>
              <w14:schemeClr w14:val="tx1"/>
            </w14:solidFill>
          </w14:textFill>
        </w:rPr>
        <w:t>10. 工程量计量</w:t>
      </w:r>
    </w:p>
    <w:p w14:paraId="74FF8738">
      <w:pPr>
        <w:spacing w:line="400" w:lineRule="exact"/>
        <w:ind w:firstLine="478" w:firstLineChars="171"/>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本合同施工工程量：以甲方、乙方、监理单位共同认定的工程量为依据，并报县财政部门审核同意，方可作为施工工程量进入结算。</w:t>
      </w:r>
    </w:p>
    <w:p w14:paraId="57A8B15A">
      <w:pPr>
        <w:spacing w:line="400" w:lineRule="exact"/>
        <w:ind w:firstLine="478" w:firstLineChars="171"/>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乙方超出设计图纸要求增加的工程量经甲方、乙方、监理单位、设计单位共同认定核准后，计入结算。</w:t>
      </w:r>
    </w:p>
    <w:p w14:paraId="68C824A7">
      <w:pPr>
        <w:spacing w:line="400" w:lineRule="exact"/>
        <w:ind w:firstLine="478" w:firstLineChars="171"/>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未经认定及未经核准的工程量、和因自身原因造成返工的工程量，不予计量，不准进入结算。</w:t>
      </w:r>
    </w:p>
    <w:p w14:paraId="00113DDB">
      <w:pPr>
        <w:ind w:firstLine="478" w:firstLineChars="171"/>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11.本协议书一式份，合同双方各执份。</w:t>
      </w:r>
    </w:p>
    <w:p w14:paraId="71BDD535">
      <w:pPr>
        <w:spacing w:line="400" w:lineRule="exact"/>
        <w:ind w:firstLine="478" w:firstLineChars="171"/>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12. 合同未尽事宜，双方另行签订补充协议。补充协议是合同的组成部分。</w:t>
      </w:r>
      <w:bookmarkEnd w:id="4"/>
      <w:bookmarkEnd w:id="5"/>
    </w:p>
    <w:p w14:paraId="1DE9DF32">
      <w:pPr>
        <w:spacing w:line="480" w:lineRule="exact"/>
        <w:ind w:firstLine="560"/>
        <w:rPr>
          <w:rFonts w:cs="宋体"/>
          <w:color w:val="000000" w:themeColor="text1"/>
          <w:szCs w:val="21"/>
          <w14:textFill>
            <w14:solidFill>
              <w14:schemeClr w14:val="tx1"/>
            </w14:solidFill>
          </w14:textFill>
        </w:rPr>
      </w:pPr>
    </w:p>
    <w:p w14:paraId="1C234F44">
      <w:pPr>
        <w:spacing w:line="480" w:lineRule="exact"/>
        <w:ind w:firstLine="560"/>
        <w:rPr>
          <w:rFonts w:cs="宋体"/>
          <w:color w:val="000000" w:themeColor="text1"/>
          <w:szCs w:val="21"/>
          <w14:textFill>
            <w14:solidFill>
              <w14:schemeClr w14:val="tx1"/>
            </w14:solidFill>
          </w14:textFill>
        </w:rPr>
      </w:pPr>
    </w:p>
    <w:p w14:paraId="35AE3AD6">
      <w:pPr>
        <w:spacing w:line="480" w:lineRule="exact"/>
        <w:ind w:firstLine="560"/>
        <w:rPr>
          <w:rFonts w:cs="宋体"/>
          <w:color w:val="000000" w:themeColor="text1"/>
          <w:szCs w:val="21"/>
          <w14:textFill>
            <w14:solidFill>
              <w14:schemeClr w14:val="tx1"/>
            </w14:solidFill>
          </w14:textFill>
        </w:rPr>
      </w:pPr>
    </w:p>
    <w:p w14:paraId="53E9ABBF">
      <w:pPr>
        <w:spacing w:line="480" w:lineRule="exact"/>
        <w:ind w:firstLine="560"/>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甲方：  (盖章)                          乙方：  (盖章)</w:t>
      </w:r>
    </w:p>
    <w:p w14:paraId="177D08A0">
      <w:pPr>
        <w:spacing w:line="480" w:lineRule="exact"/>
        <w:ind w:firstLine="560"/>
        <w:rPr>
          <w:rFonts w:cs="宋体"/>
          <w:color w:val="000000" w:themeColor="text1"/>
          <w:szCs w:val="21"/>
          <w14:textFill>
            <w14:solidFill>
              <w14:schemeClr w14:val="tx1"/>
            </w14:solidFill>
          </w14:textFill>
        </w:rPr>
      </w:pPr>
    </w:p>
    <w:p w14:paraId="0641BA5E">
      <w:pPr>
        <w:spacing w:line="480" w:lineRule="exact"/>
        <w:ind w:firstLine="560"/>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法定代表人：(签字或盖章)                法定代表人：(签字或盖章)</w:t>
      </w:r>
    </w:p>
    <w:p w14:paraId="0637483E">
      <w:pPr>
        <w:spacing w:line="480" w:lineRule="exact"/>
        <w:ind w:firstLine="560"/>
        <w:rPr>
          <w:rFonts w:cs="宋体"/>
          <w:color w:val="000000" w:themeColor="text1"/>
          <w:szCs w:val="21"/>
          <w14:textFill>
            <w14:solidFill>
              <w14:schemeClr w14:val="tx1"/>
            </w14:solidFill>
          </w14:textFill>
        </w:rPr>
      </w:pPr>
    </w:p>
    <w:p w14:paraId="4BC3AA17">
      <w:pPr>
        <w:spacing w:line="480" w:lineRule="exact"/>
        <w:ind w:firstLine="560"/>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委托代理人：(签字或盖章)                委托代理人：(签字或盖章)</w:t>
      </w:r>
    </w:p>
    <w:p w14:paraId="4987A33F">
      <w:pPr>
        <w:spacing w:line="480" w:lineRule="exact"/>
        <w:ind w:firstLine="560"/>
        <w:rPr>
          <w:rFonts w:cs="宋体"/>
          <w:color w:val="000000" w:themeColor="text1"/>
          <w:szCs w:val="21"/>
          <w14:textFill>
            <w14:solidFill>
              <w14:schemeClr w14:val="tx1"/>
            </w14:solidFill>
          </w14:textFill>
        </w:rPr>
      </w:pPr>
    </w:p>
    <w:p w14:paraId="3884336F">
      <w:pPr>
        <w:spacing w:line="480" w:lineRule="exact"/>
        <w:ind w:firstLine="560"/>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开户银行：开户银行：</w:t>
      </w:r>
    </w:p>
    <w:p w14:paraId="43136E4B">
      <w:pPr>
        <w:spacing w:line="480" w:lineRule="exact"/>
        <w:ind w:firstLine="560"/>
        <w:rPr>
          <w:rFonts w:cs="宋体"/>
          <w:color w:val="000000" w:themeColor="text1"/>
          <w:szCs w:val="21"/>
          <w14:textFill>
            <w14:solidFill>
              <w14:schemeClr w14:val="tx1"/>
            </w14:solidFill>
          </w14:textFill>
        </w:rPr>
      </w:pPr>
    </w:p>
    <w:p w14:paraId="120A1F2C">
      <w:pPr>
        <w:spacing w:line="480" w:lineRule="exact"/>
        <w:ind w:firstLine="560"/>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账号：账号：</w:t>
      </w:r>
    </w:p>
    <w:p w14:paraId="01715332">
      <w:pPr>
        <w:spacing w:line="480" w:lineRule="exact"/>
        <w:ind w:firstLine="560"/>
        <w:rPr>
          <w:rFonts w:cs="宋体"/>
          <w:color w:val="000000" w:themeColor="text1"/>
          <w:szCs w:val="21"/>
          <w14:textFill>
            <w14:solidFill>
              <w14:schemeClr w14:val="tx1"/>
            </w14:solidFill>
          </w14:textFill>
        </w:rPr>
      </w:pPr>
    </w:p>
    <w:p w14:paraId="57673F91">
      <w:pPr>
        <w:spacing w:line="480" w:lineRule="exact"/>
        <w:ind w:firstLine="560"/>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电话：电话：</w:t>
      </w:r>
    </w:p>
    <w:p w14:paraId="614E9A95">
      <w:pPr>
        <w:spacing w:line="480" w:lineRule="exact"/>
        <w:ind w:firstLine="560"/>
        <w:rPr>
          <w:rFonts w:cs="宋体"/>
          <w:color w:val="000000" w:themeColor="text1"/>
          <w:szCs w:val="21"/>
          <w14:textFill>
            <w14:solidFill>
              <w14:schemeClr w14:val="tx1"/>
            </w14:solidFill>
          </w14:textFill>
        </w:rPr>
      </w:pPr>
    </w:p>
    <w:p w14:paraId="6B034E79">
      <w:pPr>
        <w:spacing w:line="480" w:lineRule="exact"/>
        <w:ind w:firstLine="560"/>
        <w:rPr>
          <w:rFonts w:cs="宋体"/>
          <w:color w:val="000000" w:themeColor="text1"/>
          <w14:textFill>
            <w14:solidFill>
              <w14:schemeClr w14:val="tx1"/>
            </w14:solidFill>
          </w14:textFill>
        </w:rPr>
      </w:pPr>
      <w:r>
        <w:rPr>
          <w:rFonts w:hint="eastAsia" w:cs="宋体"/>
          <w:color w:val="000000" w:themeColor="text1"/>
          <w:szCs w:val="21"/>
          <w14:textFill>
            <w14:solidFill>
              <w14:schemeClr w14:val="tx1"/>
            </w14:solidFill>
          </w14:textFill>
        </w:rPr>
        <w:t>年月日年月日</w:t>
      </w:r>
    </w:p>
    <w:p w14:paraId="0354AEFF">
      <w:pPr>
        <w:spacing w:before="312" w:beforeLines="100" w:line="400" w:lineRule="exact"/>
        <w:ind w:firstLine="1040"/>
        <w:jc w:val="center"/>
        <w:rPr>
          <w:rFonts w:ascii="宋体" w:hAnsi="宋体"/>
          <w:color w:val="000000" w:themeColor="text1"/>
          <w:sz w:val="52"/>
          <w:szCs w:val="52"/>
          <w14:textFill>
            <w14:solidFill>
              <w14:schemeClr w14:val="tx1"/>
            </w14:solidFill>
          </w14:textFill>
        </w:rPr>
      </w:pPr>
    </w:p>
    <w:p w14:paraId="08D306E4">
      <w:pPr>
        <w:spacing w:before="312" w:beforeLines="100" w:line="400" w:lineRule="exact"/>
        <w:ind w:firstLine="1040"/>
        <w:jc w:val="center"/>
        <w:rPr>
          <w:rFonts w:ascii="宋体" w:hAnsi="宋体"/>
          <w:color w:val="000000" w:themeColor="text1"/>
          <w:sz w:val="52"/>
          <w:szCs w:val="52"/>
          <w14:textFill>
            <w14:solidFill>
              <w14:schemeClr w14:val="tx1"/>
            </w14:solidFill>
          </w14:textFill>
        </w:rPr>
      </w:pPr>
    </w:p>
    <w:p w14:paraId="27CECF9F">
      <w:pPr>
        <w:spacing w:before="312" w:beforeLines="100" w:line="400" w:lineRule="exact"/>
        <w:ind w:firstLine="1040"/>
        <w:jc w:val="center"/>
        <w:rPr>
          <w:rFonts w:ascii="宋体" w:hAnsi="宋体"/>
          <w:color w:val="000000" w:themeColor="text1"/>
          <w:sz w:val="52"/>
          <w:szCs w:val="52"/>
          <w14:textFill>
            <w14:solidFill>
              <w14:schemeClr w14:val="tx1"/>
            </w14:solidFill>
          </w14:textFill>
        </w:rPr>
      </w:pPr>
    </w:p>
    <w:p w14:paraId="161F3CC3">
      <w:pPr>
        <w:widowControl/>
        <w:spacing w:line="240" w:lineRule="auto"/>
        <w:ind w:firstLine="0" w:firstLineChars="0"/>
        <w:jc w:val="left"/>
        <w:rPr>
          <w:rFonts w:cs="宋体"/>
          <w:color w:val="000000" w:themeColor="text1"/>
          <w14:textFill>
            <w14:solidFill>
              <w14:schemeClr w14:val="tx1"/>
            </w14:solidFill>
          </w14:textFill>
        </w:rPr>
      </w:pPr>
      <w:r>
        <w:rPr>
          <w:rFonts w:cs="宋体"/>
          <w:color w:val="000000" w:themeColor="text1"/>
          <w14:textFill>
            <w14:solidFill>
              <w14:schemeClr w14:val="tx1"/>
            </w14:solidFill>
          </w14:textFill>
        </w:rPr>
        <w:br w:type="page"/>
      </w:r>
    </w:p>
    <w:p w14:paraId="781EE6F0">
      <w:pPr>
        <w:spacing w:before="312" w:beforeLines="100" w:line="400" w:lineRule="exact"/>
        <w:ind w:firstLine="560"/>
        <w:jc w:val="center"/>
        <w:rPr>
          <w:rFonts w:cs="宋体"/>
          <w:color w:val="000000" w:themeColor="text1"/>
          <w14:textFill>
            <w14:solidFill>
              <w14:schemeClr w14:val="tx1"/>
            </w14:solidFill>
          </w14:textFill>
        </w:rPr>
      </w:pPr>
      <w:r>
        <w:rPr>
          <w:rFonts w:hint="eastAsia" w:cs="宋体"/>
          <w:color w:val="000000" w:themeColor="text1"/>
          <w14:textFill>
            <w14:solidFill>
              <w14:schemeClr w14:val="tx1"/>
            </w14:solidFill>
          </w14:textFill>
        </w:rPr>
        <w:t>第一节通用合同条款</w:t>
      </w:r>
    </w:p>
    <w:p w14:paraId="4F89C3EF">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6" w:name="_Toc439772692"/>
      <w:bookmarkStart w:id="7" w:name="_Toc351898538"/>
      <w:bookmarkStart w:id="8" w:name="_Toc227658491"/>
      <w:bookmarkStart w:id="9" w:name="_Toc477164653"/>
      <w:bookmarkStart w:id="10" w:name="_Toc476231292"/>
      <w:bookmarkStart w:id="11" w:name="_Toc195864488"/>
      <w:bookmarkStart w:id="12" w:name="_Toc504565680"/>
      <w:bookmarkStart w:id="13" w:name="_Toc368145477"/>
      <w:bookmarkStart w:id="14" w:name="_Toc436309938"/>
      <w:bookmarkStart w:id="15" w:name="_Toc215556183"/>
      <w:bookmarkStart w:id="16" w:name="_Toc260230293"/>
      <w:bookmarkStart w:id="17" w:name="_Toc436309586"/>
      <w:bookmarkStart w:id="18" w:name="_Toc274500889"/>
      <w:bookmarkStart w:id="19" w:name="_Toc436998779"/>
      <w:bookmarkStart w:id="20" w:name="_Toc449111919"/>
      <w:bookmarkStart w:id="21" w:name="_Toc255741922"/>
      <w:bookmarkStart w:id="22" w:name="_Toc504565793"/>
      <w:bookmarkStart w:id="23" w:name="_Toc219172330"/>
      <w:bookmarkStart w:id="24" w:name="_Toc306293157"/>
      <w:bookmarkStart w:id="25" w:name="_Toc388633668"/>
      <w:bookmarkStart w:id="26" w:name="_Toc305763047"/>
      <w:bookmarkStart w:id="27" w:name="_Toc209862323"/>
      <w:bookmarkStart w:id="28" w:name="_Toc450123359"/>
      <w:bookmarkStart w:id="29" w:name="_Toc255470035"/>
      <w:bookmarkStart w:id="30" w:name="_Toc187475833"/>
      <w:bookmarkStart w:id="31" w:name="_Toc350857420"/>
      <w:bookmarkStart w:id="32" w:name="_Toc214355664"/>
      <w:bookmarkStart w:id="33" w:name="_Toc257202826"/>
      <w:bookmarkStart w:id="34" w:name="_Toc211175325"/>
      <w:bookmarkStart w:id="35" w:name="_Toc3863"/>
      <w:bookmarkStart w:id="36" w:name="_Toc510197603"/>
      <w:bookmarkStart w:id="37" w:name="_Toc445105528"/>
      <w:bookmarkStart w:id="38" w:name="_Toc452986493"/>
      <w:bookmarkStart w:id="39" w:name="_Toc340436786"/>
      <w:bookmarkStart w:id="40" w:name="_Toc458599269"/>
      <w:bookmarkStart w:id="41" w:name="_Toc260229966"/>
      <w:bookmarkStart w:id="42" w:name="_Toc206830014"/>
      <w:bookmarkStart w:id="43" w:name="_Toc450123125"/>
      <w:bookmarkStart w:id="44" w:name="_Toc6916"/>
      <w:bookmarkStart w:id="45" w:name="_Toc389226388"/>
      <w:bookmarkStart w:id="46" w:name="_Toc255470258"/>
      <w:bookmarkStart w:id="47" w:name="_Toc222804517"/>
      <w:bookmarkStart w:id="48" w:name="_Toc510197465"/>
      <w:bookmarkStart w:id="49" w:name="_Toc453768091"/>
      <w:bookmarkStart w:id="50" w:name="_Toc248294414"/>
      <w:bookmarkStart w:id="51" w:name="_Toc460581171"/>
      <w:bookmarkStart w:id="52" w:name="_Toc340222896"/>
      <w:bookmarkStart w:id="53" w:name="_Toc270517135"/>
      <w:bookmarkStart w:id="54" w:name="_Toc208734401"/>
      <w:bookmarkStart w:id="55" w:name="_Toc249848943"/>
      <w:bookmarkStart w:id="56" w:name="_Toc245110731"/>
      <w:bookmarkStart w:id="57" w:name="_Toc254774402"/>
      <w:bookmarkStart w:id="58" w:name="_Toc371937185"/>
      <w:bookmarkStart w:id="59" w:name="_Toc215561201"/>
      <w:bookmarkStart w:id="60" w:name="_Toc215805044"/>
      <w:bookmarkStart w:id="61" w:name="_Toc342046307"/>
      <w:bookmarkStart w:id="62" w:name="_Toc260649021"/>
      <w:bookmarkStart w:id="63" w:name="_Toc338778033"/>
      <w:bookmarkStart w:id="64" w:name="_Toc436133229"/>
      <w:bookmarkStart w:id="65" w:name="_Toc187845993"/>
      <w:r>
        <w:rPr>
          <w:rFonts w:hint="eastAsia" w:hAnsi="宋体" w:cs="宋体"/>
          <w:b/>
          <w:color w:val="000000" w:themeColor="text1"/>
          <w:sz w:val="32"/>
          <w:szCs w:val="32"/>
          <w14:textFill>
            <w14:solidFill>
              <w14:schemeClr w14:val="tx1"/>
            </w14:solidFill>
          </w14:textFill>
        </w:rPr>
        <w:t>1. 一般约定</w:t>
      </w:r>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p>
    <w:p w14:paraId="76C35D30">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1.1 词语定义</w:t>
      </w:r>
    </w:p>
    <w:p w14:paraId="7F98FE60">
      <w:pPr>
        <w:pStyle w:val="180"/>
        <w:spacing w:after="0" w:line="400" w:lineRule="exact"/>
        <w:ind w:firstLine="540" w:firstLineChars="225"/>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通用合同条款、专用合同条款中的下列词语应具有本款所赋予的含义。</w:t>
      </w:r>
    </w:p>
    <w:p w14:paraId="4ACFD37F">
      <w:pPr>
        <w:pStyle w:val="199"/>
        <w:spacing w:line="400" w:lineRule="exact"/>
        <w:ind w:firstLine="542" w:firstLineChars="225"/>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1.1.1 合同</w:t>
      </w:r>
    </w:p>
    <w:p w14:paraId="3B22B09D">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1.1.1.1 合同文件（或称合同）：指合同协议书、中标通知书、投标函及投标函附录、专用合同条款、通用合同条款、技术标准和要求、图纸、工程量清单，以及其他合同文件。</w:t>
      </w:r>
    </w:p>
    <w:p w14:paraId="1A0B6BCA">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1.1.1.2 合同协议书：指第1.5 款所指的合同协议书。</w:t>
      </w:r>
    </w:p>
    <w:p w14:paraId="079B9965">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1.1.1.3 中标通知书：指发包人通知承包人中标的函件。</w:t>
      </w:r>
    </w:p>
    <w:p w14:paraId="53012810">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1.1.1.4 投标函：指构成合同文件组成部分的由承包人填写并签署的投标函。</w:t>
      </w:r>
    </w:p>
    <w:p w14:paraId="18676905">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1.1.1.5 投标函附录：指附在投标函后构成合同文件的投标函附录。</w:t>
      </w:r>
    </w:p>
    <w:p w14:paraId="20FACDE0">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1.1.1.6 技术标准和要求：指构成合同文件组成部分的名为技术标准和要求（合同技术条款）的文件，包括合同双方当事人约定对其所作的修改或补充。</w:t>
      </w:r>
    </w:p>
    <w:p w14:paraId="46C1009D">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1.1.1.7 图纸：指列入合同的招标图纸、投标图纸和发包人按合同约定向承包人提供的施工图纸和其它图纸（包括配套说明和有关资料）。列入合同的招标图纸已成为合同文件的一部分，具有合同效力，主要用于在履行合同中作为衡量变更的依据，但不能直接用于施工。经发包人确认进入合同的投标图纸亦成为合同文件的一部分，用于在履行合同中检验承包人是否按其投标时承诺的条件进行施工的依据，亦不能直接用于施工。</w:t>
      </w:r>
    </w:p>
    <w:p w14:paraId="7A64AAB0">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1.1.1.8工程量清单：指构成合同文件组成部分的由承包人按照规定的格式和要求填写并标明价格的工程量清单。</w:t>
      </w:r>
    </w:p>
    <w:p w14:paraId="4574E4B9">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1.1.1.9 其他合同文件：指经合同双方当事人确认构成合同文件的其他文件。</w:t>
      </w:r>
    </w:p>
    <w:p w14:paraId="67C2B841">
      <w:pPr>
        <w:pStyle w:val="199"/>
        <w:spacing w:line="400" w:lineRule="exact"/>
        <w:ind w:firstLine="542" w:firstLineChars="225"/>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1.1.2 合同当事人和人员</w:t>
      </w:r>
    </w:p>
    <w:p w14:paraId="2A33E8FE">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1.1.2.1 合同当事人:指发包人和（或）承包人。</w:t>
      </w:r>
    </w:p>
    <w:p w14:paraId="1D9D0503">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1.1.2.2 发包人：指专用合同条款中指明并与承包人在合同协议书中签字的当事人。</w:t>
      </w:r>
    </w:p>
    <w:p w14:paraId="1EB1FD22">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1.1.2.3 承包人：指专用合同条款中指明并与发包人在合同协议书中签字的当事人。</w:t>
      </w:r>
    </w:p>
    <w:p w14:paraId="74251105">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1.1.2.4 承包人项目经理：指承包人派驻施工场地的全权负责人。</w:t>
      </w:r>
    </w:p>
    <w:p w14:paraId="75E04B73">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1.1.2.5 分包人：指专用合同条款中指明的，从承包人处分包合同中某一部分工程，并与其签订分包合同的分包人。</w:t>
      </w:r>
    </w:p>
    <w:p w14:paraId="146A7DED">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1.1.2.6 监理人：指在专用合同条款中指明的，受发包人委托对合同履行实施管理的法人或其他组织。</w:t>
      </w:r>
    </w:p>
    <w:p w14:paraId="518B2801">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1.1.2.7 总监理工程师（总监）：指由监理人委派常驻施工场地对合同履行实施管理的全权负责人。</w:t>
      </w:r>
    </w:p>
    <w:p w14:paraId="42CA264C">
      <w:pPr>
        <w:pStyle w:val="199"/>
        <w:spacing w:line="400" w:lineRule="exact"/>
        <w:ind w:firstLine="542" w:firstLineChars="225"/>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1.1.3 工程和设备</w:t>
      </w:r>
    </w:p>
    <w:p w14:paraId="481DFFE9">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1.1.3.1 工程：指永久工程和（或）临时工程。</w:t>
      </w:r>
    </w:p>
    <w:p w14:paraId="4D31D2BB">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1.1.3.2 永久工程：指按合同约定建造并移交给发包人的工程，包括工程设备。</w:t>
      </w:r>
    </w:p>
    <w:p w14:paraId="62060264">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1.1.3.3 临时工程：指为完成合同约定的永久工程所修建的各类临时性工程，不包括施工设备。</w:t>
      </w:r>
    </w:p>
    <w:p w14:paraId="668829A7">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1.1.3.4 单位工程：指专用合同条款中指明特定范围的永久工程。</w:t>
      </w:r>
    </w:p>
    <w:p w14:paraId="5AE52D37">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1.1.3.5 工程设备：指构成或计划构成永久工程一部分的机电设备、金属结构设备、仪器装置及其他类似的设备和装置。</w:t>
      </w:r>
    </w:p>
    <w:p w14:paraId="5C923D29">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1.1.3.6 施工设备：指为完成合同约定的各项工作所需的设备、器具和其他物品，不包括临时工程和材料。</w:t>
      </w:r>
    </w:p>
    <w:p w14:paraId="6AB74450">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1.1.3.7 临时设施：指为完成合同约定的各项工作所服务的临时性生产和生活设施。</w:t>
      </w:r>
    </w:p>
    <w:p w14:paraId="69D04D49">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1.1.3.8 承包人设备：指承包人自带的施工设备。</w:t>
      </w:r>
    </w:p>
    <w:p w14:paraId="334AC4ED">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1.1.3.9 施工场地（或称工地、现场）：指用于合同工程施工的场所，以及在合同中指定作为施工场地组成部分的其他场所，包括永久占地和临时占地。</w:t>
      </w:r>
    </w:p>
    <w:p w14:paraId="2F23CE68">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1.1.3.10 永久占地：指发包人为建设合同工程需永久征用的场地。</w:t>
      </w:r>
    </w:p>
    <w:p w14:paraId="19A27FCD">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1.1.3.11 临时占地：指发包人为建设合同工程临时征用，承包人在完工后须按本合同要求退还的场地。</w:t>
      </w:r>
    </w:p>
    <w:p w14:paraId="1A011BAB">
      <w:pPr>
        <w:pStyle w:val="199"/>
        <w:spacing w:line="400" w:lineRule="exact"/>
        <w:ind w:firstLine="542" w:firstLineChars="225"/>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1.1.4 日期</w:t>
      </w:r>
    </w:p>
    <w:p w14:paraId="10A7842D">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1.1.4.1 开工通知：指监理人按第11.1款通知承包人开工的函件。</w:t>
      </w:r>
    </w:p>
    <w:p w14:paraId="63C96E09">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1.1.4.2 开工日期：指监理人按第11.1款发出的开工通知中写明的开工日期。</w:t>
      </w:r>
    </w:p>
    <w:p w14:paraId="63C7A897">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1.1.4.3 工期：指承包人在投标函中承诺的完成合同工程所需的期限，包括按第11.3款、第11.4款和第11.6款约定所作的变更。</w:t>
      </w:r>
    </w:p>
    <w:p w14:paraId="18FD22F3">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1.1.4.4 竣工日期：即合同工程完工日期，指第1.1.4.3目约定工期届满时的日期。实际竣工日期以合同工程完工证书中写明的日期为准。</w:t>
      </w:r>
    </w:p>
    <w:p w14:paraId="51E76A83">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1.1.4.5 缺陷责任期：即工程质量保修期，指履行第19.2款约定的缺陷责任的期限，包括根据第19.3款约定所作的延长，具体期限由专用合同条款约定。</w:t>
      </w:r>
    </w:p>
    <w:p w14:paraId="6762FF1F">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1.1.4.6 基准日期：指投标截止时间前28天的日期。</w:t>
      </w:r>
    </w:p>
    <w:p w14:paraId="35F0E46A">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1.1.4.7 天：除特别指明外，指日历天。合同中按天计算时间的，开始当天不计入，从次日开始计算。期限最后一天的截止时间为当天24:00。</w:t>
      </w:r>
    </w:p>
    <w:p w14:paraId="1A161D29">
      <w:pPr>
        <w:pStyle w:val="199"/>
        <w:spacing w:line="400" w:lineRule="exact"/>
        <w:ind w:firstLine="542" w:firstLineChars="225"/>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1.1.5 合同价格和费用</w:t>
      </w:r>
    </w:p>
    <w:p w14:paraId="28002C9E">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1.1.5.1 签约合同价：指签定合同时合同协议书中写明的，包括了暂列金额、暂估价的合同总金额。</w:t>
      </w:r>
    </w:p>
    <w:p w14:paraId="359CCA71">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1.1.5.2 合同价格：指承包人按合同约定完成了包括缺陷责任期内的全部承包工作后，发包人应付给承包人的金额，包括在履行合同过程中按合同约定进行的变更和调整。</w:t>
      </w:r>
    </w:p>
    <w:p w14:paraId="7998173A">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1.1.5.3 费用：指为履行合同所发生的或将要发生的所有合理开支，包括管理费和应分摊的其他费用，但不包括利润。</w:t>
      </w:r>
    </w:p>
    <w:p w14:paraId="6B3B20C6">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1.1.5.4 暂列金额：指已标价工程量清单中所列的暂列金额，用于在签订协议书时尚未确定或不可预见变更的施工及其所需材料、工程设备、服务等的金额，包括以计日工方式支付的金额。</w:t>
      </w:r>
    </w:p>
    <w:p w14:paraId="576027C2">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1.1.5.5 暂估价：指发包人在工程量清单中给定的用于支付必然发生但暂时不能确定价格的材料、设备以及专业工程的金额。</w:t>
      </w:r>
    </w:p>
    <w:p w14:paraId="65C28010">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1.1.5.6 计日工：指对零星工作采取的一种计价方式，按合同中的计日工子目及其单价计价付款。</w:t>
      </w:r>
    </w:p>
    <w:p w14:paraId="6B836E1C">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1.1.5.7 质量保证金（或称保留金）：指按第17.4.1项约定用于保证在缺陷责任期内履行缺陷修复义务的金额。</w:t>
      </w:r>
    </w:p>
    <w:p w14:paraId="49991DE9">
      <w:pPr>
        <w:pStyle w:val="199"/>
        <w:spacing w:line="400" w:lineRule="exact"/>
        <w:ind w:firstLine="542" w:firstLineChars="225"/>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1.1.6 其他</w:t>
      </w:r>
    </w:p>
    <w:p w14:paraId="1070CA00">
      <w:pPr>
        <w:pStyle w:val="87"/>
        <w:spacing w:line="400" w:lineRule="exact"/>
        <w:ind w:firstLine="720" w:firstLineChars="300"/>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1.1.6.1 书面形式：指合同文件、信函、电报、传真等可以有形地表现所载内容的形式。</w:t>
      </w:r>
    </w:p>
    <w:p w14:paraId="05A53C92">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1.2 语言文字</w:t>
      </w:r>
    </w:p>
    <w:p w14:paraId="56C60D97">
      <w:pPr>
        <w:pStyle w:val="175"/>
        <w:spacing w:after="0" w:line="400" w:lineRule="exact"/>
        <w:ind w:firstLine="540" w:firstLineChars="225"/>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除专用术语外，合同使用的语言文字为中文。必要时专用术语应附有中文注释。</w:t>
      </w:r>
    </w:p>
    <w:p w14:paraId="302CFB7A">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1.3 法律</w:t>
      </w:r>
    </w:p>
    <w:p w14:paraId="2EBAB5AD">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适用于合同的法律包括中华人民共和国法律、行政法规、部门规章，以及工程所在地的地方法规、自治条例、单行条例和地方政府规章。</w:t>
      </w:r>
    </w:p>
    <w:p w14:paraId="4645AF59">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1.4 合同文件的优先顺序</w:t>
      </w:r>
    </w:p>
    <w:p w14:paraId="3F1D4E68">
      <w:pPr>
        <w:pStyle w:val="184"/>
        <w:spacing w:line="400" w:lineRule="exact"/>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组成合同的各项文件应互相解释，互为说明。除专用合同条款另有约定外，解释合同文件的优先顺序如下：</w:t>
      </w:r>
    </w:p>
    <w:p w14:paraId="132DDA02">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（1）合同协议书；</w:t>
      </w:r>
    </w:p>
    <w:p w14:paraId="339BE314">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（2）中标通知书；</w:t>
      </w:r>
    </w:p>
    <w:p w14:paraId="291C497A">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（3）投标函及投标函附录；</w:t>
      </w:r>
    </w:p>
    <w:p w14:paraId="7BD6BBC4">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（4）专用合同条款；</w:t>
      </w:r>
    </w:p>
    <w:p w14:paraId="6CFCBC38">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（5）通用合同条款；</w:t>
      </w:r>
    </w:p>
    <w:p w14:paraId="21E7213D">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（6）技术标准和要求；</w:t>
      </w:r>
    </w:p>
    <w:p w14:paraId="187F6110">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（7）图纸；</w:t>
      </w:r>
    </w:p>
    <w:p w14:paraId="10F84ADF">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（8）工程量清单；</w:t>
      </w:r>
    </w:p>
    <w:p w14:paraId="592DABB8">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（9）其他合同文件。</w:t>
      </w:r>
    </w:p>
    <w:p w14:paraId="7C15193B">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1.5 合同协议书</w:t>
      </w:r>
    </w:p>
    <w:p w14:paraId="1962D005">
      <w:pPr>
        <w:pStyle w:val="175"/>
        <w:spacing w:after="0" w:line="400" w:lineRule="exact"/>
        <w:ind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承包人按中标通知书规定的时间与发包人签订合同协议书。除法律另有规定或合同另有约定外，发包人和承包人的法定代表人或其委托代理人在合同协议书上签字并盖单位公章后，合同生效。</w:t>
      </w:r>
    </w:p>
    <w:p w14:paraId="1EA857A9">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1.6 图纸和承包人文件</w:t>
      </w:r>
    </w:p>
    <w:p w14:paraId="0F019E85">
      <w:pPr>
        <w:pStyle w:val="199"/>
        <w:spacing w:line="400" w:lineRule="exact"/>
        <w:ind w:firstLine="542" w:firstLineChars="225"/>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1.6.1 图纸的提供</w:t>
      </w:r>
    </w:p>
    <w:p w14:paraId="5EFC2162">
      <w:pPr>
        <w:pStyle w:val="188"/>
        <w:spacing w:line="400" w:lineRule="exact"/>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发包人应按技术标准和要求（合同技术条款）约定的期限和数量将施工图纸以及其它图纸（包括配套说明和有关资料）提供给承包人。由于发包人未按时提供图纸造成工期延误的，按第11.3款的约定办理。</w:t>
      </w:r>
    </w:p>
    <w:p w14:paraId="22719EDB">
      <w:pPr>
        <w:pStyle w:val="199"/>
        <w:spacing w:line="400" w:lineRule="exact"/>
        <w:ind w:firstLine="542" w:firstLineChars="225"/>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1.6.2 承包人提供的文件</w:t>
      </w:r>
    </w:p>
    <w:p w14:paraId="5BB2B678">
      <w:pPr>
        <w:pStyle w:val="188"/>
        <w:spacing w:line="400" w:lineRule="exact"/>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承包人提供的文件应按技术标准和要求(合同技术条款)约定的期限和数量提供给监理人。监理人应按技术标准和要求(合同技术条款)约定的期限批复承包人。</w:t>
      </w:r>
    </w:p>
    <w:p w14:paraId="6A27BD56">
      <w:pPr>
        <w:pStyle w:val="199"/>
        <w:spacing w:line="400" w:lineRule="exact"/>
        <w:ind w:firstLine="542" w:firstLineChars="225"/>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1.6.3 图纸的修改</w:t>
      </w:r>
    </w:p>
    <w:p w14:paraId="47907AFC">
      <w:pPr>
        <w:pStyle w:val="188"/>
        <w:spacing w:line="400" w:lineRule="exact"/>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设计人需要对已发给承包人的施工图纸进行修改时，监理人应在技术标准和要求(合同技术条款)约定的期限内签发施工图纸的修改图给承包人。承包人应按技术标准和要求(合同技术条款)的约定编制一份承包人实施计划提交监理人批准后执行。</w:t>
      </w:r>
    </w:p>
    <w:p w14:paraId="74E6549D">
      <w:pPr>
        <w:pStyle w:val="199"/>
        <w:spacing w:line="400" w:lineRule="exact"/>
        <w:ind w:firstLine="542" w:firstLineChars="225"/>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1.6.4 图纸的错误</w:t>
      </w:r>
    </w:p>
    <w:p w14:paraId="64301666">
      <w:pPr>
        <w:pStyle w:val="187"/>
        <w:spacing w:line="400" w:lineRule="exact"/>
        <w:ind w:left="42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承包人发现发包人提供的图纸存在明显错误或疏忽，应及时通知监理人。</w:t>
      </w:r>
    </w:p>
    <w:p w14:paraId="409D436D">
      <w:pPr>
        <w:pStyle w:val="199"/>
        <w:spacing w:line="400" w:lineRule="exact"/>
        <w:ind w:firstLine="542" w:firstLineChars="225"/>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1.6.5 图纸和承包人文件的保管</w:t>
      </w:r>
    </w:p>
    <w:p w14:paraId="41C7C9CD">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监理人和承包人均应在施工场地各保存一套完整的包含第1.6.1项、第1.6.2项、第1.6.3项约定内容的图纸和承包人文件。</w:t>
      </w:r>
    </w:p>
    <w:p w14:paraId="7DADC0CE">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1.7 联络</w:t>
      </w:r>
    </w:p>
    <w:p w14:paraId="556DE113">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1.7.1 与合同有关的通知、批准、证明、证书、指示、要求、请求、同意、意见、确定和决定等，均应采用书面形式。</w:t>
      </w:r>
    </w:p>
    <w:p w14:paraId="2FF90635">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1.7.2 第1.7.1项中的通知、批准、证明、证书、指示、要求、请求、同意、意见、确定和决定等来往函件，均应在合同约定的期限内送达指定地点和接收人，并办理签收手续。来往函件的送达期限在技术标准和要求(合同技术条款)中约定，送达地点在专用合同条款中约定。</w:t>
      </w:r>
    </w:p>
    <w:p w14:paraId="54892CAF">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1.7.3 来往函件均应按合同约定的期限及时发出和答复，不得无故扣压和拖延，亦不得拒收。否则，由此造成的后果由责任方负责。</w:t>
      </w:r>
    </w:p>
    <w:p w14:paraId="5F0BFCA7">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1.8 转让</w:t>
      </w:r>
    </w:p>
    <w:p w14:paraId="503966D5">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除合同另有约定外，未经对方当事人同意，一方当事人不得将合同权利全部或部分转让给第三人，也不得全部或部分转移合同义务。</w:t>
      </w:r>
    </w:p>
    <w:p w14:paraId="6DE550C6">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1.9 严禁贿赂</w:t>
      </w:r>
    </w:p>
    <w:p w14:paraId="062B17FB">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合同双方当事人不得以贿赂或变相贿赂的方式，谋取不当利益或损害对方权益。因贿赂造成对方损失的，行为人应赔偿损失，并承担相应的法律责任。</w:t>
      </w:r>
    </w:p>
    <w:p w14:paraId="6ABF6C0A">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1.10 化石、文物</w:t>
      </w:r>
    </w:p>
    <w:p w14:paraId="3A4D51E1">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1.10.1 在施工场地发掘的所有文物、古迹以及具有地质研究或考古价值的其他遗迹、化石、钱币或物品属于国家所有。一旦发现上述文物，承包人应采取有效合理的保护措施，防止任何人员移动或损坏上述物品，并立即报告当地文物行政部门，同时通知监理人。发包人、监理人和承包人应按文物行政部门要求采取妥善保护措施，由此导致费用增加和（或）工期延误由发包人承担。</w:t>
      </w:r>
    </w:p>
    <w:p w14:paraId="6CB7DDE9">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1.10.2 承包人发现文物后不及时报告或隐瞒不报，致使文物丢失或损坏的，应赔偿损失，并承担相应的法律责任。</w:t>
      </w:r>
    </w:p>
    <w:p w14:paraId="678A8AEE">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1.11 专利技术</w:t>
      </w:r>
    </w:p>
    <w:p w14:paraId="61E8CFF7">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1.11.1 承包人在使用任何材料、承包人设备、工程设备或采用施工工艺时，因侵犯专利权或其他知识产权所引起的责任，由承包人承担，但由于遵照发包人提供的设计或技术标准和要求引起的除外。</w:t>
      </w:r>
    </w:p>
    <w:p w14:paraId="5900235D">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1.11.2 承包人在投标文件中采用专利技术的，专利技术的使用费包含在投标报价内。</w:t>
      </w:r>
    </w:p>
    <w:p w14:paraId="18E17675">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1.11.3 承包人的技术秘密和声明需要保密的资料和信息，发包人和监理人不得为合同以外的目的泄露给他人。</w:t>
      </w:r>
    </w:p>
    <w:p w14:paraId="384C9FD0">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1.ll.4 合同实施过程中，发包人要求承包人采用专利技术的，发包人应办理相应的使用手续，承包人应按发包人约定的条件使用，并承担使用专利技术的相关试验工作，所需费用由发包人承担。</w:t>
      </w:r>
    </w:p>
    <w:p w14:paraId="3C0BD5B8">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1.12 图纸和文件的保密</w:t>
      </w:r>
    </w:p>
    <w:p w14:paraId="4837B478">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1.12.1 发包人提供的图纸和文件，未经发包人同意，承包人不得为合同以外的目的泄露给他人或公开发表与引用。</w:t>
      </w:r>
    </w:p>
    <w:p w14:paraId="04AAA56A">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1.12.2 承包人提供的文件，未经承包人同意，发包人和监理人不得为合同以外的目的泄露给他人或公开发表与引用。</w:t>
      </w:r>
    </w:p>
    <w:p w14:paraId="6354CD2C">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66" w:name="_Toc219172331"/>
      <w:bookmarkStart w:id="67" w:name="_Toc255470036"/>
      <w:bookmarkStart w:id="68" w:name="_Toc260649022"/>
      <w:bookmarkStart w:id="69" w:name="_Toc510197466"/>
      <w:bookmarkStart w:id="70" w:name="_Toc260230294"/>
      <w:bookmarkStart w:id="71" w:name="_Toc25643"/>
      <w:bookmarkStart w:id="72" w:name="_Toc340222897"/>
      <w:bookmarkStart w:id="73" w:name="_Toc257202827"/>
      <w:bookmarkStart w:id="74" w:name="_Toc248294415"/>
      <w:bookmarkStart w:id="75" w:name="_Toc449111920"/>
      <w:bookmarkStart w:id="76" w:name="_Toc476231293"/>
      <w:bookmarkStart w:id="77" w:name="_Toc209862324"/>
      <w:bookmarkStart w:id="78" w:name="_Toc227658492"/>
      <w:bookmarkStart w:id="79" w:name="_Toc453768092"/>
      <w:bookmarkStart w:id="80" w:name="_Toc450123360"/>
      <w:bookmarkStart w:id="81" w:name="_Toc206830015"/>
      <w:bookmarkStart w:id="82" w:name="_Toc305763048"/>
      <w:bookmarkStart w:id="83" w:name="_Toc215556184"/>
      <w:bookmarkStart w:id="84" w:name="_Toc436133230"/>
      <w:bookmarkStart w:id="85" w:name="_Toc342046308"/>
      <w:bookmarkStart w:id="86" w:name="_Toc187475834"/>
      <w:bookmarkStart w:id="87" w:name="_Toc439772693"/>
      <w:bookmarkStart w:id="88" w:name="_Toc306293158"/>
      <w:bookmarkStart w:id="89" w:name="_Toc222804518"/>
      <w:bookmarkStart w:id="90" w:name="_Toc368145478"/>
      <w:bookmarkStart w:id="91" w:name="_Toc338778034"/>
      <w:bookmarkStart w:id="92" w:name="_Toc187845994"/>
      <w:bookmarkStart w:id="93" w:name="_Toc371937186"/>
      <w:bookmarkStart w:id="94" w:name="_Toc458599270"/>
      <w:bookmarkStart w:id="95" w:name="_Toc450123126"/>
      <w:bookmarkStart w:id="96" w:name="_Toc249848944"/>
      <w:bookmarkStart w:id="97" w:name="_Toc460581172"/>
      <w:bookmarkStart w:id="98" w:name="_Toc351898539"/>
      <w:bookmarkStart w:id="99" w:name="_Toc215561202"/>
      <w:bookmarkStart w:id="100" w:name="_Toc245110732"/>
      <w:bookmarkStart w:id="101" w:name="_Toc195864489"/>
      <w:bookmarkStart w:id="102" w:name="_Toc510197604"/>
      <w:bookmarkStart w:id="103" w:name="_Toc445105529"/>
      <w:bookmarkStart w:id="104" w:name="_Toc350857421"/>
      <w:bookmarkStart w:id="105" w:name="_Toc504565794"/>
      <w:bookmarkStart w:id="106" w:name="_Toc254774403"/>
      <w:bookmarkStart w:id="107" w:name="_Toc255741923"/>
      <w:bookmarkStart w:id="108" w:name="_Toc504565681"/>
      <w:bookmarkStart w:id="109" w:name="_Toc208734402"/>
      <w:bookmarkStart w:id="110" w:name="_Toc436309939"/>
      <w:bookmarkStart w:id="111" w:name="_Toc270517136"/>
      <w:bookmarkStart w:id="112" w:name="_Toc389226389"/>
      <w:bookmarkStart w:id="113" w:name="_Toc214355665"/>
      <w:bookmarkStart w:id="114" w:name="_Toc274500890"/>
      <w:bookmarkStart w:id="115" w:name="_Toc436309587"/>
      <w:bookmarkStart w:id="116" w:name="_Toc260229967"/>
      <w:bookmarkStart w:id="117" w:name="_Toc340436787"/>
      <w:bookmarkStart w:id="118" w:name="_Toc215805045"/>
      <w:bookmarkStart w:id="119" w:name="_Toc388633669"/>
      <w:bookmarkStart w:id="120" w:name="_Toc452986494"/>
      <w:bookmarkStart w:id="121" w:name="_Toc14028"/>
      <w:bookmarkStart w:id="122" w:name="_Toc477164654"/>
      <w:bookmarkStart w:id="123" w:name="_Toc255470259"/>
      <w:bookmarkStart w:id="124" w:name="_Toc436998780"/>
      <w:bookmarkStart w:id="125" w:name="_Toc211175326"/>
      <w:r>
        <w:rPr>
          <w:rFonts w:hint="eastAsia" w:hAnsi="宋体" w:cs="宋体"/>
          <w:b/>
          <w:color w:val="000000" w:themeColor="text1"/>
          <w:sz w:val="32"/>
          <w:szCs w:val="32"/>
          <w14:textFill>
            <w14:solidFill>
              <w14:schemeClr w14:val="tx1"/>
            </w14:solidFill>
          </w14:textFill>
        </w:rPr>
        <w:t>2. 发包人义务</w:t>
      </w:r>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p>
    <w:p w14:paraId="78E62CB3">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2.1 遵守法律</w:t>
      </w:r>
    </w:p>
    <w:p w14:paraId="1265B6E6">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发包人在履行合同过程中应遵守法律，并保证承包人免于承担因发包人违反法律而引起的任何责任。</w:t>
      </w:r>
    </w:p>
    <w:p w14:paraId="4012C9EC">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2.2 发出开工通知</w:t>
      </w:r>
    </w:p>
    <w:p w14:paraId="34C09C2D">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发包人应委托监理人按第11.1款的约定向承包人发出开工通知。</w:t>
      </w:r>
    </w:p>
    <w:p w14:paraId="3AA5477F">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2.3 提供施工场地</w:t>
      </w:r>
    </w:p>
    <w:p w14:paraId="453A8705">
      <w:pPr>
        <w:pStyle w:val="26"/>
        <w:spacing w:line="400" w:lineRule="exact"/>
        <w:ind w:firstLine="630" w:firstLineChars="225"/>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2.3.1 发包人应在合同双方签订合同协议书后的14天内，将本合同工程的施工场地范围图提交给承包人。发包人提供的施工场地范围图应标明场地范围内永久占地与临时占地的范围和界限，以及指明提供给承包人用于施工场地布置的范围和界限及其有关资料。</w:t>
      </w:r>
    </w:p>
    <w:p w14:paraId="1DF6EF70">
      <w:pPr>
        <w:pStyle w:val="26"/>
        <w:spacing w:line="400" w:lineRule="exact"/>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2.3.2 发包人提供的施工用地范围在专用合同条款中约定。</w:t>
      </w:r>
    </w:p>
    <w:p w14:paraId="79EC8642">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2.3.3 除专用合同条款另有约定外，发包人应按技术标准和要求(合同技术条款)的约定，向承包人提供施工场地内的工程地质图纸和报告，以及地下障碍物图纸等施工场地有关资料，并保证资料的真实、准确、完整。</w:t>
      </w:r>
    </w:p>
    <w:p w14:paraId="34EFB603">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2.4 协助承包人办理证件和批件</w:t>
      </w:r>
    </w:p>
    <w:p w14:paraId="02E9B58B">
      <w:pPr>
        <w:pStyle w:val="175"/>
        <w:spacing w:after="0" w:line="400" w:lineRule="exact"/>
        <w:ind w:left="42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发包人应协助承包人办理法律规定的有关施工证件和批件。</w:t>
      </w:r>
    </w:p>
    <w:p w14:paraId="357CBA57">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2.5 组织设计交底</w:t>
      </w:r>
    </w:p>
    <w:p w14:paraId="063F2A50">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发包人应根据合同进度计划，组织设计单位向承包人进行设计交底。</w:t>
      </w:r>
    </w:p>
    <w:p w14:paraId="687B40A7">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2.6 支付合同价款</w:t>
      </w:r>
    </w:p>
    <w:p w14:paraId="31E5036B">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发包人应按合同约定向承包人及时支付合同价款。</w:t>
      </w:r>
    </w:p>
    <w:p w14:paraId="12C41650">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2.7 组织竣工验收（组织法人验收）</w:t>
      </w:r>
    </w:p>
    <w:p w14:paraId="4118E511">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发包人应按合同约定及时组织法人验收。</w:t>
      </w:r>
    </w:p>
    <w:p w14:paraId="0B056ABE">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2.8 其他义务</w:t>
      </w:r>
    </w:p>
    <w:p w14:paraId="23DE86B8">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其他义务在专用合同条款中补充约定。</w:t>
      </w:r>
    </w:p>
    <w:p w14:paraId="52F4CEC6">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126" w:name="_Toc187475835"/>
      <w:bookmarkStart w:id="127" w:name="_Toc389226390"/>
      <w:bookmarkStart w:id="128" w:name="_Toc12808"/>
      <w:bookmarkStart w:id="129" w:name="_Toc206830016"/>
      <w:bookmarkStart w:id="130" w:name="_Toc3036"/>
      <w:bookmarkStart w:id="131" w:name="_Toc249848945"/>
      <w:bookmarkStart w:id="132" w:name="_Toc255741924"/>
      <w:bookmarkStart w:id="133" w:name="_Toc460581173"/>
      <w:bookmarkStart w:id="134" w:name="_Toc436133231"/>
      <w:bookmarkStart w:id="135" w:name="_Toc340222898"/>
      <w:bookmarkStart w:id="136" w:name="_Toc195864490"/>
      <w:bookmarkStart w:id="137" w:name="_Toc219172332"/>
      <w:bookmarkStart w:id="138" w:name="_Toc368145479"/>
      <w:bookmarkStart w:id="139" w:name="_Toc255470037"/>
      <w:bookmarkStart w:id="140" w:name="_Toc254774404"/>
      <w:bookmarkStart w:id="141" w:name="_Toc453768093"/>
      <w:bookmarkStart w:id="142" w:name="_Toc260230295"/>
      <w:bookmarkStart w:id="143" w:name="_Toc510197605"/>
      <w:bookmarkStart w:id="144" w:name="_Toc450123361"/>
      <w:bookmarkStart w:id="145" w:name="_Toc248294416"/>
      <w:bookmarkStart w:id="146" w:name="_Toc245110733"/>
      <w:bookmarkStart w:id="147" w:name="_Toc445105530"/>
      <w:bookmarkStart w:id="148" w:name="_Toc458599271"/>
      <w:bookmarkStart w:id="149" w:name="_Toc452986495"/>
      <w:bookmarkStart w:id="150" w:name="_Toc209862325"/>
      <w:bookmarkStart w:id="151" w:name="_Toc504565795"/>
      <w:bookmarkStart w:id="152" w:name="_Toc436309588"/>
      <w:bookmarkStart w:id="153" w:name="_Toc436998781"/>
      <w:bookmarkStart w:id="154" w:name="_Toc351898540"/>
      <w:bookmarkStart w:id="155" w:name="_Toc215561203"/>
      <w:bookmarkStart w:id="156" w:name="_Toc211175327"/>
      <w:bookmarkStart w:id="157" w:name="_Toc215805046"/>
      <w:bookmarkStart w:id="158" w:name="_Toc270517137"/>
      <w:bookmarkStart w:id="159" w:name="_Toc255470260"/>
      <w:bookmarkStart w:id="160" w:name="_Toc306293159"/>
      <w:bookmarkStart w:id="161" w:name="_Toc477164655"/>
      <w:bookmarkStart w:id="162" w:name="_Toc187845995"/>
      <w:bookmarkStart w:id="163" w:name="_Toc305763049"/>
      <w:bookmarkStart w:id="164" w:name="_Toc215556185"/>
      <w:bookmarkStart w:id="165" w:name="_Toc208734403"/>
      <w:bookmarkStart w:id="166" w:name="_Toc436309940"/>
      <w:bookmarkStart w:id="167" w:name="_Toc260649023"/>
      <w:bookmarkStart w:id="168" w:name="_Toc214355666"/>
      <w:bookmarkStart w:id="169" w:name="_Toc260229968"/>
      <w:bookmarkStart w:id="170" w:name="_Toc350857422"/>
      <w:bookmarkStart w:id="171" w:name="_Toc510197467"/>
      <w:bookmarkStart w:id="172" w:name="_Toc449111921"/>
      <w:bookmarkStart w:id="173" w:name="_Toc340436788"/>
      <w:bookmarkStart w:id="174" w:name="_Toc371937187"/>
      <w:bookmarkStart w:id="175" w:name="_Toc338778035"/>
      <w:bookmarkStart w:id="176" w:name="_Toc450123127"/>
      <w:bookmarkStart w:id="177" w:name="_Toc476231294"/>
      <w:bookmarkStart w:id="178" w:name="_Toc342046309"/>
      <w:bookmarkStart w:id="179" w:name="_Toc439772694"/>
      <w:bookmarkStart w:id="180" w:name="_Toc227658493"/>
      <w:bookmarkStart w:id="181" w:name="_Toc504565682"/>
      <w:bookmarkStart w:id="182" w:name="_Toc222804519"/>
      <w:bookmarkStart w:id="183" w:name="_Toc274500891"/>
      <w:bookmarkStart w:id="184" w:name="_Toc388633670"/>
      <w:bookmarkStart w:id="185" w:name="_Toc257202828"/>
      <w:r>
        <w:rPr>
          <w:rFonts w:hint="eastAsia" w:hAnsi="宋体" w:cs="宋体"/>
          <w:b/>
          <w:color w:val="000000" w:themeColor="text1"/>
          <w:sz w:val="32"/>
          <w:szCs w:val="32"/>
          <w14:textFill>
            <w14:solidFill>
              <w14:schemeClr w14:val="tx1"/>
            </w14:solidFill>
          </w14:textFill>
        </w:rPr>
        <w:t>3. 监理人</w:t>
      </w:r>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p>
    <w:p w14:paraId="6E705CC9">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3.1 监理人的职责和权力</w:t>
      </w:r>
    </w:p>
    <w:p w14:paraId="03B0E369">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3.1.1监理人受发包人的委托，享有合同约定的权力。监理人的权力范围在专用合同条款中明确。当监理人认为出现了危及生命、工程或毗邻财产等安全的紧急事件时，在不免除合同约定的承包人责任的情况下，监理人可以指示承包人实施为消除或减少这种危险所必须进行的工作，即使没有发包人的事先批准，承包人也应立即遵照执行。监理人应按第15条的约定增加相应的费用，并通知承包人。</w:t>
      </w:r>
    </w:p>
    <w:p w14:paraId="3D6D7113">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3.1.2 监理人发出的任何指示应视为已得到发包人的批准，但监理人无权免除或变更合同约定的发包人和承包人的权利、义务和责任。</w:t>
      </w:r>
    </w:p>
    <w:p w14:paraId="6CA7C180">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3.1.3 合同约定应由承包人承担的义务和责任，不因监理人对承包人提交文件的审查或批准，对工程、材料和设备的检查和检验，以及为实施监理作出的指示等职务行为而减轻或解除。</w:t>
      </w:r>
    </w:p>
    <w:p w14:paraId="2E81B013">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3.2 总监理工程师</w:t>
      </w:r>
    </w:p>
    <w:p w14:paraId="48033E5F">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发包人应在发出开工通知前将总监理工程师的任命通知承包人。总监理工程师更换时，应在调离14天前通知承包人。总监理工程师短期离开施工场地的，应委派代表代行其职责，并通知承包人。</w:t>
      </w:r>
    </w:p>
    <w:p w14:paraId="280D7E70">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3.3 监理人员</w:t>
      </w:r>
    </w:p>
    <w:p w14:paraId="125D9B7B">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3.3.1 总监理工程师可以授权其他监理人员负责执行其指派的一项或多项监理工作。总监理工程师应将被授权监理人员的姓名及其授权范围通知承包人。被授权的监理人员在授权范围内发出的指示视为已得到总监理工程师的同意，与总监理工程师发出的指示具有同等效力。总监理工程师撤销某项授权时，应将撤销授权的决定及时通知承包人。</w:t>
      </w:r>
    </w:p>
    <w:p w14:paraId="788C7964">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3.3.2 监理人员对承包人的任何工作、工程或其采用的材料和工程设备未在约定的或合理的期限内提出否定意见的，视为已获批准，但不影响监理人在以后拒绝该项工作、工程、材料或工程设备的权利。</w:t>
      </w:r>
    </w:p>
    <w:p w14:paraId="43CAFB92">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3.3.3 承包人对总监理工程师授权的监理人员发出的指示有疑问的，可向总监理工程师提出书面异议，总监理工程师应在48 小时内对该指示予以确认、更改或撤销。</w:t>
      </w:r>
    </w:p>
    <w:p w14:paraId="0D57C581">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3.3.4 除专用合同条款另有约定外，总监理工程师不应将第3.5 款约定应由总监理工程师作出确定的权力授权或委托给其他监理人员。</w:t>
      </w:r>
    </w:p>
    <w:p w14:paraId="0BE9102C">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3.4 监理人的指示</w:t>
      </w:r>
    </w:p>
    <w:p w14:paraId="089D2E4D">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3.4.1 监理人应按第3.1 款的约定向承包人发出指示，监理人的指示应盖有监理人授权的施工场地机构章，并由总监理工程师或总监理工程师按第3.3.1 项约定授权的监理人员签字。</w:t>
      </w:r>
    </w:p>
    <w:p w14:paraId="7B7C6E89">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3.4.2 承包人收到监理人按第3.4.1 项作出的指示后应遵照执行。指示构成变更的，应按第15 条处理。</w:t>
      </w:r>
    </w:p>
    <w:p w14:paraId="4B96F871">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3.4.3 在紧急情况下，总监理工程师或被授权的监理人员可以当场签发临时书面指示，承包人应遵照执行。承包人应在收到上述临时书面指示后24 小时内，向监理人发出书面确认函。监理人在收到书面确认函后24 小时内未予答复的，该书面确认函应被视为监理人的正式指示。</w:t>
      </w:r>
    </w:p>
    <w:p w14:paraId="2B6F6824">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3.4.4 除合同另有约定外，承包人只从总监理工程师或按第3.3.1 项被授权的监理人员处取得指示。</w:t>
      </w:r>
    </w:p>
    <w:p w14:paraId="76731C58">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3.4.5 由于监理人未能按合同约定发出指示、指示延误或指示错误而导致承包人费用增加和（或）工期延误的，由发包人承担赔偿责任。</w:t>
      </w:r>
    </w:p>
    <w:p w14:paraId="484D31BD">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3.5 商定或确定</w:t>
      </w:r>
    </w:p>
    <w:p w14:paraId="18CF0A84">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3.5.1 合同约定总监理工程师应按照本款对任何事项进行商定或确定时，总监理工程师应与合同当事人协商，尽量达成一致。不能达成一致的，总监理工程师应认真研究后审慎确定。</w:t>
      </w:r>
    </w:p>
    <w:p w14:paraId="6695C505">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3.5.2 总监理工程师应将商定或确定的事项通知合同当事人，并附详细依据。对总监理工程师的确定有异议的，构成争议，按照第24 条的约定处理。在争议解决前，双方应暂按总监理工程师的确定执行，按照第24 条的约定对总监理工程师的确定作出修改的，按修改后的结果执行。</w:t>
      </w:r>
    </w:p>
    <w:p w14:paraId="37C79713">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186" w:name="_Toc371937188"/>
      <w:bookmarkStart w:id="187" w:name="_Toc388633671"/>
      <w:bookmarkStart w:id="188" w:name="_Toc257202829"/>
      <w:bookmarkStart w:id="189" w:name="_Toc306293160"/>
      <w:bookmarkStart w:id="190" w:name="_Toc260229969"/>
      <w:bookmarkStart w:id="191" w:name="_Toc453768094"/>
      <w:bookmarkStart w:id="192" w:name="_Toc389226391"/>
      <w:bookmarkStart w:id="193" w:name="_Toc215561204"/>
      <w:bookmarkStart w:id="194" w:name="_Toc504565796"/>
      <w:bookmarkStart w:id="195" w:name="_Toc368145480"/>
      <w:bookmarkStart w:id="196" w:name="_Toc458599272"/>
      <w:bookmarkStart w:id="197" w:name="_Toc260230296"/>
      <w:bookmarkStart w:id="198" w:name="_Toc476231295"/>
      <w:bookmarkStart w:id="199" w:name="_Toc215556186"/>
      <w:bookmarkStart w:id="200" w:name="_Toc436133232"/>
      <w:bookmarkStart w:id="201" w:name="_Toc254774405"/>
      <w:bookmarkStart w:id="202" w:name="_Toc340436789"/>
      <w:bookmarkStart w:id="203" w:name="_Toc215805047"/>
      <w:bookmarkStart w:id="204" w:name="_Toc340222899"/>
      <w:bookmarkStart w:id="205" w:name="_Toc195864491"/>
      <w:bookmarkStart w:id="206" w:name="_Toc504565683"/>
      <w:bookmarkStart w:id="207" w:name="_Toc439772695"/>
      <w:bookmarkStart w:id="208" w:name="_Toc255741925"/>
      <w:bookmarkStart w:id="209" w:name="_Toc510197606"/>
      <w:bookmarkStart w:id="210" w:name="_Toc255470038"/>
      <w:bookmarkStart w:id="211" w:name="_Toc249848946"/>
      <w:bookmarkStart w:id="212" w:name="_Toc15378"/>
      <w:bookmarkStart w:id="213" w:name="_Toc460581174"/>
      <w:bookmarkStart w:id="214" w:name="_Toc23204"/>
      <w:bookmarkStart w:id="215" w:name="_Toc211175328"/>
      <w:bookmarkStart w:id="216" w:name="_Toc208734404"/>
      <w:bookmarkStart w:id="217" w:name="_Toc245110734"/>
      <w:bookmarkStart w:id="218" w:name="_Toc270517138"/>
      <w:bookmarkStart w:id="219" w:name="_Toc510197468"/>
      <w:bookmarkStart w:id="220" w:name="_Toc445105531"/>
      <w:bookmarkStart w:id="221" w:name="_Toc436309589"/>
      <w:bookmarkStart w:id="222" w:name="_Toc187845996"/>
      <w:bookmarkStart w:id="223" w:name="_Toc449111922"/>
      <w:bookmarkStart w:id="224" w:name="_Toc338778036"/>
      <w:bookmarkStart w:id="225" w:name="_Toc255470261"/>
      <w:bookmarkStart w:id="226" w:name="_Toc227658494"/>
      <w:bookmarkStart w:id="227" w:name="_Toc206830017"/>
      <w:bookmarkStart w:id="228" w:name="_Toc436309941"/>
      <w:bookmarkStart w:id="229" w:name="_Toc450123362"/>
      <w:bookmarkStart w:id="230" w:name="_Toc350857423"/>
      <w:bookmarkStart w:id="231" w:name="_Toc260649024"/>
      <w:bookmarkStart w:id="232" w:name="_Toc274500892"/>
      <w:bookmarkStart w:id="233" w:name="_Toc248294417"/>
      <w:bookmarkStart w:id="234" w:name="_Toc219172333"/>
      <w:bookmarkStart w:id="235" w:name="_Toc187475836"/>
      <w:bookmarkStart w:id="236" w:name="_Toc305763050"/>
      <w:bookmarkStart w:id="237" w:name="_Toc209862326"/>
      <w:bookmarkStart w:id="238" w:name="_Toc351898541"/>
      <w:bookmarkStart w:id="239" w:name="_Toc222804520"/>
      <w:bookmarkStart w:id="240" w:name="_Toc452986496"/>
      <w:bookmarkStart w:id="241" w:name="_Toc450123128"/>
      <w:bookmarkStart w:id="242" w:name="_Toc436998782"/>
      <w:bookmarkStart w:id="243" w:name="_Toc477164656"/>
      <w:bookmarkStart w:id="244" w:name="_Toc214355667"/>
      <w:bookmarkStart w:id="245" w:name="_Toc342046310"/>
      <w:r>
        <w:rPr>
          <w:rFonts w:hint="eastAsia" w:hAnsi="宋体" w:cs="宋体"/>
          <w:b/>
          <w:color w:val="000000" w:themeColor="text1"/>
          <w:sz w:val="32"/>
          <w:szCs w:val="32"/>
          <w14:textFill>
            <w14:solidFill>
              <w14:schemeClr w14:val="tx1"/>
            </w14:solidFill>
          </w14:textFill>
        </w:rPr>
        <w:t>4. 承包人</w:t>
      </w:r>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p>
    <w:p w14:paraId="71023FCC">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4.1 承包人的一般义务</w:t>
      </w:r>
    </w:p>
    <w:p w14:paraId="2024F11A">
      <w:pPr>
        <w:pStyle w:val="191"/>
        <w:spacing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4.1.1 遵守法律</w:t>
      </w:r>
    </w:p>
    <w:p w14:paraId="532082C2">
      <w:pPr>
        <w:pStyle w:val="184"/>
        <w:spacing w:line="400" w:lineRule="exact"/>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承包人在履行合同过程中应遵守法律，并保证发包人免于承担因承包人违反法律而引起的任何责任。</w:t>
      </w:r>
    </w:p>
    <w:p w14:paraId="376FD3AA">
      <w:pPr>
        <w:pStyle w:val="191"/>
        <w:spacing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4.1.2 依法纳税</w:t>
      </w:r>
    </w:p>
    <w:p w14:paraId="0A1BEF68">
      <w:pPr>
        <w:pStyle w:val="177"/>
        <w:spacing w:line="400" w:lineRule="exact"/>
        <w:ind w:left="420" w:firstLine="44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承包人应按有关法律规定纳税，应缴纳的税金包括在合同价格内。</w:t>
      </w:r>
    </w:p>
    <w:p w14:paraId="40CA49B8">
      <w:pPr>
        <w:pStyle w:val="191"/>
        <w:spacing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4.1.3 完成各项承包工作</w:t>
      </w:r>
    </w:p>
    <w:p w14:paraId="10357481">
      <w:pPr>
        <w:pStyle w:val="184"/>
        <w:spacing w:line="400" w:lineRule="exact"/>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承包人应按合同约定以及监理人根据第3.4款作出的指示，实施、完成全部工程，并修补工程中的任何缺陷。除第5.2款、第6.2款另有约定外，承包人应提供为完成合同工作所需的劳务、材料、施工设备、工程设备和其它物品，并按合同约定负责临时设施的设计、建造、运行、维护、管理和拆除。</w:t>
      </w:r>
    </w:p>
    <w:p w14:paraId="56123612">
      <w:pPr>
        <w:pStyle w:val="191"/>
        <w:spacing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4.1.4 对施工作业和施工方法的完备性负责</w:t>
      </w:r>
    </w:p>
    <w:p w14:paraId="16B210A5">
      <w:pPr>
        <w:pStyle w:val="191"/>
        <w:spacing w:line="400" w:lineRule="exact"/>
        <w:ind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承包人应按合同约定的工作内容和施工进度要求，编制施工组织设计和施工措施计划，并对所有施工作业和施工方法的完备性和安全可靠性负责。</w:t>
      </w:r>
    </w:p>
    <w:p w14:paraId="226C6D17">
      <w:pPr>
        <w:pStyle w:val="191"/>
        <w:spacing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4.1.5 保证工程施工和人员的安全</w:t>
      </w:r>
    </w:p>
    <w:p w14:paraId="386AC7DB">
      <w:pPr>
        <w:pStyle w:val="184"/>
        <w:spacing w:line="400" w:lineRule="exact"/>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承包人应按第9.2 款约定采取施工安全措施，确保工程及其人员、材料、设备和设施的安全，防止因工程施工造成的人身伤害和财产损失。</w:t>
      </w:r>
    </w:p>
    <w:p w14:paraId="3A1C2430">
      <w:pPr>
        <w:pStyle w:val="87"/>
        <w:spacing w:line="400" w:lineRule="exact"/>
        <w:ind w:firstLine="540" w:firstLineChars="224"/>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4.1.6 负责施工场地及其周边环境与生态的保护工作</w:t>
      </w:r>
    </w:p>
    <w:p w14:paraId="3D76FCA4">
      <w:pPr>
        <w:pStyle w:val="87"/>
        <w:spacing w:line="400" w:lineRule="exact"/>
        <w:ind w:firstLine="537" w:firstLineChars="224"/>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承包人应按照第9.4 款约定负责施工场地及其周边环境与生态的保护工作。</w:t>
      </w:r>
    </w:p>
    <w:p w14:paraId="2C0F82A2">
      <w:pPr>
        <w:pStyle w:val="87"/>
        <w:spacing w:line="400" w:lineRule="exact"/>
        <w:ind w:firstLine="540" w:firstLineChars="224"/>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4.1.7 避免施工对公众与他人的利益造成损害</w:t>
      </w:r>
    </w:p>
    <w:p w14:paraId="6AE499BB">
      <w:pPr>
        <w:pStyle w:val="184"/>
        <w:spacing w:line="400" w:lineRule="exact"/>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承包人在进行合同约定的各项工作时，不得侵害发包人与他人使用公用道路、水源、市政管网等公共设施的权利，避免对邻近的公共设施产生干扰。承包人占用或使用他人的施工场地，影响他人作业或生活的，应承担相应责任。</w:t>
      </w:r>
    </w:p>
    <w:p w14:paraId="3E66EE6D">
      <w:pPr>
        <w:pStyle w:val="87"/>
        <w:spacing w:line="400" w:lineRule="exact"/>
        <w:ind w:firstLine="540" w:firstLineChars="224"/>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4.1.8 为他人提供方便</w:t>
      </w:r>
    </w:p>
    <w:p w14:paraId="4D2799C1">
      <w:pPr>
        <w:pStyle w:val="184"/>
        <w:spacing w:line="400" w:lineRule="exact"/>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承包人应按监理人的指示为他人在施工场地或附近实施与工程有关的其他各项工作提供可能的条件。除合同另有约定外，提供有关条件的内容和可能发生的费用，由监理人按第3.5 款商定或确定。</w:t>
      </w:r>
    </w:p>
    <w:p w14:paraId="4956A09C">
      <w:pPr>
        <w:pStyle w:val="87"/>
        <w:spacing w:line="400" w:lineRule="exact"/>
        <w:ind w:firstLine="540" w:firstLineChars="224"/>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4.1.9 工程的维护和照管</w:t>
      </w:r>
    </w:p>
    <w:p w14:paraId="2443939C">
      <w:pPr>
        <w:pStyle w:val="184"/>
        <w:spacing w:line="400" w:lineRule="exact"/>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除合同另有约定外，合同工程完工证书颁发前，承包人应负责照管和维护工程。合同工程完工证书颁发时尚有部分未完工程的，承包人还应负责该未完工程的照管和维护工作，直至完工后移交给发包人为止。</w:t>
      </w:r>
    </w:p>
    <w:p w14:paraId="2DE5DDA4">
      <w:pPr>
        <w:pStyle w:val="87"/>
        <w:spacing w:line="400" w:lineRule="exact"/>
        <w:ind w:firstLine="540" w:firstLineChars="224"/>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4.1.10 其他义务</w:t>
      </w:r>
    </w:p>
    <w:p w14:paraId="765C5992">
      <w:pPr>
        <w:pStyle w:val="175"/>
        <w:spacing w:after="0" w:line="400" w:lineRule="exact"/>
        <w:ind w:firstLine="540" w:firstLineChars="225"/>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其他义务在专用合同条款中补充约定。</w:t>
      </w:r>
    </w:p>
    <w:p w14:paraId="2A26E7C2">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4.2 履约担保</w:t>
      </w:r>
    </w:p>
    <w:p w14:paraId="56D7DE2A">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承包人应保证其履约担保在发包人颁发合同工程完工证书前一直有效。发包人应在合同工程完工证书颁发后28天内将履约担保退还给承包人。</w:t>
      </w:r>
    </w:p>
    <w:p w14:paraId="17F497AC">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4.3 分包</w:t>
      </w:r>
    </w:p>
    <w:p w14:paraId="0CAECD8C">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4.3.1 承包人不得将其承包的全部工程转包给第三人，或将其承包的全部工程肢解后以分包的名义转包给第三人。</w:t>
      </w:r>
    </w:p>
    <w:p w14:paraId="291888C8">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4.3.2 承包人不得将工程主体、关键性工作分包给第三人。除专用合同条款另有约定外，未经发包人同意，承包人不得将工程的其他部分或工作分包给第三人。</w:t>
      </w:r>
    </w:p>
    <w:p w14:paraId="7C755D79">
      <w:pPr>
        <w:pStyle w:val="87"/>
        <w:spacing w:line="400" w:lineRule="exact"/>
        <w:ind w:firstLine="616" w:firstLineChars="257"/>
        <w:jc w:val="both"/>
        <w:rPr>
          <w:rFonts w:hint="eastAsia"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4.3.3 分包人的资格能力应与其分包工程的标准和规模相适应。</w:t>
      </w:r>
    </w:p>
    <w:p w14:paraId="3153AEAF">
      <w:pPr>
        <w:pStyle w:val="87"/>
        <w:spacing w:line="400" w:lineRule="exact"/>
        <w:ind w:firstLine="616" w:firstLineChars="257"/>
        <w:jc w:val="both"/>
        <w:rPr>
          <w:rFonts w:hint="eastAsia"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4.3.4 按投标函附录约定分包工程的，承包人应向发包人和监理人提交分包合同副本。</w:t>
      </w:r>
    </w:p>
    <w:p w14:paraId="4C650B50">
      <w:pPr>
        <w:pStyle w:val="87"/>
        <w:spacing w:line="400" w:lineRule="exact"/>
        <w:ind w:firstLine="616" w:firstLineChars="257"/>
        <w:jc w:val="both"/>
        <w:rPr>
          <w:rFonts w:hint="eastAsia"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4.3.5 承包人应与分包人就分包工程向发包人承担连带责任。</w:t>
      </w:r>
    </w:p>
    <w:p w14:paraId="6CBE8B1F">
      <w:pPr>
        <w:pStyle w:val="87"/>
        <w:spacing w:line="400" w:lineRule="exact"/>
        <w:ind w:firstLine="616" w:firstLineChars="257"/>
        <w:jc w:val="both"/>
        <w:rPr>
          <w:rFonts w:hint="eastAsia"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4.3.6分包分为工程分包和劳务作业分包。工程分包应遵循合同约定或者经发包人书面认可。禁止承包人将本合同工程进行违法分包。分包人应具备与分包工程规模和标准相适应的资质和业绩，在人力、设备、资金等方面具有承担分包工程施工的能力。分包人应自行完成所承包的任务。</w:t>
      </w:r>
    </w:p>
    <w:p w14:paraId="32BD7265">
      <w:pPr>
        <w:pStyle w:val="87"/>
        <w:spacing w:line="400" w:lineRule="exact"/>
        <w:ind w:firstLine="616" w:firstLineChars="257"/>
        <w:jc w:val="both"/>
        <w:rPr>
          <w:rFonts w:hint="eastAsia"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4.3.7 在合同实施过程中，如承包人无力在合同规定的期限内完成合同中的应急防汛、抢险等危及公共安全和工程安全的项目，发包人可对该应急防汛、抢险等项目的部分工程指定分包人。因非承包人原因形成指定分包条件的，发包人的指定分包不应增加承包人的额外费用；因承包人原因形成指定分包条件的，承包人应承担指定分包所增加的费用。</w:t>
      </w:r>
    </w:p>
    <w:p w14:paraId="15DEF85F">
      <w:pPr>
        <w:pStyle w:val="87"/>
        <w:spacing w:line="400" w:lineRule="exact"/>
        <w:ind w:firstLine="616" w:firstLineChars="257"/>
        <w:jc w:val="both"/>
        <w:rPr>
          <w:rFonts w:hint="eastAsia"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由指定分包人造成的与其分包工作有关的一切索赔、诉讼和损失赔偿由指定分包人直接对发包人负责，承包人不对此承担责任。</w:t>
      </w:r>
    </w:p>
    <w:p w14:paraId="42C46E9B">
      <w:pPr>
        <w:pStyle w:val="87"/>
        <w:spacing w:line="400" w:lineRule="exact"/>
        <w:ind w:firstLine="616" w:firstLineChars="257"/>
        <w:jc w:val="both"/>
        <w:rPr>
          <w:rFonts w:hint="eastAsia"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4.3.8 承包人和分包人应当签订分包合同，并履行合同约定的义务。分包合同必须遵循承包合同的各项原则，满足承包合同中相应条款的要求。发包人可以对分包合同实施情况进行监督检查。承包人应将分包合同副本提交发包人和监理人。</w:t>
      </w:r>
    </w:p>
    <w:p w14:paraId="642E2433">
      <w:pPr>
        <w:pStyle w:val="87"/>
        <w:spacing w:line="400" w:lineRule="exact"/>
        <w:ind w:firstLine="616" w:firstLineChars="257"/>
        <w:jc w:val="both"/>
        <w:rPr>
          <w:rFonts w:hint="eastAsia"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4.3.9 除第4.3.7项规定的指定分包外，承包人对其分包项目的实施以及分包人的行为向发包人负全部责任。承包人应对分包项目的工程进度、质量、安全、计量和验收等实施监督和管理。</w:t>
      </w:r>
    </w:p>
    <w:p w14:paraId="2E7DB939">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4.3.10 分包人应按专用合同条款的约定设立项目管理机构组织管理分包工程的施工活动。</w:t>
      </w:r>
    </w:p>
    <w:p w14:paraId="2609272B">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4.4 联合体</w:t>
      </w:r>
    </w:p>
    <w:p w14:paraId="79544E46">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4.4.1 联合体各方应共同与发包人签订合同协议书。联合体各方应为履行合同承担连带责任。</w:t>
      </w:r>
    </w:p>
    <w:p w14:paraId="239DD4D8">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4.4.2 联合体协议经发包人确认后作为合同附件。在履行合同过程中，未经发包人同意，不得修改联合体协议。</w:t>
      </w:r>
    </w:p>
    <w:p w14:paraId="72E33FA7">
      <w:pPr>
        <w:pStyle w:val="87"/>
        <w:spacing w:line="400" w:lineRule="exact"/>
        <w:ind w:firstLine="540" w:firstLineChars="225"/>
        <w:jc w:val="both"/>
        <w:rPr>
          <w:rFonts w:hAnsi="宋体"/>
          <w:color w:val="000000" w:themeColor="text1"/>
          <w:sz w:val="21"/>
          <w:szCs w:val="21"/>
          <w14:textFill>
            <w14:solidFill>
              <w14:schemeClr w14:val="tx1"/>
            </w14:solidFill>
          </w14:textFill>
        </w:rPr>
      </w:pPr>
      <w:r>
        <w:rPr>
          <w:rFonts w:hint="eastAsia" w:hAnsi="宋体"/>
          <w:color w:val="000000" w:themeColor="text1"/>
          <w14:textFill>
            <w14:solidFill>
              <w14:schemeClr w14:val="tx1"/>
            </w14:solidFill>
          </w14:textFill>
        </w:rPr>
        <w:t>4.4.3 联合体牵头人负责与发包人和监理人联系，并接受指示，负责组织联合体各成员全面履行合</w:t>
      </w:r>
      <w:r>
        <w:rPr>
          <w:rFonts w:hint="eastAsia" w:hAnsi="宋体"/>
          <w:color w:val="000000" w:themeColor="text1"/>
          <w:sz w:val="21"/>
          <w:szCs w:val="21"/>
          <w14:textFill>
            <w14:solidFill>
              <w14:schemeClr w14:val="tx1"/>
            </w14:solidFill>
          </w14:textFill>
        </w:rPr>
        <w:t>同。</w:t>
      </w:r>
    </w:p>
    <w:p w14:paraId="2833B4FF">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4.5 承包人项目经理</w:t>
      </w:r>
    </w:p>
    <w:p w14:paraId="20AECE4D">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4.5.1 承包人应按合同约定指派项目经理，并在约定的期限内到职。承包人更换项目经理应事先征得发包人同意，并应在更换14天前通知发包人和监理人。承包人项目经理短期离开施工场地，应事先征得监理人同意，并委派代表代行其职责。</w:t>
      </w:r>
    </w:p>
    <w:p w14:paraId="4969EC45">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4.5.2 承包人项目经理应按合同约定以及监理人按第3.4款作出的指示，负责组织合同工程的实施。在情况紧急且无法与监理人取得联系时，可采取保证工程和人员生命财产安全的紧急措施，并在采取措施后24小时内向监理人提交书面报告。</w:t>
      </w:r>
    </w:p>
    <w:p w14:paraId="0D3FB48E">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4.5.3 承包人为履行合同发出的一切函件均应盖有承包人授权的施工场地管理机构章，并由承包人项目经理或其授权代表签字。</w:t>
      </w:r>
    </w:p>
    <w:p w14:paraId="58F5F25E">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4.5.4 承包人项目经理可以授权其下属人员履行其某项职责，但事先应将这些人员的姓名和授权范围通知监理人。</w:t>
      </w:r>
    </w:p>
    <w:p w14:paraId="5E34B2F3">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4.6 承包人人员的管理</w:t>
      </w:r>
    </w:p>
    <w:p w14:paraId="298881F1">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4.6.1 承包人应在接到开工通知后28 天内，向监理人提交承包人在施工场地的管理机构以及人员安排的报告，其内容应包括管理机构的设置、各主要岗位的技术和管理人员名单及其资格，以及各工种技术工人的安排状况。承包人应向监理人提交施工场地人员变动情况的报告。</w:t>
      </w:r>
    </w:p>
    <w:p w14:paraId="76EEBCA2">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4.6.2 为完成合同约定的各项工作，承包人应向施工场地派遣或雇佣足够数量的下列人员：</w:t>
      </w:r>
    </w:p>
    <w:p w14:paraId="0A337AD5">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（1）具有相应资格的专业技工和合格的普工；</w:t>
      </w:r>
    </w:p>
    <w:p w14:paraId="7EF7CD8C">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（2）具有相应施工经验的技术人员；</w:t>
      </w:r>
    </w:p>
    <w:p w14:paraId="06251059">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（3）具有相应岗位资格的各级管理人员。</w:t>
      </w:r>
    </w:p>
    <w:p w14:paraId="2A3DBA10">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4.6.3 承包人安排在施工场地的主要管理人员和技术骨干应相对稳定。承包人更换主要管理人员和技术骨干时，应取得监理人的同意。</w:t>
      </w:r>
    </w:p>
    <w:p w14:paraId="573B7590">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4.6.4 特殊岗位的工作人员均应持有相应的资格证明，监理人有权随时检查。监理人认为有必要时，可进行现场考核。</w:t>
      </w:r>
    </w:p>
    <w:p w14:paraId="0EF1C9AC">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4.7 撤换承包人项目经理和其他人员</w:t>
      </w:r>
    </w:p>
    <w:p w14:paraId="1F55E5C1">
      <w:pPr>
        <w:pStyle w:val="175"/>
        <w:spacing w:after="0" w:line="400" w:lineRule="exact"/>
        <w:ind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承包人应对其项目经理和其他人员进行有效管理。监理人要求撤换不能胜任本职工作、行为不端或玩忽职守的承包人项目经理和其他人员的，承包人应予以撤换。</w:t>
      </w:r>
    </w:p>
    <w:p w14:paraId="19842126">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4.8 保障承包人人员的合法权益</w:t>
      </w:r>
    </w:p>
    <w:p w14:paraId="3D757B93">
      <w:pPr>
        <w:pStyle w:val="197"/>
        <w:spacing w:line="400" w:lineRule="exact"/>
        <w:ind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4.8.1 承包人应与其雇佣的人员签订劳动合同，并按时发放工资。</w:t>
      </w:r>
    </w:p>
    <w:p w14:paraId="3FAACBBF">
      <w:pPr>
        <w:pStyle w:val="87"/>
        <w:spacing w:line="400" w:lineRule="exact"/>
        <w:ind w:firstLine="361"/>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4.8.2 承包人应按劳动法的规定安排工作时间，保证其雇佣人员享有休息和休假的权利。因工程施工的特殊需要占用休假日或延长工作时间的，应不超过法律规定的限度，并按法律规定给予补休或付酬。</w:t>
      </w:r>
    </w:p>
    <w:p w14:paraId="6CE9864E">
      <w:pPr>
        <w:pStyle w:val="87"/>
        <w:spacing w:line="400" w:lineRule="exact"/>
        <w:ind w:firstLine="361"/>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4.8.3 承包人应为其雇佣人员提供必要的食宿条件，以及符合环境保护和卫生要求的生活环境，在远离城镇的施工场地，还应配备必要的伤病防治和急救的医务人员与医疗设施。</w:t>
      </w:r>
    </w:p>
    <w:p w14:paraId="07FAC291">
      <w:pPr>
        <w:pStyle w:val="87"/>
        <w:spacing w:line="400" w:lineRule="exact"/>
        <w:ind w:firstLine="361"/>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4.8.4 承包人应按国家有关劳动保护的规定，采取有效的防止粉尘、降低噪声、控制有害气体和保障高温、高寒、高空作业安全等劳动保护措施。其雇佣人员在施工中受到伤害的，承包人应立即采取有效措施进行抢救和治疗。</w:t>
      </w:r>
    </w:p>
    <w:p w14:paraId="361DE95E">
      <w:pPr>
        <w:pStyle w:val="87"/>
        <w:spacing w:line="400" w:lineRule="exact"/>
        <w:ind w:firstLine="361"/>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4.8.5 承包人应按有关法律规定和合同约定，为其雇佣人员办理保险。</w:t>
      </w:r>
    </w:p>
    <w:p w14:paraId="6951AD2E">
      <w:pPr>
        <w:pStyle w:val="87"/>
        <w:spacing w:line="400" w:lineRule="exact"/>
        <w:ind w:firstLine="361"/>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4.8.6 承包人应负责处理其雇佣人员因工伤亡事故的善后事宜。</w:t>
      </w:r>
    </w:p>
    <w:p w14:paraId="04805602">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4.9 工程价款应专款专用</w:t>
      </w:r>
    </w:p>
    <w:p w14:paraId="52F645B0">
      <w:pPr>
        <w:pStyle w:val="197"/>
        <w:spacing w:line="400" w:lineRule="exact"/>
        <w:ind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发包人按合同约定支付给承包人的各项价款应专用于合同工程。</w:t>
      </w:r>
    </w:p>
    <w:p w14:paraId="1B2B34E8">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4.10 承包人现场查勘</w:t>
      </w:r>
    </w:p>
    <w:p w14:paraId="0E572CFB">
      <w:pPr>
        <w:pStyle w:val="87"/>
        <w:spacing w:line="400" w:lineRule="exact"/>
        <w:ind w:firstLine="361"/>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4.10.1 发包人应将其持有的现场地质勘探资料、水文气象资料提供给承包人，并对其准确性负责。但承包人应对其阅读上述有关资料后所作出的解释和推断负责。</w:t>
      </w:r>
    </w:p>
    <w:p w14:paraId="5A7A1BE5">
      <w:pPr>
        <w:pStyle w:val="87"/>
        <w:spacing w:line="400" w:lineRule="exact"/>
        <w:ind w:firstLine="361"/>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4.10.2 承包人应对施工场地和周围环境进行查勘，并收集有关地质、水文、气象条件、交通条件、风俗习惯以及其他为完成合同工作有关的当地资料。在全部合同工作中，应视为承包人已充分估计了应承担的责任和风险。</w:t>
      </w:r>
    </w:p>
    <w:p w14:paraId="4E02A83B">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4.11 不利物质条件</w:t>
      </w:r>
    </w:p>
    <w:p w14:paraId="5E36D53A">
      <w:pPr>
        <w:pStyle w:val="87"/>
        <w:spacing w:line="400" w:lineRule="exact"/>
        <w:ind w:firstLine="361"/>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4.11.1 除专用合同条款另有约定外，不利物质条件是指在施工中遭遇不可预见的外界障碍或自然条件造成施工受阻。</w:t>
      </w:r>
    </w:p>
    <w:p w14:paraId="7DC21804">
      <w:pPr>
        <w:pStyle w:val="87"/>
        <w:spacing w:line="400" w:lineRule="exact"/>
        <w:ind w:firstLine="361"/>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4.11.2 承包人遇到不利物质条件时，应采取适应不利物质条件的合理措施继续施工，并及时通知监理人。承包人有权根据第23.1款的约定，要求延长工期及增加费用。监理人收到此类要求后，应在分析上述外界障碍或自然条件是否不可预见及不可预见程度的基础上，按照通用合同条款第15条的约定办理。</w:t>
      </w:r>
    </w:p>
    <w:p w14:paraId="27525230">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246" w:name="_Toc215556187"/>
      <w:bookmarkStart w:id="247" w:name="_Toc260649025"/>
      <w:bookmarkStart w:id="248" w:name="_Toc209862327"/>
      <w:bookmarkStart w:id="249" w:name="_Toc458599273"/>
      <w:bookmarkStart w:id="250" w:name="_Toc460581175"/>
      <w:bookmarkStart w:id="251" w:name="_Toc450123129"/>
      <w:bookmarkStart w:id="252" w:name="_Toc477164657"/>
      <w:bookmarkStart w:id="253" w:name="_Toc187845997"/>
      <w:bookmarkStart w:id="254" w:name="_Toc215805048"/>
      <w:bookmarkStart w:id="255" w:name="_Toc340222900"/>
      <w:bookmarkStart w:id="256" w:name="_Toc338778037"/>
      <w:bookmarkStart w:id="257" w:name="_Toc206830018"/>
      <w:bookmarkStart w:id="258" w:name="_Toc305763051"/>
      <w:bookmarkStart w:id="259" w:name="_Toc368145481"/>
      <w:bookmarkStart w:id="260" w:name="_Toc453768095"/>
      <w:bookmarkStart w:id="261" w:name="_Toc195864492"/>
      <w:bookmarkStart w:id="262" w:name="_Toc452986497"/>
      <w:bookmarkStart w:id="263" w:name="_Toc476231296"/>
      <w:bookmarkStart w:id="264" w:name="_Toc504565684"/>
      <w:bookmarkStart w:id="265" w:name="_Toc249848947"/>
      <w:bookmarkStart w:id="266" w:name="_Toc270517139"/>
      <w:bookmarkStart w:id="267" w:name="_Toc371937189"/>
      <w:bookmarkStart w:id="268" w:name="_Toc436309942"/>
      <w:bookmarkStart w:id="269" w:name="_Toc445105532"/>
      <w:bookmarkStart w:id="270" w:name="_Toc260230297"/>
      <w:bookmarkStart w:id="271" w:name="_Toc29247"/>
      <w:bookmarkStart w:id="272" w:name="_Toc306293161"/>
      <w:bookmarkStart w:id="273" w:name="_Toc227658495"/>
      <w:bookmarkStart w:id="274" w:name="_Toc215561205"/>
      <w:bookmarkStart w:id="275" w:name="_Toc449111923"/>
      <w:bookmarkStart w:id="276" w:name="_Toc214355668"/>
      <w:bookmarkStart w:id="277" w:name="_Toc257202830"/>
      <w:bookmarkStart w:id="278" w:name="_Toc187475837"/>
      <w:bookmarkStart w:id="279" w:name="_Toc28373"/>
      <w:bookmarkStart w:id="280" w:name="_Toc211175329"/>
      <w:bookmarkStart w:id="281" w:name="_Toc245110735"/>
      <w:bookmarkStart w:id="282" w:name="_Toc274500893"/>
      <w:bookmarkStart w:id="283" w:name="_Toc436309590"/>
      <w:bookmarkStart w:id="284" w:name="_Toc255470262"/>
      <w:bookmarkStart w:id="285" w:name="_Toc389226392"/>
      <w:bookmarkStart w:id="286" w:name="_Toc208734405"/>
      <w:bookmarkStart w:id="287" w:name="_Toc219172334"/>
      <w:bookmarkStart w:id="288" w:name="_Toc436133233"/>
      <w:bookmarkStart w:id="289" w:name="_Toc255741926"/>
      <w:bookmarkStart w:id="290" w:name="_Toc254774406"/>
      <w:bookmarkStart w:id="291" w:name="_Toc255470039"/>
      <w:bookmarkStart w:id="292" w:name="_Toc436998783"/>
      <w:bookmarkStart w:id="293" w:name="_Toc351898542"/>
      <w:bookmarkStart w:id="294" w:name="_Toc510197469"/>
      <w:bookmarkStart w:id="295" w:name="_Toc350857424"/>
      <w:bookmarkStart w:id="296" w:name="_Toc248294418"/>
      <w:bookmarkStart w:id="297" w:name="_Toc504565797"/>
      <w:bookmarkStart w:id="298" w:name="_Toc439772696"/>
      <w:bookmarkStart w:id="299" w:name="_Toc222804521"/>
      <w:bookmarkStart w:id="300" w:name="_Toc388633672"/>
      <w:bookmarkStart w:id="301" w:name="_Toc342046311"/>
      <w:bookmarkStart w:id="302" w:name="_Toc340436790"/>
      <w:bookmarkStart w:id="303" w:name="_Toc510197607"/>
      <w:bookmarkStart w:id="304" w:name="_Toc450123363"/>
      <w:bookmarkStart w:id="305" w:name="_Toc260229970"/>
      <w:r>
        <w:rPr>
          <w:rFonts w:hint="eastAsia" w:hAnsi="宋体" w:cs="宋体"/>
          <w:b/>
          <w:color w:val="000000" w:themeColor="text1"/>
          <w:sz w:val="32"/>
          <w:szCs w:val="32"/>
          <w14:textFill>
            <w14:solidFill>
              <w14:schemeClr w14:val="tx1"/>
            </w14:solidFill>
          </w14:textFill>
        </w:rPr>
        <w:t>5. 材料和工程设备</w:t>
      </w:r>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p>
    <w:p w14:paraId="4337A6F9">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5.1 承包人提供的材料和工程设备</w:t>
      </w:r>
    </w:p>
    <w:p w14:paraId="18F654D3">
      <w:pPr>
        <w:pStyle w:val="87"/>
        <w:spacing w:line="400" w:lineRule="exact"/>
        <w:ind w:firstLine="361"/>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5.1.1 除第5.2款约定由发包人提供的材料和工程设备外，承包人负责采购、运输和保管完成本合同工作所需的材料和工程设备。承包人应对其采购的材料和工程设备负责。</w:t>
      </w:r>
    </w:p>
    <w:p w14:paraId="2DAF4D45">
      <w:pPr>
        <w:pStyle w:val="87"/>
        <w:spacing w:line="400" w:lineRule="exact"/>
        <w:ind w:firstLine="361"/>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5.1.2 承包人应按专用合同条款的约定，将各项材料和工程设备的供货人及品种、规格、数量和供货时间等报送监理人审批。承包人应向监理人提交其负责提供的材料和工程设备的质量证明文件，并满足合同约定的质量标准。</w:t>
      </w:r>
    </w:p>
    <w:p w14:paraId="185916FC">
      <w:pPr>
        <w:pStyle w:val="87"/>
        <w:spacing w:line="400" w:lineRule="exact"/>
        <w:ind w:firstLine="361"/>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5.1.3 对承包人提供的材料和工程设备，承包人应会同监理人进行检验和交货验收，查验材料合格证明和产品合格证书，并按合同约定和监理人指示，进行材料的抽样检验和工程设备的检验测试，检验和测试结果应提交监理人，所需费用由承包人承担。</w:t>
      </w:r>
    </w:p>
    <w:p w14:paraId="50D8B0EE">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5.2 发包人提供的材料和工程设备</w:t>
      </w:r>
    </w:p>
    <w:p w14:paraId="1037B155">
      <w:pPr>
        <w:pStyle w:val="87"/>
        <w:spacing w:line="400" w:lineRule="exact"/>
        <w:ind w:firstLine="361"/>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5.2.1 发包人提供的材料和工程设备，应在专用合同条款中写明材料和工程设备的名称、规格、数量、价格、交货方式、交货地点和计划交货日期等。</w:t>
      </w:r>
    </w:p>
    <w:p w14:paraId="4B98290C">
      <w:pPr>
        <w:pStyle w:val="87"/>
        <w:spacing w:line="400" w:lineRule="exact"/>
        <w:ind w:firstLine="361"/>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5.2.2 承包人应根据合同进度计划的安排，向监理人报送要求发包人交货的日期计划。发包人应按照监理人与合同双方当事人商定的交货日期，向承包人提交材料和工程设备。</w:t>
      </w:r>
    </w:p>
    <w:p w14:paraId="6F4ADF78">
      <w:pPr>
        <w:pStyle w:val="87"/>
        <w:spacing w:line="400" w:lineRule="exact"/>
        <w:ind w:firstLine="361"/>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5.2.3 发包人应在材料和工程设备到货7天前通知承包人，承包人应会同监理人在约定的时间内，赴交货地点共同进行验收。发包人提供的材料和工程设备运至交货地点验收后，由承包人负责接收、卸货、运输和保管。</w:t>
      </w:r>
    </w:p>
    <w:p w14:paraId="1E897D00">
      <w:pPr>
        <w:pStyle w:val="87"/>
        <w:spacing w:line="400" w:lineRule="exact"/>
        <w:ind w:firstLine="361"/>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5.2.4 发包人要求向承包人提前交货的，承包人不得拒绝，但发包人应承担承包人由此增加的费用。</w:t>
      </w:r>
    </w:p>
    <w:p w14:paraId="5E21A3F4">
      <w:pPr>
        <w:pStyle w:val="87"/>
        <w:spacing w:line="400" w:lineRule="exact"/>
        <w:ind w:firstLine="361"/>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5.2.5 承包人要求更改交货日期或地点的，应事先报请监理人批准。由于承包人要求更改交货时间或地点所增加的费用和（或）工期延误由承包人承担。</w:t>
      </w:r>
    </w:p>
    <w:p w14:paraId="7C58F98C">
      <w:pPr>
        <w:pStyle w:val="87"/>
        <w:spacing w:line="400" w:lineRule="exact"/>
        <w:ind w:firstLine="361"/>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5.2.6 发包人提供的材料和工程设备的规格、数量或质量不符合合同要求，或由于发包人原因发生交货日期延误及交货地点变更等情况的，发包人应承担由此增加的费用和（或）工期延误，并向承包人支付合理利润。</w:t>
      </w:r>
    </w:p>
    <w:p w14:paraId="35932D57">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5.3 材料和工程设备专用于合同工程</w:t>
      </w:r>
    </w:p>
    <w:p w14:paraId="4D986ADF">
      <w:pPr>
        <w:pStyle w:val="87"/>
        <w:spacing w:line="400" w:lineRule="exact"/>
        <w:ind w:firstLine="361"/>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5.3.1 运入施工场地的材料、工程设备，包括备品备件、安装专用工器具与随机资料，必须专用于合同工程，未经监理人同意，承包人不得运出施工场地或挪作他用。</w:t>
      </w:r>
    </w:p>
    <w:p w14:paraId="0B2085CE">
      <w:pPr>
        <w:pStyle w:val="87"/>
        <w:spacing w:line="400" w:lineRule="exact"/>
        <w:ind w:firstLine="361"/>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5.3.2 随同工程设备运入施工场地的备品备件、专用工器具与随机资料，应由承包人会同监理人按供货人的装箱单清点后共同封存，未经监理人同意不得启用。承包人因合同工作需要使用上述物品时，应向监理人提出申请。</w:t>
      </w:r>
    </w:p>
    <w:p w14:paraId="7148C556">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5.4 禁止使用不合格的材料和工程设备</w:t>
      </w:r>
    </w:p>
    <w:p w14:paraId="73042D81">
      <w:pPr>
        <w:pStyle w:val="87"/>
        <w:spacing w:line="400" w:lineRule="exact"/>
        <w:ind w:firstLine="361"/>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5.4.1 监理人有权拒绝承包人提供的不合格材料或工程设备，并要求承包人立即进行更换。监理人应在更换后再次进行检查和检验，由此增加的费用和（或）工期延误由承包人承担。</w:t>
      </w:r>
    </w:p>
    <w:p w14:paraId="50E9E0F0">
      <w:pPr>
        <w:pStyle w:val="87"/>
        <w:spacing w:line="400" w:lineRule="exact"/>
        <w:ind w:firstLine="361"/>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5.4.2 监理人发现承包人使用了不合格的材料和工程设备，应即时发出指示要求承包人立即改正，并禁止在工程中继续使用不合格的材料和工程设备。</w:t>
      </w:r>
    </w:p>
    <w:p w14:paraId="59999A06">
      <w:pPr>
        <w:pStyle w:val="87"/>
        <w:spacing w:line="400" w:lineRule="exact"/>
        <w:ind w:firstLine="361"/>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5.4.3 发包人提供的材料或工程设备不符合合同要求的，承包人有权拒绝，并可要求发包人更换，由此增加的费用和（或）工期延误由发包人承担。</w:t>
      </w:r>
    </w:p>
    <w:p w14:paraId="68F5683F">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306" w:name="_Toc340222901"/>
      <w:bookmarkStart w:id="307" w:name="_Toc208734406"/>
      <w:bookmarkStart w:id="308" w:name="_Toc445105533"/>
      <w:bookmarkStart w:id="309" w:name="_Toc449111924"/>
      <w:bookmarkStart w:id="310" w:name="_Toc306293162"/>
      <w:bookmarkStart w:id="311" w:name="_Toc371937190"/>
      <w:bookmarkStart w:id="312" w:name="_Toc368145482"/>
      <w:bookmarkStart w:id="313" w:name="_Toc389226393"/>
      <w:bookmarkStart w:id="314" w:name="_Toc340436791"/>
      <w:bookmarkStart w:id="315" w:name="_Toc452986498"/>
      <w:bookmarkStart w:id="316" w:name="_Toc187845998"/>
      <w:bookmarkStart w:id="317" w:name="_Toc270517140"/>
      <w:bookmarkStart w:id="318" w:name="_Toc476231297"/>
      <w:bookmarkStart w:id="319" w:name="_Toc255470263"/>
      <w:bookmarkStart w:id="320" w:name="_Toc477164658"/>
      <w:bookmarkStart w:id="321" w:name="_Toc215556188"/>
      <w:bookmarkStart w:id="322" w:name="_Toc215561206"/>
      <w:bookmarkStart w:id="323" w:name="_Toc12633"/>
      <w:bookmarkStart w:id="324" w:name="_Toc342046312"/>
      <w:bookmarkStart w:id="325" w:name="_Toc450123364"/>
      <w:bookmarkStart w:id="326" w:name="_Toc504565685"/>
      <w:bookmarkStart w:id="327" w:name="_Toc436309591"/>
      <w:bookmarkStart w:id="328" w:name="_Toc260230298"/>
      <w:bookmarkStart w:id="329" w:name="_Toc195864493"/>
      <w:bookmarkStart w:id="330" w:name="_Toc351898543"/>
      <w:bookmarkStart w:id="331" w:name="_Toc187475838"/>
      <w:bookmarkStart w:id="332" w:name="_Toc510197470"/>
      <w:bookmarkStart w:id="333" w:name="_Toc350857425"/>
      <w:bookmarkStart w:id="334" w:name="_Toc255741927"/>
      <w:bookmarkStart w:id="335" w:name="_Toc222804522"/>
      <w:bookmarkStart w:id="336" w:name="_Toc1353"/>
      <w:bookmarkStart w:id="337" w:name="_Toc305763052"/>
      <w:bookmarkStart w:id="338" w:name="_Toc504565798"/>
      <w:bookmarkStart w:id="339" w:name="_Toc436309943"/>
      <w:bookmarkStart w:id="340" w:name="_Toc257202831"/>
      <w:bookmarkStart w:id="341" w:name="_Toc249848948"/>
      <w:bookmarkStart w:id="342" w:name="_Toc219172335"/>
      <w:bookmarkStart w:id="343" w:name="_Toc338778038"/>
      <w:bookmarkStart w:id="344" w:name="_Toc206830019"/>
      <w:bookmarkStart w:id="345" w:name="_Toc458599274"/>
      <w:bookmarkStart w:id="346" w:name="_Toc211175330"/>
      <w:bookmarkStart w:id="347" w:name="_Toc245110736"/>
      <w:bookmarkStart w:id="348" w:name="_Toc214355669"/>
      <w:bookmarkStart w:id="349" w:name="_Toc254774407"/>
      <w:bookmarkStart w:id="350" w:name="_Toc248294419"/>
      <w:bookmarkStart w:id="351" w:name="_Toc260229971"/>
      <w:bookmarkStart w:id="352" w:name="_Toc510197608"/>
      <w:bookmarkStart w:id="353" w:name="_Toc209862328"/>
      <w:bookmarkStart w:id="354" w:name="_Toc274500894"/>
      <w:bookmarkStart w:id="355" w:name="_Toc436998784"/>
      <w:bookmarkStart w:id="356" w:name="_Toc439772697"/>
      <w:bookmarkStart w:id="357" w:name="_Toc260649026"/>
      <w:bookmarkStart w:id="358" w:name="_Toc460581176"/>
      <w:bookmarkStart w:id="359" w:name="_Toc227658496"/>
      <w:bookmarkStart w:id="360" w:name="_Toc453768096"/>
      <w:bookmarkStart w:id="361" w:name="_Toc388633673"/>
      <w:bookmarkStart w:id="362" w:name="_Toc255470040"/>
      <w:bookmarkStart w:id="363" w:name="_Toc450123130"/>
      <w:bookmarkStart w:id="364" w:name="_Toc436133234"/>
      <w:bookmarkStart w:id="365" w:name="_Toc215805049"/>
      <w:r>
        <w:rPr>
          <w:rFonts w:hint="eastAsia" w:hAnsi="宋体" w:cs="宋体"/>
          <w:b/>
          <w:color w:val="000000" w:themeColor="text1"/>
          <w:sz w:val="32"/>
          <w:szCs w:val="32"/>
          <w14:textFill>
            <w14:solidFill>
              <w14:schemeClr w14:val="tx1"/>
            </w14:solidFill>
          </w14:textFill>
        </w:rPr>
        <w:t>6. 施工设备和临时设施</w:t>
      </w:r>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p>
    <w:p w14:paraId="61117D20">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6.1 承包人提供的施工设备和临时设施</w:t>
      </w:r>
    </w:p>
    <w:p w14:paraId="22728521">
      <w:pPr>
        <w:pStyle w:val="87"/>
        <w:spacing w:line="400" w:lineRule="exact"/>
        <w:ind w:firstLine="361"/>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6.1.1 承包人应按合同进度计划的要求，及时配置施工设备和修建临时设施。进入施工场地的承包人设备需经监理人核查后才能投入使用。承包人更换合同约定的承包人设备的，应报监理人批准。</w:t>
      </w:r>
    </w:p>
    <w:p w14:paraId="56B5DCF9">
      <w:pPr>
        <w:pStyle w:val="87"/>
        <w:spacing w:line="400" w:lineRule="exact"/>
        <w:ind w:firstLine="361"/>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6.1.2 除专用合同条款另有约定外，承包人应自行承担修建临时设施的费用，需要临时占地的，应由发包人办理申请手续并承担相应费用。</w:t>
      </w:r>
    </w:p>
    <w:p w14:paraId="7717634F">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6.2 发包人提供的施工设备和临时设施</w:t>
      </w:r>
    </w:p>
    <w:p w14:paraId="676D6785">
      <w:pPr>
        <w:pStyle w:val="87"/>
        <w:spacing w:line="400" w:lineRule="exact"/>
        <w:ind w:firstLine="361"/>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发包人提供的施工设备或临时设施在专用合同条款中约定。</w:t>
      </w:r>
    </w:p>
    <w:p w14:paraId="37CAFF5E">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6.3 要求承包人增加或更换施工设备</w:t>
      </w:r>
    </w:p>
    <w:p w14:paraId="3AACCB29">
      <w:pPr>
        <w:pStyle w:val="87"/>
        <w:spacing w:line="400" w:lineRule="exact"/>
        <w:ind w:firstLine="361"/>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承包人使用的施工设备不能满足合同进度计划和（或）质量要求时，监理人有权要求承包人增加或更换施工设备，承包人应及时增加或更换，由此增加的费用和（或）工期延误由承包人承担。</w:t>
      </w:r>
    </w:p>
    <w:p w14:paraId="150EB01E">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6.4 施工设备和临时设施专用于合同工程</w:t>
      </w:r>
    </w:p>
    <w:p w14:paraId="6019410B">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6.4.1 除合同另有约定外，运入施工场地的所有施工设备以及在施工场地建设的临时设施应专用于合同工程。未经监理人同意，不得将上述施工设备和临时设施中的任何部分运出施工场地或挪作他用。</w:t>
      </w:r>
    </w:p>
    <w:p w14:paraId="6485DEC8">
      <w:pPr>
        <w:pStyle w:val="180"/>
        <w:spacing w:line="398" w:lineRule="atLeast"/>
        <w:ind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6.4.2 经监理人同意，承包人可根据合同进度计划撤走闲置的施工设备。</w:t>
      </w:r>
    </w:p>
    <w:p w14:paraId="5A34C3F4">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366" w:name="_Toc436309592"/>
      <w:bookmarkStart w:id="367" w:name="_Toc254774408"/>
      <w:bookmarkStart w:id="368" w:name="_Toc504565686"/>
      <w:bookmarkStart w:id="369" w:name="_Toc453768097"/>
      <w:bookmarkStart w:id="370" w:name="_Toc187475839"/>
      <w:bookmarkStart w:id="371" w:name="_Toc227658497"/>
      <w:bookmarkStart w:id="372" w:name="_Toc260649027"/>
      <w:bookmarkStart w:id="373" w:name="_Toc21541"/>
      <w:bookmarkStart w:id="374" w:name="_Toc351898544"/>
      <w:bookmarkStart w:id="375" w:name="_Toc255741928"/>
      <w:bookmarkStart w:id="376" w:name="_Toc209862329"/>
      <w:bookmarkStart w:id="377" w:name="_Toc245110737"/>
      <w:bookmarkStart w:id="378" w:name="_Toc215805050"/>
      <w:bookmarkStart w:id="379" w:name="_Toc270517141"/>
      <w:bookmarkStart w:id="380" w:name="_Toc208734407"/>
      <w:bookmarkStart w:id="381" w:name="_Toc449111925"/>
      <w:bookmarkStart w:id="382" w:name="_Toc305763053"/>
      <w:bookmarkStart w:id="383" w:name="_Toc460581177"/>
      <w:bookmarkStart w:id="384" w:name="_Toc195864494"/>
      <w:bookmarkStart w:id="385" w:name="_Toc260229972"/>
      <w:bookmarkStart w:id="386" w:name="_Toc510197609"/>
      <w:bookmarkStart w:id="387" w:name="_Toc257202832"/>
      <w:bookmarkStart w:id="388" w:name="_Toc436133235"/>
      <w:bookmarkStart w:id="389" w:name="_Toc274500895"/>
      <w:bookmarkStart w:id="390" w:name="_Toc504565799"/>
      <w:bookmarkStart w:id="391" w:name="_Toc436998785"/>
      <w:bookmarkStart w:id="392" w:name="_Toc338778039"/>
      <w:bookmarkStart w:id="393" w:name="_Toc476231298"/>
      <w:bookmarkStart w:id="394" w:name="_Toc439772698"/>
      <w:bookmarkStart w:id="395" w:name="_Toc187845999"/>
      <w:bookmarkStart w:id="396" w:name="_Toc371937191"/>
      <w:bookmarkStart w:id="397" w:name="_Toc255470041"/>
      <w:bookmarkStart w:id="398" w:name="_Toc222804523"/>
      <w:bookmarkStart w:id="399" w:name="_Toc249848949"/>
      <w:bookmarkStart w:id="400" w:name="_Toc306293163"/>
      <w:bookmarkStart w:id="401" w:name="_Toc211175331"/>
      <w:bookmarkStart w:id="402" w:name="_Toc340222902"/>
      <w:bookmarkStart w:id="403" w:name="_Toc10873"/>
      <w:bookmarkStart w:id="404" w:name="_Toc255470264"/>
      <w:bookmarkStart w:id="405" w:name="_Toc477164659"/>
      <w:bookmarkStart w:id="406" w:name="_Toc388633674"/>
      <w:bookmarkStart w:id="407" w:name="_Toc215561207"/>
      <w:bookmarkStart w:id="408" w:name="_Toc445105534"/>
      <w:bookmarkStart w:id="409" w:name="_Toc219172336"/>
      <w:bookmarkStart w:id="410" w:name="_Toc389226394"/>
      <w:bookmarkStart w:id="411" w:name="_Toc452986499"/>
      <w:bookmarkStart w:id="412" w:name="_Toc450123365"/>
      <w:bookmarkStart w:id="413" w:name="_Toc350857426"/>
      <w:bookmarkStart w:id="414" w:name="_Toc215556189"/>
      <w:bookmarkStart w:id="415" w:name="_Toc368145483"/>
      <w:bookmarkStart w:id="416" w:name="_Toc436309944"/>
      <w:bookmarkStart w:id="417" w:name="_Toc458599275"/>
      <w:bookmarkStart w:id="418" w:name="_Toc214355670"/>
      <w:bookmarkStart w:id="419" w:name="_Toc260230299"/>
      <w:bookmarkStart w:id="420" w:name="_Toc342046313"/>
      <w:bookmarkStart w:id="421" w:name="_Toc340436792"/>
      <w:bookmarkStart w:id="422" w:name="_Toc248294420"/>
      <w:bookmarkStart w:id="423" w:name="_Toc510197471"/>
      <w:bookmarkStart w:id="424" w:name="_Toc450123131"/>
      <w:bookmarkStart w:id="425" w:name="_Toc206830020"/>
      <w:r>
        <w:rPr>
          <w:rFonts w:hint="eastAsia" w:hAnsi="宋体" w:cs="宋体"/>
          <w:b/>
          <w:color w:val="000000" w:themeColor="text1"/>
          <w:sz w:val="32"/>
          <w:szCs w:val="32"/>
          <w14:textFill>
            <w14:solidFill>
              <w14:schemeClr w14:val="tx1"/>
            </w14:solidFill>
          </w14:textFill>
        </w:rPr>
        <w:t>7. 交通运输</w:t>
      </w:r>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p>
    <w:p w14:paraId="713B40B4">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7.1 道路通行权和场外设施</w:t>
      </w:r>
    </w:p>
    <w:p w14:paraId="1C5C8182">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除专用合同条款另有约定外，承包人应根据合同工程的施工需要，负责办理取得出入施工场地的专用和临时道路的通行权，以及取得为工程建设所需修建场外设施的权利，并承担相关费用。发包人应协助承包人办理上述手续。</w:t>
      </w:r>
    </w:p>
    <w:p w14:paraId="20CC6A4B">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7.2 场内施工道路</w:t>
      </w:r>
    </w:p>
    <w:p w14:paraId="2A5A1326">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7.2.1 除本合同约定由发包人提供的部分道路和交通设施外，承包人应负责修建、维修、养护和管理其施工所需的全部临时道路和交通设施(包括合同约定由发包人提供的部分道路和交通设施的维修、养护和管理)，并承担相应费用。</w:t>
      </w:r>
    </w:p>
    <w:p w14:paraId="020B2485">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7.2.2 承包人修建的临时道路和交通设施，应免费提供发包人、监理人以及与本合同有关的其他承包人使用。</w:t>
      </w:r>
    </w:p>
    <w:p w14:paraId="22888AB1">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7.3 场外交通</w:t>
      </w:r>
    </w:p>
    <w:p w14:paraId="49C25067">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7.3.1 承包人车辆外出行驶所需的场外公共道路的通行费、养路费和税款等由承包人承担。</w:t>
      </w:r>
    </w:p>
    <w:p w14:paraId="72E55FB1">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7.3.2 承包人应遵守有关交通法规，严格按照道路和桥梁的限制荷重安全行驶，并服从交通管理部门的检查和监督。</w:t>
      </w:r>
    </w:p>
    <w:p w14:paraId="2E49128D">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7.4 超大件和超重件的运输</w:t>
      </w:r>
    </w:p>
    <w:p w14:paraId="4B511E9E">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由承包人负责运输的超大件或超重件，应由承包人负责向交通管理部门办理申请手续，发包人给予协助。运输超大件或超重件所需的道路和桥梁临时加固改造费用和其他有关费用，由承包人承担，但专用合同条款另有约定除外。</w:t>
      </w:r>
    </w:p>
    <w:p w14:paraId="23B43D47">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7.5 道路和桥梁的损坏责任</w:t>
      </w:r>
    </w:p>
    <w:p w14:paraId="77174376">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因承包人运输造成施工场地内外公共道路和桥梁损坏的，由承包人承担修复损坏的全部费用和可能引起的赔偿。</w:t>
      </w:r>
    </w:p>
    <w:p w14:paraId="6F95E5E3">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7.6 水路和航空运输</w:t>
      </w:r>
    </w:p>
    <w:p w14:paraId="5289528C">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本条上述各款的内容适用于水路运输和航空运输，其中“道路”一词的涵义包括河道、航线、船闸、机场、码头、堤防以及水路或航空运输中其他相似结构物；“车辆”一词的涵义包括船舶和飞机等。</w:t>
      </w:r>
    </w:p>
    <w:p w14:paraId="115BAFEE">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426" w:name="_Toc255470042"/>
      <w:bookmarkStart w:id="427" w:name="_Toc260649028"/>
      <w:bookmarkStart w:id="428" w:name="_Toc476231299"/>
      <w:bookmarkStart w:id="429" w:name="_Toc257202833"/>
      <w:bookmarkStart w:id="430" w:name="_Toc458599276"/>
      <w:bookmarkStart w:id="431" w:name="_Toc450123132"/>
      <w:bookmarkStart w:id="432" w:name="_Toc206830021"/>
      <w:bookmarkStart w:id="433" w:name="_Toc214355671"/>
      <w:bookmarkStart w:id="434" w:name="_Toc215556190"/>
      <w:bookmarkStart w:id="435" w:name="_Toc342046314"/>
      <w:bookmarkStart w:id="436" w:name="_Toc195864495"/>
      <w:bookmarkStart w:id="437" w:name="_Toc255741929"/>
      <w:bookmarkStart w:id="438" w:name="_Toc477164660"/>
      <w:bookmarkStart w:id="439" w:name="_Toc445105535"/>
      <w:bookmarkStart w:id="440" w:name="_Toc219172337"/>
      <w:bookmarkStart w:id="441" w:name="_Toc255470265"/>
      <w:bookmarkStart w:id="442" w:name="_Toc504565687"/>
      <w:bookmarkStart w:id="443" w:name="_Toc245110738"/>
      <w:bookmarkStart w:id="444" w:name="_Toc436309593"/>
      <w:bookmarkStart w:id="445" w:name="_Toc453768098"/>
      <w:bookmarkStart w:id="446" w:name="_Toc510197472"/>
      <w:bookmarkStart w:id="447" w:name="_Toc350857427"/>
      <w:bookmarkStart w:id="448" w:name="_Toc389226395"/>
      <w:bookmarkStart w:id="449" w:name="_Toc836"/>
      <w:bookmarkStart w:id="450" w:name="_Toc249848950"/>
      <w:bookmarkStart w:id="451" w:name="_Toc187475840"/>
      <w:bookmarkStart w:id="452" w:name="_Toc371937192"/>
      <w:bookmarkStart w:id="453" w:name="_Toc340222903"/>
      <w:bookmarkStart w:id="454" w:name="_Toc340436793"/>
      <w:bookmarkStart w:id="455" w:name="_Toc449111926"/>
      <w:bookmarkStart w:id="456" w:name="_Toc248294421"/>
      <w:bookmarkStart w:id="457" w:name="_Toc208734408"/>
      <w:bookmarkStart w:id="458" w:name="_Toc510197610"/>
      <w:bookmarkStart w:id="459" w:name="_Toc254774409"/>
      <w:bookmarkStart w:id="460" w:name="_Toc452986500"/>
      <w:bookmarkStart w:id="461" w:name="_Toc338778040"/>
      <w:bookmarkStart w:id="462" w:name="_Toc211175332"/>
      <w:bookmarkStart w:id="463" w:name="_Toc388633675"/>
      <w:bookmarkStart w:id="464" w:name="_Toc215561208"/>
      <w:bookmarkStart w:id="465" w:name="_Toc460581178"/>
      <w:bookmarkStart w:id="466" w:name="_Toc215805051"/>
      <w:bookmarkStart w:id="467" w:name="_Toc260229973"/>
      <w:bookmarkStart w:id="468" w:name="_Toc436133236"/>
      <w:bookmarkStart w:id="469" w:name="_Toc306293164"/>
      <w:bookmarkStart w:id="470" w:name="_Toc5528"/>
      <w:bookmarkStart w:id="471" w:name="_Toc270517142"/>
      <w:bookmarkStart w:id="472" w:name="_Toc436309945"/>
      <w:bookmarkStart w:id="473" w:name="_Toc227658498"/>
      <w:bookmarkStart w:id="474" w:name="_Toc504565800"/>
      <w:bookmarkStart w:id="475" w:name="_Toc368145484"/>
      <w:bookmarkStart w:id="476" w:name="_Toc439772699"/>
      <w:bookmarkStart w:id="477" w:name="_Toc222804524"/>
      <w:bookmarkStart w:id="478" w:name="_Toc187846000"/>
      <w:bookmarkStart w:id="479" w:name="_Toc351898545"/>
      <w:bookmarkStart w:id="480" w:name="_Toc436998786"/>
      <w:bookmarkStart w:id="481" w:name="_Toc450123366"/>
      <w:bookmarkStart w:id="482" w:name="_Toc274500896"/>
      <w:bookmarkStart w:id="483" w:name="_Toc260230300"/>
      <w:bookmarkStart w:id="484" w:name="_Toc305763054"/>
      <w:bookmarkStart w:id="485" w:name="_Toc209862330"/>
      <w:r>
        <w:rPr>
          <w:rFonts w:hint="eastAsia" w:hAnsi="宋体" w:cs="宋体"/>
          <w:b/>
          <w:color w:val="000000" w:themeColor="text1"/>
          <w:sz w:val="32"/>
          <w:szCs w:val="32"/>
          <w14:textFill>
            <w14:solidFill>
              <w14:schemeClr w14:val="tx1"/>
            </w14:solidFill>
          </w14:textFill>
        </w:rPr>
        <w:t>8. 测量放线</w:t>
      </w:r>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p>
    <w:p w14:paraId="0530A670">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8.1 施工控制网</w:t>
      </w:r>
    </w:p>
    <w:p w14:paraId="0D2D3956">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8.1.1 除专用合同条款另有约定外，施工控制网由承包人负责测设，发包人应在本合同协议书签订后的14天内，向承包人提供测量基准点、基准线和水准点及其相关资料。承包人应在收到上述资料后的28天内，将施测的施工控制网资料提交监理人审批。监理人应在收到报批件后的14天内批复承包人。</w:t>
      </w:r>
    </w:p>
    <w:p w14:paraId="7DB109CC">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8.1.2 承包人应负责管理施工控制网点。施工控制网点丢失或损坏的，承包人应及时修复。承包人应承担施工控制网点的管理与修复费用，并在工程竣工后将施工控制网点移交发包人。</w:t>
      </w:r>
    </w:p>
    <w:p w14:paraId="329728E1">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8.2 施工测量</w:t>
      </w:r>
    </w:p>
    <w:p w14:paraId="5BE1E172">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8.2.1 承包人应负责施工过程中的全部施工测量放线工作，并配置合格的人员、仪器、设备和其他物品。</w:t>
      </w:r>
    </w:p>
    <w:p w14:paraId="38F7B8D6">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8.2.2 监理人可以指示承包人进行抽样复测，当复测中发现错误或出现超过合同约定的误差时，承包人应按监理人指示进行修正或补测，并承担相应的复测费用。</w:t>
      </w:r>
    </w:p>
    <w:p w14:paraId="763493D8">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8.3 基准资料错误的责任</w:t>
      </w:r>
    </w:p>
    <w:p w14:paraId="7F8E8C12">
      <w:pPr>
        <w:pStyle w:val="188"/>
        <w:spacing w:line="400" w:lineRule="exact"/>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发包人应对其提供的测量基准点、基准线和水准点及其书面资料的真实性、准确性和完整性负责。发包人提供上述基准资料错误导致承包人测量放线工作的返工或造成工程损失的，发包人应当承担由此增加的费用和（或）工期延误，并向承包人支付合理利润。承包人发现发包人提供的上述基准资料存在明显错误或疏忽的，应及时通知监理人。</w:t>
      </w:r>
    </w:p>
    <w:p w14:paraId="64DB528F">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8.4 监理人使用施工控制网</w:t>
      </w:r>
    </w:p>
    <w:p w14:paraId="52D2E129">
      <w:pPr>
        <w:pStyle w:val="188"/>
        <w:spacing w:line="400" w:lineRule="exact"/>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监理人需要使用施工控制网的，承包人应提供必要的协助，发包人不再为此支付费用。</w:t>
      </w:r>
    </w:p>
    <w:p w14:paraId="2C91E8E9">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8.5 补充地质勘探</w:t>
      </w:r>
    </w:p>
    <w:p w14:paraId="0067154C">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在合同实施期间，监理人可以指示承包人进行必要的补充地质勘探并提供有关资料。承包人为本合同永久工程施工的需要进行补充地质勘探时，须经监理人批准，并应向监理人提交有关资料，上述补充勘探的费用由发包人承担。承包人为其临时工程设计及施工的需要进行的补充地质勘探，其费用由承包人承担。</w:t>
      </w:r>
    </w:p>
    <w:p w14:paraId="2491007E">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486" w:name="_Toc209862331"/>
      <w:bookmarkStart w:id="487" w:name="_Toc215805052"/>
      <w:bookmarkStart w:id="488" w:name="_Toc504565801"/>
      <w:bookmarkStart w:id="489" w:name="_Toc187475841"/>
      <w:bookmarkStart w:id="490" w:name="_Toc340436794"/>
      <w:bookmarkStart w:id="491" w:name="_Toc510197611"/>
      <w:bookmarkStart w:id="492" w:name="_Toc350857428"/>
      <w:bookmarkStart w:id="493" w:name="_Toc219172338"/>
      <w:bookmarkStart w:id="494" w:name="_Toc214355672"/>
      <w:bookmarkStart w:id="495" w:name="_Toc368145485"/>
      <w:bookmarkStart w:id="496" w:name="_Toc245110739"/>
      <w:bookmarkStart w:id="497" w:name="_Toc340222904"/>
      <w:bookmarkStart w:id="498" w:name="_Toc510197473"/>
      <w:bookmarkStart w:id="499" w:name="_Toc305763055"/>
      <w:bookmarkStart w:id="500" w:name="_Toc257202834"/>
      <w:bookmarkStart w:id="501" w:name="_Toc436998787"/>
      <w:bookmarkStart w:id="502" w:name="_Toc13659"/>
      <w:bookmarkStart w:id="503" w:name="_Toc270517143"/>
      <w:bookmarkStart w:id="504" w:name="_Toc227658499"/>
      <w:bookmarkStart w:id="505" w:name="_Toc211175333"/>
      <w:bookmarkStart w:id="506" w:name="_Toc436309946"/>
      <w:bookmarkStart w:id="507" w:name="_Toc351898546"/>
      <w:bookmarkStart w:id="508" w:name="_Toc477164661"/>
      <w:bookmarkStart w:id="509" w:name="_Toc450123133"/>
      <w:bookmarkStart w:id="510" w:name="_Toc249848951"/>
      <w:bookmarkStart w:id="511" w:name="_Toc222804525"/>
      <w:bookmarkStart w:id="512" w:name="_Toc445105536"/>
      <w:bookmarkStart w:id="513" w:name="_Toc260229974"/>
      <w:bookmarkStart w:id="514" w:name="_Toc208734409"/>
      <w:bookmarkStart w:id="515" w:name="_Toc254774410"/>
      <w:bookmarkStart w:id="516" w:name="_Toc195864496"/>
      <w:bookmarkStart w:id="517" w:name="_Toc449111927"/>
      <w:bookmarkStart w:id="518" w:name="_Toc215561209"/>
      <w:bookmarkStart w:id="519" w:name="_Toc187846001"/>
      <w:bookmarkStart w:id="520" w:name="_Toc260230301"/>
      <w:bookmarkStart w:id="521" w:name="_Toc389226396"/>
      <w:bookmarkStart w:id="522" w:name="_Toc388633676"/>
      <w:bookmarkStart w:id="523" w:name="_Toc436309594"/>
      <w:bookmarkStart w:id="524" w:name="_Toc22989"/>
      <w:bookmarkStart w:id="525" w:name="_Toc452986501"/>
      <w:bookmarkStart w:id="526" w:name="_Toc450123367"/>
      <w:bookmarkStart w:id="527" w:name="_Toc248294422"/>
      <w:bookmarkStart w:id="528" w:name="_Toc342046315"/>
      <w:bookmarkStart w:id="529" w:name="_Toc460581179"/>
      <w:bookmarkStart w:id="530" w:name="_Toc255470043"/>
      <w:bookmarkStart w:id="531" w:name="_Toc206830022"/>
      <w:bookmarkStart w:id="532" w:name="_Toc371937193"/>
      <w:bookmarkStart w:id="533" w:name="_Toc476231300"/>
      <w:bookmarkStart w:id="534" w:name="_Toc453768099"/>
      <w:bookmarkStart w:id="535" w:name="_Toc439772700"/>
      <w:bookmarkStart w:id="536" w:name="_Toc260649029"/>
      <w:bookmarkStart w:id="537" w:name="_Toc255741930"/>
      <w:bookmarkStart w:id="538" w:name="_Toc215556191"/>
      <w:bookmarkStart w:id="539" w:name="_Toc436133237"/>
      <w:bookmarkStart w:id="540" w:name="_Toc338778041"/>
      <w:bookmarkStart w:id="541" w:name="_Toc306293165"/>
      <w:bookmarkStart w:id="542" w:name="_Toc504565688"/>
      <w:bookmarkStart w:id="543" w:name="_Toc274500897"/>
      <w:bookmarkStart w:id="544" w:name="_Toc458599277"/>
      <w:bookmarkStart w:id="545" w:name="_Toc255470266"/>
      <w:r>
        <w:rPr>
          <w:rFonts w:hint="eastAsia" w:hAnsi="宋体" w:cs="宋体"/>
          <w:b/>
          <w:color w:val="000000" w:themeColor="text1"/>
          <w:sz w:val="32"/>
          <w:szCs w:val="32"/>
          <w14:textFill>
            <w14:solidFill>
              <w14:schemeClr w14:val="tx1"/>
            </w14:solidFill>
          </w14:textFill>
        </w:rPr>
        <w:t>9. 施工安全、治安保卫和环境保护</w:t>
      </w:r>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p>
    <w:p w14:paraId="607D7003">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9.1 发包人的施工安全责任</w:t>
      </w:r>
    </w:p>
    <w:p w14:paraId="33C17A12">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9.1.1发包人应按合同约定履行安全职责。发包人委托监理人根据国家有关安全的法律、法规、强制性标准以及部门规章，对承包人的安全责任履行情况进行监督和检查。监理人的监督检查不减轻承包人应负的安全责任。</w:t>
      </w:r>
    </w:p>
    <w:p w14:paraId="3FDCBF17">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9.1.2 发包人应对其现场机构雇佣的全部人员的工伤事故承担责任，但由于承包人原因造成发包人人员工伤的，应由承包人承担责任。</w:t>
      </w:r>
    </w:p>
    <w:p w14:paraId="07CF6708">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9.1.3 发包人应负责赔偿以下各种情况造成的第三者人身伤亡和财产损失：</w:t>
      </w:r>
    </w:p>
    <w:p w14:paraId="2A73A11A">
      <w:pPr>
        <w:pStyle w:val="188"/>
        <w:spacing w:line="400" w:lineRule="exact"/>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 工程或工程的任何部分对土地的占用所造成的第三者财产损失；</w:t>
      </w:r>
    </w:p>
    <w:p w14:paraId="6D88971C">
      <w:pPr>
        <w:pStyle w:val="188"/>
        <w:spacing w:line="400" w:lineRule="exact"/>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（2） 由于发包人原因在施工场地及其毗邻地带造成的第三者人身伤亡和财产损失。</w:t>
      </w:r>
    </w:p>
    <w:p w14:paraId="1C1D113B">
      <w:pPr>
        <w:pStyle w:val="188"/>
        <w:ind w:right="100" w:firstLine="560"/>
        <w:jc w:val="both"/>
        <w:rPr>
          <w:rFonts w:hint="eastAsia" w:hAnsi="宋体" w:cs="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9.1.4 除专用合同条款另有约定外，发包人负责向承包人提供施工现场及施工可能影响的毗邻</w:t>
      </w:r>
      <w:r>
        <w:rPr>
          <w:rFonts w:hint="eastAsia" w:hAnsi="宋体" w:cs="宋体"/>
          <w:color w:val="000000" w:themeColor="text1"/>
          <w14:textFill>
            <w14:solidFill>
              <w14:schemeClr w14:val="tx1"/>
            </w14:solidFill>
          </w14:textFill>
        </w:rPr>
        <w:t>区域内供水、排水、供电、供气、供热、通信、广播电视等地下管线资料，气象和水文观测资料，拟建工程可能影响的相邻建筑物地下工程的有关资料，并保证有关资料的真实、准确、完整，满足有关技术规程的要求。</w:t>
      </w:r>
    </w:p>
    <w:p w14:paraId="40F5BFD5">
      <w:pPr>
        <w:pStyle w:val="188"/>
        <w:ind w:right="100" w:firstLine="560"/>
        <w:jc w:val="both"/>
        <w:rPr>
          <w:rFonts w:hint="eastAsia"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9.1.5发包人按照工程量清单所列金额和合同约定的计量支付规定，支付安全作业环境及安全施工措施所需费用。</w:t>
      </w:r>
    </w:p>
    <w:p w14:paraId="07684826">
      <w:pPr>
        <w:pStyle w:val="188"/>
        <w:ind w:right="100" w:firstLine="560"/>
        <w:jc w:val="both"/>
        <w:rPr>
          <w:rFonts w:hint="eastAsia"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9.1.6发包人负责组织工程参建单位编制保证安全生产的措施方案。工程开工前，就落实保证安全生产的措施进行全面系统的布置，进一步明确承包人的安全生产责任。</w:t>
      </w:r>
    </w:p>
    <w:p w14:paraId="5419FF99">
      <w:pPr>
        <w:pStyle w:val="188"/>
        <w:ind w:right="100" w:firstLine="560"/>
        <w:jc w:val="both"/>
        <w:rPr>
          <w:rFonts w:hint="eastAsia"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9.1.7发包人负责在拆除工程和爆破工程施工14天前向有关部门或机构报送相关备案资料。</w:t>
      </w:r>
    </w:p>
    <w:p w14:paraId="187F6F98">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9.2 承包人的施工安全责任</w:t>
      </w:r>
    </w:p>
    <w:p w14:paraId="642C306C">
      <w:pPr>
        <w:pStyle w:val="188"/>
        <w:spacing w:line="400" w:lineRule="exact"/>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9.2.1 承包人应按合同约定履行安全职责，执行监理人有关安全工作的指示。承包人应按技术标准和要求(合同技术条款)约定的内容和期限，以及监理人的指示，编制施工安全技术措施提交监理人审批。监理人应在技术标准和要求(合同技术条款)约定的期限内批复承包人。</w:t>
      </w:r>
    </w:p>
    <w:p w14:paraId="0F01CE75">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9.2.2 承包人应加强施工作业安全管理，特别应加强易燃、易爆材料、火工器材、有毒与腐蚀性材料和其他危险品的管理，以及对爆破作业和地下工程施工等危险作业的管理。</w:t>
      </w:r>
    </w:p>
    <w:p w14:paraId="433FC502">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9.2.3 承包人应严格按照国家安全标准制定施工安全操作规程，配备必要的安全生产和劳动保护设施，加强对承包人人员的安全教育，并发放安全工作手册和劳动保护用具。</w:t>
      </w:r>
    </w:p>
    <w:p w14:paraId="453004F3">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9.2.4 承包人应按监理人的指示制定应对灾害的紧急预案，报送监理人审批。承包人还应按预案做好安全检查，配置必要的救助物资和器材，切实保护好有关人员的人身和财产安全。</w:t>
      </w:r>
    </w:p>
    <w:p w14:paraId="5A648784">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9.2.5 合同约定的安全作业环境及安全施工措施所需费用应遵守有关规定，并包括在相关工作的合同价格中。因采取合同未约定的安全作业环境及安全施工措施增加的费用，由监理人按第3.5 款商定或确定。</w:t>
      </w:r>
    </w:p>
    <w:p w14:paraId="4AC772CB">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9.2.6 承包人应对其履行合同所雇佣的全部人员，包括分包人人员的工伤事故承担责任，但由于发包人原因造成承包人人员工伤事故的，应由发包人承担责任。</w:t>
      </w:r>
    </w:p>
    <w:p w14:paraId="1FFDBF34">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9.2.7 由于承包人原因在施工场地内及其毗邻地带造成的第三者人员伤亡和财产损失，由承包人负责赔偿。</w:t>
      </w:r>
    </w:p>
    <w:p w14:paraId="5A54DAFC">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9.2.8 承包人工程量清单应包含工程安全作业环境及安全施工措施所需费用。</w:t>
      </w:r>
    </w:p>
    <w:p w14:paraId="530927BF">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9.2.9 承包人应建立健全安全生产责任制度和安全生产教育培训制度，制定安全生产规章制度和操作规程，保证本单位建立和完善安全生产条件所需资金的投入，对本工程进行定期和专项安全检查，并做好安全检查记录。</w:t>
      </w:r>
    </w:p>
    <w:p w14:paraId="0F85D79C">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9.2.10  承包人应设立安全生产管理机构，施工现场应有专职安全生产管理人员。</w:t>
      </w:r>
    </w:p>
    <w:p w14:paraId="4D955B39">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9.2.11  承包人应负责对特种作业人员进行专门的安全作业培训，并保证特种作业人员持证上岗。</w:t>
      </w:r>
    </w:p>
    <w:p w14:paraId="53913AD1">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9.2.12 承包人应在施工组织设计中编制安全技术措施和施工现场临时用电方案。对专用合同条款约定的工程，应编制专项施工方案报监理人批准。对专用合同条款约定的专项施工方案，还应组织专家进行论证、审查，其中专家1/2人员应经发包人同意。</w:t>
      </w:r>
    </w:p>
    <w:p w14:paraId="77988D27">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9.2.13  承包人在使用施工起重机械和整体提升脚手架、模板等自升式架设设施前，应组织有关单位进行验收。</w:t>
      </w:r>
    </w:p>
    <w:p w14:paraId="1E982A4A">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9.3 治安保卫</w:t>
      </w:r>
    </w:p>
    <w:p w14:paraId="1A635831">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9.3.1 除合同另有约定外，发包人应与当地公安部门协商，在现场建立治安管理机构或联防组织，统一管理施工场地的治安保卫事项，履行合同工程的治安保卫职责。</w:t>
      </w:r>
    </w:p>
    <w:p w14:paraId="53AA6B28">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9.3.2 发包人和承包人除应协助现场治安管理机构或联防组织维护施工场地的社会治安外，还应做好包括生活区在内的各自管辖区的治安保卫工作。</w:t>
      </w:r>
    </w:p>
    <w:p w14:paraId="2F77923F">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9.3.3 除合同另有约定外，发包人和承包人应在工程开工后，共同编制施工场地治安管理计划，并制定应对突发治安事件的紧急预案。在工程施工过程中，发生暴乱、爆炸等恐怖事件，以及群殴、械斗等群体性突发治安事件的，发包人和承包人应立即向当地政府报告。发包人和承包人应积极协助当地有关部门采取措施平息事态，防止事态扩大，尽量减少财产损失和避免人员伤亡。</w:t>
      </w:r>
    </w:p>
    <w:p w14:paraId="4ACCC3D8">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9.4 环境保护</w:t>
      </w:r>
    </w:p>
    <w:p w14:paraId="39FC3B49">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9.4.1 承包人在施工过程中，应遵守有关环境保护的法律，履行合同约定的环境保护义务，并对违反法律和合同约定义务所造成的环境破坏、人身伤害和财产损失负责。</w:t>
      </w:r>
    </w:p>
    <w:p w14:paraId="318D7D66">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9.4.2 承包人应按合同约定的环保工作内容，编制施工环保措施计划，报送监理人审批。</w:t>
      </w:r>
    </w:p>
    <w:p w14:paraId="7BB20768">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9.4.3 承包人应按照批准的施工环保措施计划有序地堆放和处理施工废弃物，避免对环境造成破坏。因承包人任意堆放或弃置施工废弃物造成妨碍公共交通、影响城镇居民生活、降低河流行洪能力、危及居民安全、破坏周边环境，或者影响其他承包人施工等后果的，承包人应承担责任。</w:t>
      </w:r>
    </w:p>
    <w:p w14:paraId="4883C805">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9.4.4 承包人应按合同约定采取有效措施，对施工开挖的边坡及时进行支护,维护排水设施，并进行水土保护，避免因施工造成的地质灾害。</w:t>
      </w:r>
    </w:p>
    <w:p w14:paraId="098B133E">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9.4.5 承包人应按国家饮用水管理标准定期对饮用水源进行监测，防止施工活动污染饮用水源。</w:t>
      </w:r>
    </w:p>
    <w:p w14:paraId="3D9C3D7E">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9.4.6 承包人应按合同约定，加强对噪声、粉尘、废气、废水和废油的控制，努力降低噪声，控制粉尘和废气浓度，做好废水和废油的治理和排放。</w:t>
      </w:r>
    </w:p>
    <w:p w14:paraId="476D9994">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9.5 事故处理</w:t>
      </w:r>
    </w:p>
    <w:p w14:paraId="05F188E5">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9.5.1  发包人负责组织参建单位制定本工程的质量与安全事故应急预案，建立质量与安全事故应急处置指挥部。</w:t>
      </w:r>
    </w:p>
    <w:p w14:paraId="56997ECF">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9.5.2承包人应对施工现场易发生重大事故的部位、环节进行监控，配备救援器材、设备，并定期组织演练。</w:t>
      </w:r>
    </w:p>
    <w:p w14:paraId="708CE965">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9.5.3工程开工前，承包人应根据本工程的特点制定施工现场施工质量与安全事故应急预案，并报发包人备案。</w:t>
      </w:r>
    </w:p>
    <w:p w14:paraId="5B71B0FD">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9.5.4 施工过程中发生事故时，发包人、承包人应立即启动应急预案。</w:t>
      </w:r>
    </w:p>
    <w:p w14:paraId="03D849EE">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9.5.5  事故调查处理由发包人按相关规定履行手续，承包人应配合。</w:t>
      </w:r>
    </w:p>
    <w:p w14:paraId="1EC27887">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9.6水土保持</w:t>
      </w:r>
    </w:p>
    <w:p w14:paraId="10D239A1">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 xml:space="preserve">    9.6.1 发包人应及时向承包人提供水土保持方案。</w:t>
      </w:r>
    </w:p>
    <w:p w14:paraId="44CAEAE7">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 xml:space="preserve">    9.6.2承包人在施工过程中，应遵守有关水土保持的法律法规和规章，履行合同约定的水土保持义务，并对其违反法律和合同约定义务所造成的水土流失灾害、人身伤害和财产损失负责。</w:t>
      </w:r>
    </w:p>
    <w:p w14:paraId="2A238D20">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 xml:space="preserve">    9.6.3 承包人的水土保持措施计划，应满足技术标准和要求(合同技术条款)约定的要求。</w:t>
      </w:r>
    </w:p>
    <w:p w14:paraId="5CD180CE">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9.7 文明工地</w:t>
      </w:r>
    </w:p>
    <w:p w14:paraId="3E6CEFB1">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 xml:space="preserve">    9.7.1 发包人应按专用合同条款的约定，负责建立创建文明建设工地的组织机构，制定创建文明建设工地的规划和办法。</w:t>
      </w:r>
    </w:p>
    <w:p w14:paraId="2F3FE09F">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 xml:space="preserve">    9.7.2  承包人应按创建文明建设工地的规划和办法，履行职责，承担相应责任。所需费用应含在工程量清单中。</w:t>
      </w:r>
    </w:p>
    <w:p w14:paraId="08DAD25D">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9.8 防汛度汛</w:t>
      </w:r>
    </w:p>
    <w:p w14:paraId="7D6B98C8">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 xml:space="preserve">    9.8.1  发包人负责组织工程参建单位编制本工程的度汛方案和措施。</w:t>
      </w:r>
    </w:p>
    <w:p w14:paraId="765DBD21">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 xml:space="preserve">    9.8.2  承包人应根据发包人编制的本工程度汛方案和措施，制定相应的度汛方案，报发包人批准后实施。</w:t>
      </w:r>
    </w:p>
    <w:p w14:paraId="189608DD">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546" w:name="_Toc458599278"/>
      <w:bookmarkStart w:id="547" w:name="_Toc306293166"/>
      <w:bookmarkStart w:id="548" w:name="_Toc436133238"/>
      <w:bookmarkStart w:id="549" w:name="_Toc206830023"/>
      <w:bookmarkStart w:id="550" w:name="_Toc257202835"/>
      <w:bookmarkStart w:id="551" w:name="_Toc248294423"/>
      <w:bookmarkStart w:id="552" w:name="_Toc222804526"/>
      <w:bookmarkStart w:id="553" w:name="_Toc245110740"/>
      <w:bookmarkStart w:id="554" w:name="_Toc477164662"/>
      <w:bookmarkStart w:id="555" w:name="_Toc436309595"/>
      <w:bookmarkStart w:id="556" w:name="_Toc460581180"/>
      <w:bookmarkStart w:id="557" w:name="_Toc504565689"/>
      <w:bookmarkStart w:id="558" w:name="_Toc450123134"/>
      <w:bookmarkStart w:id="559" w:name="_Toc215556192"/>
      <w:bookmarkStart w:id="560" w:name="_Toc371937194"/>
      <w:bookmarkStart w:id="561" w:name="_Toc388633677"/>
      <w:bookmarkStart w:id="562" w:name="_Toc227658500"/>
      <w:bookmarkStart w:id="563" w:name="_Toc350857429"/>
      <w:bookmarkStart w:id="564" w:name="_Toc255470044"/>
      <w:bookmarkStart w:id="565" w:name="_Toc187475842"/>
      <w:bookmarkStart w:id="566" w:name="_Toc340436795"/>
      <w:bookmarkStart w:id="567" w:name="_Toc249848952"/>
      <w:bookmarkStart w:id="568" w:name="_Toc255741931"/>
      <w:bookmarkStart w:id="569" w:name="_Toc439772701"/>
      <w:bookmarkStart w:id="570" w:name="_Toc436309947"/>
      <w:bookmarkStart w:id="571" w:name="_Toc255470267"/>
      <w:bookmarkStart w:id="572" w:name="_Toc305763056"/>
      <w:bookmarkStart w:id="573" w:name="_Toc389226397"/>
      <w:bookmarkStart w:id="574" w:name="_Toc342046316"/>
      <w:bookmarkStart w:id="575" w:name="_Toc211175334"/>
      <w:bookmarkStart w:id="576" w:name="_Toc209862332"/>
      <w:bookmarkStart w:id="577" w:name="_Toc260229975"/>
      <w:bookmarkStart w:id="578" w:name="_Toc452986502"/>
      <w:bookmarkStart w:id="579" w:name="_Toc449111928"/>
      <w:bookmarkStart w:id="580" w:name="_Toc215561210"/>
      <w:bookmarkStart w:id="581" w:name="_Toc450123368"/>
      <w:bookmarkStart w:id="582" w:name="_Toc214355673"/>
      <w:bookmarkStart w:id="583" w:name="_Toc510197612"/>
      <w:bookmarkStart w:id="584" w:name="_Toc7975"/>
      <w:bookmarkStart w:id="585" w:name="_Toc260649030"/>
      <w:bookmarkStart w:id="586" w:name="_Toc274500898"/>
      <w:bookmarkStart w:id="587" w:name="_Toc195864497"/>
      <w:bookmarkStart w:id="588" w:name="_Toc368145486"/>
      <w:bookmarkStart w:id="589" w:name="_Toc453768100"/>
      <w:bookmarkStart w:id="590" w:name="_Toc208734410"/>
      <w:bookmarkStart w:id="591" w:name="_Toc436998788"/>
      <w:bookmarkStart w:id="592" w:name="_Toc254774411"/>
      <w:bookmarkStart w:id="593" w:name="_Toc219172339"/>
      <w:bookmarkStart w:id="594" w:name="_Toc476231301"/>
      <w:bookmarkStart w:id="595" w:name="_Toc445105537"/>
      <w:bookmarkStart w:id="596" w:name="_Toc351898547"/>
      <w:bookmarkStart w:id="597" w:name="_Toc338778042"/>
      <w:bookmarkStart w:id="598" w:name="_Toc215805053"/>
      <w:bookmarkStart w:id="599" w:name="_Toc340222905"/>
      <w:bookmarkStart w:id="600" w:name="_Toc270517144"/>
      <w:bookmarkStart w:id="601" w:name="_Toc187846002"/>
      <w:bookmarkStart w:id="602" w:name="_Toc510197474"/>
      <w:bookmarkStart w:id="603" w:name="_Toc27427"/>
      <w:bookmarkStart w:id="604" w:name="_Toc260230302"/>
      <w:bookmarkStart w:id="605" w:name="_Toc504565802"/>
      <w:r>
        <w:rPr>
          <w:rFonts w:hint="eastAsia" w:hAnsi="宋体" w:cs="宋体"/>
          <w:b/>
          <w:color w:val="000000" w:themeColor="text1"/>
          <w:sz w:val="32"/>
          <w:szCs w:val="32"/>
          <w14:textFill>
            <w14:solidFill>
              <w14:schemeClr w14:val="tx1"/>
            </w14:solidFill>
          </w14:textFill>
        </w:rPr>
        <w:t>10. 进度计划</w:t>
      </w:r>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p>
    <w:p w14:paraId="3251C8CF">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10.1 合同进度计划</w:t>
      </w:r>
    </w:p>
    <w:p w14:paraId="04A4FE88">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承包人应按技术标准和要求(合同技术条款)约定的内容和期限以及监理人的指示，编制详细的施工总进度计划及其说明提交监理人审批。监理人应在技术标准和要求(合同技术条款)约定的期限内批复承包人，否则该进度计划视为已得到批准。经监理人批准的施工进度计划称为合同进度计划，是控制合同工程进度的依据。承包人还应根据合同进度计划，编制更为详细的分阶段或单位工程或分部工程进度计划，报监理人审批。</w:t>
      </w:r>
    </w:p>
    <w:p w14:paraId="760AC2DC">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10.2 合同进度计划的修订</w:t>
      </w:r>
    </w:p>
    <w:p w14:paraId="3DFD5694">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不论何种原因造成工程的实际进度与第10.1款的合同进度计划不符时，承包人均应在14天内向监理人提交修订合同进度计划的申请报告，并附有关措施和相关资料，报监理人审批，监理人应在收到申请报告后的14天内批复。当监理人认为需要修订合同进度计划时，承包人应按监理人的指示，在14天内向监理人提交修订的合同进度计划，并附调整计划的相关资料，提交监理人审批。监理人应在收到进度计划后的14天内批复。</w:t>
      </w:r>
    </w:p>
    <w:p w14:paraId="0544402A">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不论何种原因造成施工进度延迟，承包人均应按监理人的指示，采取有效措施赶上进度。承包人应在向监理人提交修订合同进度计划的同时，编制一份赶工措施报告提交监理人审批。由于发包人原因造成施工进度延迟，应按第11.3款的约定办理；由于承包人原因造成施工进度延迟，应按第11.5款的约定办理。</w:t>
      </w:r>
    </w:p>
    <w:p w14:paraId="3B925BB5">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10.3 单位工程进度计划</w:t>
      </w:r>
    </w:p>
    <w:p w14:paraId="1710171D">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监理人认为有必要时，承包人应按监理人指示的内容和期限，并根据合同进度计划的进度控制要求，编制单位工程进度计划，提交监理人审批。</w:t>
      </w:r>
    </w:p>
    <w:p w14:paraId="4FBE19B6">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10.4 提交资金流估算表</w:t>
      </w:r>
    </w:p>
    <w:p w14:paraId="647A4568">
      <w:pPr>
        <w:pStyle w:val="26"/>
        <w:spacing w:line="400" w:lineRule="exact"/>
        <w:ind w:firstLine="540" w:firstLineChars="225"/>
        <w:rPr>
          <w:rFonts w:hAnsi="宋体" w:cs="宋体"/>
          <w:color w:val="000000" w:themeColor="text1"/>
          <w14:textFill>
            <w14:solidFill>
              <w14:schemeClr w14:val="tx1"/>
            </w14:solidFill>
          </w14:textFill>
        </w:rPr>
      </w:pPr>
      <w:r>
        <w:rPr>
          <w:rFonts w:hint="eastAsia" w:ascii="宋体" w:hAnsi="宋体" w:eastAsia="宋体" w:cs="宋体"/>
          <w:color w:val="000000" w:themeColor="text1"/>
          <w:kern w:val="0"/>
          <w:sz w:val="24"/>
          <w:szCs w:val="24"/>
          <w:lang w:val="en-US" w:eastAsia="zh-CN" w:bidi="ar-SA"/>
          <w14:textFill>
            <w14:solidFill>
              <w14:schemeClr w14:val="tx1"/>
            </w14:solidFill>
          </w14:textFill>
        </w:rPr>
        <w:t>承包人应在按第10.1款约定向监理人提交施工总进度计划的同时，按下表约定的格式，向监理人提交按月的资金流估算表。估算表应包括承包人计划可从发包人处得到的全部款额，以供发包人参考。此后，当监理人提出要求时，承包人应在监理人指定的期限内提交修订的资金流估算表。</w:t>
      </w:r>
    </w:p>
    <w:p w14:paraId="198683F5">
      <w:pPr>
        <w:pStyle w:val="26"/>
        <w:spacing w:line="400" w:lineRule="exact"/>
        <w:ind w:firstLine="562"/>
        <w:rPr>
          <w:rFonts w:hAnsi="宋体" w:cs="宋体"/>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资金流估算表</w:t>
      </w:r>
      <w:r>
        <w:rPr>
          <w:rFonts w:hint="eastAsia" w:hAnsi="宋体" w:cs="宋体"/>
          <w:color w:val="000000" w:themeColor="text1"/>
          <w14:textFill>
            <w14:solidFill>
              <w14:schemeClr w14:val="tx1"/>
            </w14:solidFill>
          </w14:textFill>
        </w:rPr>
        <w:t>(参考格式)                        金额单位</w:t>
      </w:r>
    </w:p>
    <w:tbl>
      <w:tblPr>
        <w:tblStyle w:val="4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68"/>
        <w:gridCol w:w="540"/>
        <w:gridCol w:w="1228"/>
        <w:gridCol w:w="1054"/>
        <w:gridCol w:w="1054"/>
        <w:gridCol w:w="1054"/>
        <w:gridCol w:w="1054"/>
        <w:gridCol w:w="655"/>
        <w:gridCol w:w="936"/>
        <w:gridCol w:w="862"/>
      </w:tblGrid>
      <w:tr w14:paraId="750E9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68" w:type="dxa"/>
          </w:tcPr>
          <w:p w14:paraId="2F86E099">
            <w:pPr>
              <w:pStyle w:val="26"/>
              <w:spacing w:line="400" w:lineRule="exact"/>
              <w:ind w:firstLine="560"/>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年</w:t>
            </w:r>
          </w:p>
        </w:tc>
        <w:tc>
          <w:tcPr>
            <w:tcW w:w="540" w:type="dxa"/>
          </w:tcPr>
          <w:p w14:paraId="4585AEA8">
            <w:pPr>
              <w:pStyle w:val="26"/>
              <w:spacing w:line="400" w:lineRule="exact"/>
              <w:ind w:firstLine="560"/>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月</w:t>
            </w:r>
          </w:p>
        </w:tc>
        <w:tc>
          <w:tcPr>
            <w:tcW w:w="1228" w:type="dxa"/>
          </w:tcPr>
          <w:p w14:paraId="31C694F4">
            <w:pPr>
              <w:pStyle w:val="26"/>
              <w:spacing w:line="400" w:lineRule="exact"/>
              <w:ind w:firstLine="560"/>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工程预付款</w:t>
            </w:r>
          </w:p>
        </w:tc>
        <w:tc>
          <w:tcPr>
            <w:tcW w:w="1054" w:type="dxa"/>
          </w:tcPr>
          <w:p w14:paraId="7C404006">
            <w:pPr>
              <w:pStyle w:val="26"/>
              <w:spacing w:line="400" w:lineRule="exact"/>
              <w:ind w:firstLine="560"/>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完成工作量付款</w:t>
            </w:r>
          </w:p>
        </w:tc>
        <w:tc>
          <w:tcPr>
            <w:tcW w:w="1054" w:type="dxa"/>
          </w:tcPr>
          <w:p w14:paraId="450AECDB">
            <w:pPr>
              <w:pStyle w:val="26"/>
              <w:spacing w:line="400" w:lineRule="exact"/>
              <w:ind w:firstLine="560"/>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质量保证金扣留</w:t>
            </w:r>
          </w:p>
        </w:tc>
        <w:tc>
          <w:tcPr>
            <w:tcW w:w="1054" w:type="dxa"/>
          </w:tcPr>
          <w:p w14:paraId="38DB95CD">
            <w:pPr>
              <w:pStyle w:val="26"/>
              <w:spacing w:line="400" w:lineRule="exact"/>
              <w:ind w:firstLine="560"/>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材料款扣除</w:t>
            </w:r>
          </w:p>
        </w:tc>
        <w:tc>
          <w:tcPr>
            <w:tcW w:w="1054" w:type="dxa"/>
          </w:tcPr>
          <w:p w14:paraId="1FFB1E20">
            <w:pPr>
              <w:pStyle w:val="26"/>
              <w:spacing w:line="400" w:lineRule="exact"/>
              <w:ind w:firstLine="560"/>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预付款扣还</w:t>
            </w:r>
          </w:p>
        </w:tc>
        <w:tc>
          <w:tcPr>
            <w:tcW w:w="655" w:type="dxa"/>
          </w:tcPr>
          <w:p w14:paraId="736603C0">
            <w:pPr>
              <w:pStyle w:val="26"/>
              <w:spacing w:line="400" w:lineRule="exact"/>
              <w:ind w:firstLine="560"/>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其它</w:t>
            </w:r>
          </w:p>
        </w:tc>
        <w:tc>
          <w:tcPr>
            <w:tcW w:w="936" w:type="dxa"/>
          </w:tcPr>
          <w:p w14:paraId="032BE7D4">
            <w:pPr>
              <w:pStyle w:val="26"/>
              <w:spacing w:line="400" w:lineRule="exact"/>
              <w:ind w:firstLine="560"/>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应收款</w:t>
            </w:r>
          </w:p>
        </w:tc>
        <w:tc>
          <w:tcPr>
            <w:tcW w:w="862" w:type="dxa"/>
          </w:tcPr>
          <w:p w14:paraId="352D8897">
            <w:pPr>
              <w:pStyle w:val="26"/>
              <w:spacing w:line="400" w:lineRule="exact"/>
              <w:ind w:firstLine="560"/>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累计应收款</w:t>
            </w:r>
          </w:p>
        </w:tc>
      </w:tr>
      <w:tr w14:paraId="5D3E8D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468" w:type="dxa"/>
          </w:tcPr>
          <w:p w14:paraId="5D802511">
            <w:pPr>
              <w:pStyle w:val="26"/>
              <w:spacing w:line="400" w:lineRule="exact"/>
              <w:ind w:firstLine="560"/>
              <w:rPr>
                <w:rFonts w:hAnsi="宋体" w:cs="宋体"/>
                <w:color w:val="000000" w:themeColor="text1"/>
                <w14:textFill>
                  <w14:solidFill>
                    <w14:schemeClr w14:val="tx1"/>
                  </w14:solidFill>
                </w14:textFill>
              </w:rPr>
            </w:pPr>
          </w:p>
        </w:tc>
        <w:tc>
          <w:tcPr>
            <w:tcW w:w="540" w:type="dxa"/>
          </w:tcPr>
          <w:p w14:paraId="670BA40F">
            <w:pPr>
              <w:pStyle w:val="26"/>
              <w:spacing w:line="400" w:lineRule="exact"/>
              <w:ind w:firstLine="560"/>
              <w:rPr>
                <w:rFonts w:hAnsi="宋体" w:cs="宋体"/>
                <w:color w:val="000000" w:themeColor="text1"/>
                <w14:textFill>
                  <w14:solidFill>
                    <w14:schemeClr w14:val="tx1"/>
                  </w14:solidFill>
                </w14:textFill>
              </w:rPr>
            </w:pPr>
          </w:p>
        </w:tc>
        <w:tc>
          <w:tcPr>
            <w:tcW w:w="1228" w:type="dxa"/>
          </w:tcPr>
          <w:p w14:paraId="03E29110">
            <w:pPr>
              <w:pStyle w:val="26"/>
              <w:spacing w:line="400" w:lineRule="exact"/>
              <w:ind w:firstLine="560"/>
              <w:rPr>
                <w:rFonts w:hAnsi="宋体" w:cs="宋体"/>
                <w:color w:val="000000" w:themeColor="text1"/>
                <w14:textFill>
                  <w14:solidFill>
                    <w14:schemeClr w14:val="tx1"/>
                  </w14:solidFill>
                </w14:textFill>
              </w:rPr>
            </w:pPr>
          </w:p>
        </w:tc>
        <w:tc>
          <w:tcPr>
            <w:tcW w:w="1054" w:type="dxa"/>
          </w:tcPr>
          <w:p w14:paraId="5FFEC96A">
            <w:pPr>
              <w:pStyle w:val="26"/>
              <w:spacing w:line="400" w:lineRule="exact"/>
              <w:ind w:firstLine="560"/>
              <w:rPr>
                <w:rFonts w:hAnsi="宋体" w:cs="宋体"/>
                <w:color w:val="000000" w:themeColor="text1"/>
                <w14:textFill>
                  <w14:solidFill>
                    <w14:schemeClr w14:val="tx1"/>
                  </w14:solidFill>
                </w14:textFill>
              </w:rPr>
            </w:pPr>
          </w:p>
        </w:tc>
        <w:tc>
          <w:tcPr>
            <w:tcW w:w="1054" w:type="dxa"/>
          </w:tcPr>
          <w:p w14:paraId="26FB75FA">
            <w:pPr>
              <w:pStyle w:val="26"/>
              <w:spacing w:line="400" w:lineRule="exact"/>
              <w:ind w:firstLine="560"/>
              <w:rPr>
                <w:rFonts w:hAnsi="宋体" w:cs="宋体"/>
                <w:color w:val="000000" w:themeColor="text1"/>
                <w14:textFill>
                  <w14:solidFill>
                    <w14:schemeClr w14:val="tx1"/>
                  </w14:solidFill>
                </w14:textFill>
              </w:rPr>
            </w:pPr>
          </w:p>
        </w:tc>
        <w:tc>
          <w:tcPr>
            <w:tcW w:w="1054" w:type="dxa"/>
          </w:tcPr>
          <w:p w14:paraId="372A2E15">
            <w:pPr>
              <w:pStyle w:val="26"/>
              <w:spacing w:line="400" w:lineRule="exact"/>
              <w:ind w:firstLine="560"/>
              <w:rPr>
                <w:rFonts w:hAnsi="宋体" w:cs="宋体"/>
                <w:color w:val="000000" w:themeColor="text1"/>
                <w14:textFill>
                  <w14:solidFill>
                    <w14:schemeClr w14:val="tx1"/>
                  </w14:solidFill>
                </w14:textFill>
              </w:rPr>
            </w:pPr>
          </w:p>
        </w:tc>
        <w:tc>
          <w:tcPr>
            <w:tcW w:w="1054" w:type="dxa"/>
          </w:tcPr>
          <w:p w14:paraId="2A6E6B74">
            <w:pPr>
              <w:pStyle w:val="26"/>
              <w:spacing w:line="400" w:lineRule="exact"/>
              <w:ind w:firstLine="560"/>
              <w:rPr>
                <w:rFonts w:hAnsi="宋体" w:cs="宋体"/>
                <w:color w:val="000000" w:themeColor="text1"/>
                <w14:textFill>
                  <w14:solidFill>
                    <w14:schemeClr w14:val="tx1"/>
                  </w14:solidFill>
                </w14:textFill>
              </w:rPr>
            </w:pPr>
          </w:p>
        </w:tc>
        <w:tc>
          <w:tcPr>
            <w:tcW w:w="655" w:type="dxa"/>
          </w:tcPr>
          <w:p w14:paraId="4AAF4976">
            <w:pPr>
              <w:pStyle w:val="26"/>
              <w:spacing w:line="400" w:lineRule="exact"/>
              <w:ind w:firstLine="560"/>
              <w:rPr>
                <w:rFonts w:hAnsi="宋体" w:cs="宋体"/>
                <w:color w:val="000000" w:themeColor="text1"/>
                <w14:textFill>
                  <w14:solidFill>
                    <w14:schemeClr w14:val="tx1"/>
                  </w14:solidFill>
                </w14:textFill>
              </w:rPr>
            </w:pPr>
          </w:p>
        </w:tc>
        <w:tc>
          <w:tcPr>
            <w:tcW w:w="936" w:type="dxa"/>
          </w:tcPr>
          <w:p w14:paraId="37C41BD1">
            <w:pPr>
              <w:pStyle w:val="26"/>
              <w:spacing w:line="400" w:lineRule="exact"/>
              <w:ind w:firstLine="560"/>
              <w:rPr>
                <w:rFonts w:hAnsi="宋体" w:cs="宋体"/>
                <w:color w:val="000000" w:themeColor="text1"/>
                <w14:textFill>
                  <w14:solidFill>
                    <w14:schemeClr w14:val="tx1"/>
                  </w14:solidFill>
                </w14:textFill>
              </w:rPr>
            </w:pPr>
          </w:p>
        </w:tc>
        <w:tc>
          <w:tcPr>
            <w:tcW w:w="862" w:type="dxa"/>
          </w:tcPr>
          <w:p w14:paraId="019A52D9">
            <w:pPr>
              <w:pStyle w:val="26"/>
              <w:spacing w:line="400" w:lineRule="exact"/>
              <w:ind w:firstLine="560"/>
              <w:rPr>
                <w:rFonts w:hAnsi="宋体" w:cs="宋体"/>
                <w:color w:val="000000" w:themeColor="text1"/>
                <w14:textFill>
                  <w14:solidFill>
                    <w14:schemeClr w14:val="tx1"/>
                  </w14:solidFill>
                </w14:textFill>
              </w:rPr>
            </w:pPr>
          </w:p>
        </w:tc>
      </w:tr>
      <w:tr w14:paraId="12652C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468" w:type="dxa"/>
          </w:tcPr>
          <w:p w14:paraId="324CDC4A">
            <w:pPr>
              <w:pStyle w:val="26"/>
              <w:spacing w:line="400" w:lineRule="exact"/>
              <w:ind w:firstLine="560"/>
              <w:rPr>
                <w:rFonts w:hAnsi="宋体" w:cs="宋体"/>
                <w:color w:val="000000" w:themeColor="text1"/>
                <w14:textFill>
                  <w14:solidFill>
                    <w14:schemeClr w14:val="tx1"/>
                  </w14:solidFill>
                </w14:textFill>
              </w:rPr>
            </w:pPr>
          </w:p>
        </w:tc>
        <w:tc>
          <w:tcPr>
            <w:tcW w:w="540" w:type="dxa"/>
          </w:tcPr>
          <w:p w14:paraId="20BF53BE">
            <w:pPr>
              <w:pStyle w:val="26"/>
              <w:spacing w:line="400" w:lineRule="exact"/>
              <w:ind w:firstLine="560"/>
              <w:rPr>
                <w:rFonts w:hAnsi="宋体" w:cs="宋体"/>
                <w:color w:val="000000" w:themeColor="text1"/>
                <w14:textFill>
                  <w14:solidFill>
                    <w14:schemeClr w14:val="tx1"/>
                  </w14:solidFill>
                </w14:textFill>
              </w:rPr>
            </w:pPr>
          </w:p>
        </w:tc>
        <w:tc>
          <w:tcPr>
            <w:tcW w:w="1228" w:type="dxa"/>
          </w:tcPr>
          <w:p w14:paraId="47CA183C">
            <w:pPr>
              <w:pStyle w:val="26"/>
              <w:spacing w:line="400" w:lineRule="exact"/>
              <w:ind w:firstLine="560"/>
              <w:rPr>
                <w:rFonts w:hAnsi="宋体" w:cs="宋体"/>
                <w:color w:val="000000" w:themeColor="text1"/>
                <w14:textFill>
                  <w14:solidFill>
                    <w14:schemeClr w14:val="tx1"/>
                  </w14:solidFill>
                </w14:textFill>
              </w:rPr>
            </w:pPr>
          </w:p>
        </w:tc>
        <w:tc>
          <w:tcPr>
            <w:tcW w:w="1054" w:type="dxa"/>
          </w:tcPr>
          <w:p w14:paraId="2EBD0D76">
            <w:pPr>
              <w:pStyle w:val="26"/>
              <w:spacing w:line="400" w:lineRule="exact"/>
              <w:ind w:firstLine="560"/>
              <w:rPr>
                <w:rFonts w:hAnsi="宋体" w:cs="宋体"/>
                <w:color w:val="000000" w:themeColor="text1"/>
                <w14:textFill>
                  <w14:solidFill>
                    <w14:schemeClr w14:val="tx1"/>
                  </w14:solidFill>
                </w14:textFill>
              </w:rPr>
            </w:pPr>
          </w:p>
        </w:tc>
        <w:tc>
          <w:tcPr>
            <w:tcW w:w="1054" w:type="dxa"/>
          </w:tcPr>
          <w:p w14:paraId="7F96730B">
            <w:pPr>
              <w:pStyle w:val="26"/>
              <w:spacing w:line="400" w:lineRule="exact"/>
              <w:ind w:firstLine="560"/>
              <w:rPr>
                <w:rFonts w:hAnsi="宋体" w:cs="宋体"/>
                <w:color w:val="000000" w:themeColor="text1"/>
                <w14:textFill>
                  <w14:solidFill>
                    <w14:schemeClr w14:val="tx1"/>
                  </w14:solidFill>
                </w14:textFill>
              </w:rPr>
            </w:pPr>
          </w:p>
        </w:tc>
        <w:tc>
          <w:tcPr>
            <w:tcW w:w="1054" w:type="dxa"/>
          </w:tcPr>
          <w:p w14:paraId="1A69E079">
            <w:pPr>
              <w:pStyle w:val="26"/>
              <w:spacing w:line="400" w:lineRule="exact"/>
              <w:ind w:firstLine="560"/>
              <w:rPr>
                <w:rFonts w:hAnsi="宋体" w:cs="宋体"/>
                <w:color w:val="000000" w:themeColor="text1"/>
                <w14:textFill>
                  <w14:solidFill>
                    <w14:schemeClr w14:val="tx1"/>
                  </w14:solidFill>
                </w14:textFill>
              </w:rPr>
            </w:pPr>
          </w:p>
        </w:tc>
        <w:tc>
          <w:tcPr>
            <w:tcW w:w="1054" w:type="dxa"/>
          </w:tcPr>
          <w:p w14:paraId="3DCC2448">
            <w:pPr>
              <w:pStyle w:val="26"/>
              <w:spacing w:line="400" w:lineRule="exact"/>
              <w:ind w:firstLine="560"/>
              <w:rPr>
                <w:rFonts w:hAnsi="宋体" w:cs="宋体"/>
                <w:color w:val="000000" w:themeColor="text1"/>
                <w14:textFill>
                  <w14:solidFill>
                    <w14:schemeClr w14:val="tx1"/>
                  </w14:solidFill>
                </w14:textFill>
              </w:rPr>
            </w:pPr>
          </w:p>
        </w:tc>
        <w:tc>
          <w:tcPr>
            <w:tcW w:w="655" w:type="dxa"/>
          </w:tcPr>
          <w:p w14:paraId="5DAC67FE">
            <w:pPr>
              <w:pStyle w:val="26"/>
              <w:spacing w:line="400" w:lineRule="exact"/>
              <w:ind w:firstLine="560"/>
              <w:rPr>
                <w:rFonts w:hAnsi="宋体" w:cs="宋体"/>
                <w:color w:val="000000" w:themeColor="text1"/>
                <w14:textFill>
                  <w14:solidFill>
                    <w14:schemeClr w14:val="tx1"/>
                  </w14:solidFill>
                </w14:textFill>
              </w:rPr>
            </w:pPr>
          </w:p>
        </w:tc>
        <w:tc>
          <w:tcPr>
            <w:tcW w:w="936" w:type="dxa"/>
          </w:tcPr>
          <w:p w14:paraId="40A4B03B">
            <w:pPr>
              <w:pStyle w:val="26"/>
              <w:spacing w:line="400" w:lineRule="exact"/>
              <w:ind w:firstLine="560"/>
              <w:rPr>
                <w:rFonts w:hAnsi="宋体" w:cs="宋体"/>
                <w:color w:val="000000" w:themeColor="text1"/>
                <w14:textFill>
                  <w14:solidFill>
                    <w14:schemeClr w14:val="tx1"/>
                  </w14:solidFill>
                </w14:textFill>
              </w:rPr>
            </w:pPr>
          </w:p>
        </w:tc>
        <w:tc>
          <w:tcPr>
            <w:tcW w:w="862" w:type="dxa"/>
          </w:tcPr>
          <w:p w14:paraId="27DCD06F">
            <w:pPr>
              <w:pStyle w:val="26"/>
              <w:spacing w:line="400" w:lineRule="exact"/>
              <w:ind w:firstLine="560"/>
              <w:rPr>
                <w:rFonts w:hAnsi="宋体" w:cs="宋体"/>
                <w:color w:val="000000" w:themeColor="text1"/>
                <w14:textFill>
                  <w14:solidFill>
                    <w14:schemeClr w14:val="tx1"/>
                  </w14:solidFill>
                </w14:textFill>
              </w:rPr>
            </w:pPr>
          </w:p>
        </w:tc>
      </w:tr>
      <w:tr w14:paraId="00B576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468" w:type="dxa"/>
          </w:tcPr>
          <w:p w14:paraId="6E27668A">
            <w:pPr>
              <w:pStyle w:val="26"/>
              <w:spacing w:line="400" w:lineRule="exact"/>
              <w:ind w:firstLine="560"/>
              <w:rPr>
                <w:rFonts w:hAnsi="宋体" w:cs="宋体"/>
                <w:color w:val="000000" w:themeColor="text1"/>
                <w14:textFill>
                  <w14:solidFill>
                    <w14:schemeClr w14:val="tx1"/>
                  </w14:solidFill>
                </w14:textFill>
              </w:rPr>
            </w:pPr>
          </w:p>
        </w:tc>
        <w:tc>
          <w:tcPr>
            <w:tcW w:w="540" w:type="dxa"/>
          </w:tcPr>
          <w:p w14:paraId="2EC07654">
            <w:pPr>
              <w:pStyle w:val="26"/>
              <w:spacing w:line="400" w:lineRule="exact"/>
              <w:ind w:firstLine="560"/>
              <w:rPr>
                <w:rFonts w:hAnsi="宋体" w:cs="宋体"/>
                <w:color w:val="000000" w:themeColor="text1"/>
                <w14:textFill>
                  <w14:solidFill>
                    <w14:schemeClr w14:val="tx1"/>
                  </w14:solidFill>
                </w14:textFill>
              </w:rPr>
            </w:pPr>
          </w:p>
        </w:tc>
        <w:tc>
          <w:tcPr>
            <w:tcW w:w="1228" w:type="dxa"/>
          </w:tcPr>
          <w:p w14:paraId="75B9F091">
            <w:pPr>
              <w:pStyle w:val="26"/>
              <w:spacing w:line="400" w:lineRule="exact"/>
              <w:ind w:firstLine="560"/>
              <w:rPr>
                <w:rFonts w:hAnsi="宋体" w:cs="宋体"/>
                <w:color w:val="000000" w:themeColor="text1"/>
                <w14:textFill>
                  <w14:solidFill>
                    <w14:schemeClr w14:val="tx1"/>
                  </w14:solidFill>
                </w14:textFill>
              </w:rPr>
            </w:pPr>
          </w:p>
        </w:tc>
        <w:tc>
          <w:tcPr>
            <w:tcW w:w="1054" w:type="dxa"/>
          </w:tcPr>
          <w:p w14:paraId="67E8AFDA">
            <w:pPr>
              <w:pStyle w:val="26"/>
              <w:spacing w:line="400" w:lineRule="exact"/>
              <w:ind w:firstLine="560"/>
              <w:rPr>
                <w:rFonts w:hAnsi="宋体" w:cs="宋体"/>
                <w:color w:val="000000" w:themeColor="text1"/>
                <w14:textFill>
                  <w14:solidFill>
                    <w14:schemeClr w14:val="tx1"/>
                  </w14:solidFill>
                </w14:textFill>
              </w:rPr>
            </w:pPr>
          </w:p>
        </w:tc>
        <w:tc>
          <w:tcPr>
            <w:tcW w:w="1054" w:type="dxa"/>
          </w:tcPr>
          <w:p w14:paraId="3326102C">
            <w:pPr>
              <w:pStyle w:val="26"/>
              <w:spacing w:line="400" w:lineRule="exact"/>
              <w:ind w:firstLine="560"/>
              <w:rPr>
                <w:rFonts w:hAnsi="宋体" w:cs="宋体"/>
                <w:color w:val="000000" w:themeColor="text1"/>
                <w14:textFill>
                  <w14:solidFill>
                    <w14:schemeClr w14:val="tx1"/>
                  </w14:solidFill>
                </w14:textFill>
              </w:rPr>
            </w:pPr>
          </w:p>
        </w:tc>
        <w:tc>
          <w:tcPr>
            <w:tcW w:w="1054" w:type="dxa"/>
          </w:tcPr>
          <w:p w14:paraId="2AA0B40F">
            <w:pPr>
              <w:pStyle w:val="26"/>
              <w:spacing w:line="400" w:lineRule="exact"/>
              <w:ind w:firstLine="560"/>
              <w:rPr>
                <w:rFonts w:hAnsi="宋体" w:cs="宋体"/>
                <w:color w:val="000000" w:themeColor="text1"/>
                <w14:textFill>
                  <w14:solidFill>
                    <w14:schemeClr w14:val="tx1"/>
                  </w14:solidFill>
                </w14:textFill>
              </w:rPr>
            </w:pPr>
          </w:p>
        </w:tc>
        <w:tc>
          <w:tcPr>
            <w:tcW w:w="1054" w:type="dxa"/>
          </w:tcPr>
          <w:p w14:paraId="498045FC">
            <w:pPr>
              <w:pStyle w:val="26"/>
              <w:spacing w:line="400" w:lineRule="exact"/>
              <w:ind w:firstLine="560"/>
              <w:rPr>
                <w:rFonts w:hAnsi="宋体" w:cs="宋体"/>
                <w:color w:val="000000" w:themeColor="text1"/>
                <w14:textFill>
                  <w14:solidFill>
                    <w14:schemeClr w14:val="tx1"/>
                  </w14:solidFill>
                </w14:textFill>
              </w:rPr>
            </w:pPr>
          </w:p>
        </w:tc>
        <w:tc>
          <w:tcPr>
            <w:tcW w:w="655" w:type="dxa"/>
          </w:tcPr>
          <w:p w14:paraId="3A623BDD">
            <w:pPr>
              <w:pStyle w:val="26"/>
              <w:spacing w:line="400" w:lineRule="exact"/>
              <w:ind w:firstLine="560"/>
              <w:rPr>
                <w:rFonts w:hAnsi="宋体" w:cs="宋体"/>
                <w:color w:val="000000" w:themeColor="text1"/>
                <w14:textFill>
                  <w14:solidFill>
                    <w14:schemeClr w14:val="tx1"/>
                  </w14:solidFill>
                </w14:textFill>
              </w:rPr>
            </w:pPr>
          </w:p>
        </w:tc>
        <w:tc>
          <w:tcPr>
            <w:tcW w:w="936" w:type="dxa"/>
          </w:tcPr>
          <w:p w14:paraId="23880F1A">
            <w:pPr>
              <w:pStyle w:val="26"/>
              <w:spacing w:line="400" w:lineRule="exact"/>
              <w:ind w:firstLine="560"/>
              <w:rPr>
                <w:rFonts w:hAnsi="宋体" w:cs="宋体"/>
                <w:color w:val="000000" w:themeColor="text1"/>
                <w14:textFill>
                  <w14:solidFill>
                    <w14:schemeClr w14:val="tx1"/>
                  </w14:solidFill>
                </w14:textFill>
              </w:rPr>
            </w:pPr>
          </w:p>
        </w:tc>
        <w:tc>
          <w:tcPr>
            <w:tcW w:w="862" w:type="dxa"/>
          </w:tcPr>
          <w:p w14:paraId="0C8679C3">
            <w:pPr>
              <w:pStyle w:val="26"/>
              <w:spacing w:line="400" w:lineRule="exact"/>
              <w:ind w:firstLine="560"/>
              <w:rPr>
                <w:rFonts w:hAnsi="宋体" w:cs="宋体"/>
                <w:color w:val="000000" w:themeColor="text1"/>
                <w14:textFill>
                  <w14:solidFill>
                    <w14:schemeClr w14:val="tx1"/>
                  </w14:solidFill>
                </w14:textFill>
              </w:rPr>
            </w:pPr>
          </w:p>
        </w:tc>
      </w:tr>
    </w:tbl>
    <w:p w14:paraId="6B036EA5">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606" w:name="_Toc249848953"/>
      <w:bookmarkStart w:id="607" w:name="_Toc255470045"/>
      <w:bookmarkStart w:id="608" w:name="_Toc208734411"/>
      <w:bookmarkStart w:id="609" w:name="_Toc187846003"/>
      <w:bookmarkStart w:id="610" w:name="_Toc215561211"/>
      <w:bookmarkStart w:id="611" w:name="_Toc255741932"/>
      <w:bookmarkStart w:id="612" w:name="_Toc206830024"/>
      <w:bookmarkStart w:id="613" w:name="_Toc257202836"/>
      <w:bookmarkStart w:id="614" w:name="_Toc215805054"/>
      <w:bookmarkStart w:id="615" w:name="_Toc227658501"/>
      <w:bookmarkStart w:id="616" w:name="_Toc215556193"/>
      <w:bookmarkStart w:id="617" w:name="_Toc195864498"/>
      <w:bookmarkStart w:id="618" w:name="_Toc214355674"/>
      <w:bookmarkStart w:id="619" w:name="_Toc211175335"/>
      <w:bookmarkStart w:id="620" w:name="_Toc248294424"/>
      <w:bookmarkStart w:id="621" w:name="_Toc219172340"/>
      <w:bookmarkStart w:id="622" w:name="_Toc187475843"/>
      <w:bookmarkStart w:id="623" w:name="_Toc245110741"/>
      <w:bookmarkStart w:id="624" w:name="_Toc255470268"/>
      <w:bookmarkStart w:id="625" w:name="_Toc222804527"/>
      <w:bookmarkStart w:id="626" w:name="_Toc209862333"/>
      <w:bookmarkStart w:id="627" w:name="_Toc254774412"/>
      <w:bookmarkStart w:id="628" w:name="_Toc389226398"/>
      <w:bookmarkStart w:id="629" w:name="_Toc340222906"/>
      <w:bookmarkStart w:id="630" w:name="_Toc450123369"/>
      <w:bookmarkStart w:id="631" w:name="_Toc458599279"/>
      <w:bookmarkStart w:id="632" w:name="_Toc436133239"/>
      <w:bookmarkStart w:id="633" w:name="_Toc270517145"/>
      <w:bookmarkStart w:id="634" w:name="_Toc26169"/>
      <w:bookmarkStart w:id="635" w:name="_Toc445105538"/>
      <w:bookmarkStart w:id="636" w:name="_Toc371937195"/>
      <w:bookmarkStart w:id="637" w:name="_Toc450123135"/>
      <w:bookmarkStart w:id="638" w:name="_Toc452986503"/>
      <w:bookmarkStart w:id="639" w:name="_Toc260229976"/>
      <w:bookmarkStart w:id="640" w:name="_Toc350857430"/>
      <w:bookmarkStart w:id="641" w:name="_Toc477164663"/>
      <w:bookmarkStart w:id="642" w:name="_Toc368145487"/>
      <w:bookmarkStart w:id="643" w:name="_Toc510197613"/>
      <w:bookmarkStart w:id="644" w:name="_Toc260649031"/>
      <w:bookmarkStart w:id="645" w:name="_Toc351898548"/>
      <w:bookmarkStart w:id="646" w:name="_Toc260230303"/>
      <w:bookmarkStart w:id="647" w:name="_Toc340436796"/>
      <w:bookmarkStart w:id="648" w:name="_Toc439772702"/>
      <w:bookmarkStart w:id="649" w:name="_Toc510197475"/>
      <w:bookmarkStart w:id="650" w:name="_Toc274500899"/>
      <w:bookmarkStart w:id="651" w:name="_Toc504565690"/>
      <w:bookmarkStart w:id="652" w:name="_Toc338778043"/>
      <w:bookmarkStart w:id="653" w:name="_Toc504565803"/>
      <w:bookmarkStart w:id="654" w:name="_Toc388633678"/>
      <w:bookmarkStart w:id="655" w:name="_Toc4413"/>
      <w:bookmarkStart w:id="656" w:name="_Toc436998789"/>
      <w:bookmarkStart w:id="657" w:name="_Toc436309948"/>
      <w:bookmarkStart w:id="658" w:name="_Toc476231302"/>
      <w:bookmarkStart w:id="659" w:name="_Toc342046317"/>
      <w:bookmarkStart w:id="660" w:name="_Toc306293167"/>
      <w:bookmarkStart w:id="661" w:name="_Toc453768101"/>
      <w:bookmarkStart w:id="662" w:name="_Toc305763057"/>
      <w:bookmarkStart w:id="663" w:name="_Toc436309596"/>
      <w:bookmarkStart w:id="664" w:name="_Toc460581181"/>
      <w:bookmarkStart w:id="665" w:name="_Toc449111929"/>
      <w:r>
        <w:rPr>
          <w:rFonts w:hint="eastAsia" w:hAnsi="宋体" w:cs="宋体"/>
          <w:b/>
          <w:color w:val="000000" w:themeColor="text1"/>
          <w:sz w:val="32"/>
          <w:szCs w:val="32"/>
          <w14:textFill>
            <w14:solidFill>
              <w14:schemeClr w14:val="tx1"/>
            </w14:solidFill>
          </w14:textFill>
        </w:rPr>
        <w:t>11. 开工和竣工</w:t>
      </w:r>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r>
        <w:rPr>
          <w:rFonts w:hint="eastAsia" w:hAnsi="宋体" w:cs="宋体"/>
          <w:b/>
          <w:color w:val="000000" w:themeColor="text1"/>
          <w:sz w:val="32"/>
          <w:szCs w:val="32"/>
          <w14:textFill>
            <w14:solidFill>
              <w14:schemeClr w14:val="tx1"/>
            </w14:solidFill>
          </w14:textFill>
        </w:rPr>
        <w:t>（完工）</w:t>
      </w:r>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p>
    <w:p w14:paraId="1988D4DC">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11.1 开工</w:t>
      </w:r>
    </w:p>
    <w:p w14:paraId="396CA1E6">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11.1.1 监理人应在开工日期7 天前向承包人发出开工通知。监理人在发出开工通知前应获得发包人同意。工期自监理人发出的开工通知中载明的开工日期起计算。承包人应在开工日期后尽快施工。</w:t>
      </w:r>
    </w:p>
    <w:p w14:paraId="3AECE291">
      <w:pPr>
        <w:pStyle w:val="188"/>
        <w:ind w:right="100" w:firstLine="560"/>
        <w:jc w:val="both"/>
        <w:rPr>
          <w:rFonts w:hAnsi="宋体" w:cs="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11.1.2 承包人应按第10.1 款约定的合同进度计划，向监理人提交工程开工报审表，经监理人审批后执行。开工报审表应详细说明按合同进度计划正常施工所需的施工</w:t>
      </w:r>
      <w:r>
        <w:rPr>
          <w:rFonts w:hint="eastAsia" w:hAnsi="宋体" w:cs="宋体"/>
          <w:color w:val="000000" w:themeColor="text1"/>
          <w14:textFill>
            <w14:solidFill>
              <w14:schemeClr w14:val="tx1"/>
            </w14:solidFill>
          </w14:textFill>
        </w:rPr>
        <w:t>道路、临时设施、材料设备、施工人员等施工组织措施的落实情况以及工程的进度安排。</w:t>
      </w:r>
    </w:p>
    <w:p w14:paraId="464EFC7A">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11.1.3 若发包人未能按合同约定向承包人提供开工的必要条件，承包人有权要求延长工期。监理人应在收到承包人的书面要求后，按第3.5款的约定，与合同双方商定或确定增加的费用和延长的工期。</w:t>
      </w:r>
    </w:p>
    <w:p w14:paraId="67323464">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11.1.4 承包人在接到开工通知后14天内未按进度计划要求及时进场组织施工，监理人可通知承包人在接到通知后7天内提交一份说明其进场延误的书面报告，报送监理人。书面报告应说明不能及时进场的原因和补救措施，由此增加的费用和工期延误责任由承包人承担。</w:t>
      </w:r>
    </w:p>
    <w:p w14:paraId="2487F07C">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11.2 竣工（完工）</w:t>
      </w:r>
    </w:p>
    <w:p w14:paraId="12589EF5">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承包人应在第1.1.4.3 目约定的期限内完成合同工程。合同工程实际完工日期在合同工程完工证书中明确。</w:t>
      </w:r>
    </w:p>
    <w:p w14:paraId="1867E20E">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11.3 发包人的工期延误</w:t>
      </w:r>
    </w:p>
    <w:p w14:paraId="61463E42">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在履行合同过程中，由于发包人的下列原因造成工期延误的，承包人有权要求发包人延长工期和（或）增加费用，并支付合理利润。需要修订合同进度计划的，按照第10.2 款的约定办理。</w:t>
      </w:r>
    </w:p>
    <w:p w14:paraId="2D44DA0C">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（1）增加合同工作内容；</w:t>
      </w:r>
    </w:p>
    <w:p w14:paraId="4992F5F8">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（2）改变合同中任何一项工作的质量要求或其他特性；</w:t>
      </w:r>
    </w:p>
    <w:p w14:paraId="1FD432F9">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（3）发包人迟延提供材料、工程设备或变更交货地点的；</w:t>
      </w:r>
    </w:p>
    <w:p w14:paraId="2BA335C6">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（4）因发包人原因导致的暂停施工；</w:t>
      </w:r>
    </w:p>
    <w:p w14:paraId="050BB088">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（5）提供图纸延误；</w:t>
      </w:r>
    </w:p>
    <w:p w14:paraId="3BF42113">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（6）未按合同约定及时支付预付款、进度款；</w:t>
      </w:r>
    </w:p>
    <w:p w14:paraId="3C67625E">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（7）发包人造成工期延误的其他原因。</w:t>
      </w:r>
    </w:p>
    <w:p w14:paraId="6ABA88E1">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11.4 异常恶劣的气候条件</w:t>
      </w:r>
    </w:p>
    <w:p w14:paraId="4BC7016D">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11.4.1 当工程所在地发生危及施工安全的异常恶劣气候时，发包人和承包人应按本合同通用合同条款第12条的约定，及时采取暂停施工或部分暂停施工措施。异常恶劣气候条件解除后，承包人应及时安排复工。</w:t>
      </w:r>
    </w:p>
    <w:p w14:paraId="50A153ED">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11.4.2 异常恶劣气候条件造成的工期延误和工程损坏，应由发包人与承包人参照本合同通用合同条款第21.3款的约定协商处理。</w:t>
      </w:r>
    </w:p>
    <w:p w14:paraId="2091B139">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11.4.3 本合同工程界定异常恶劣气候条件的范围在专用合同条款中约定。</w:t>
      </w:r>
    </w:p>
    <w:p w14:paraId="641BAE48">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11.5 承包人的工期延误</w:t>
      </w:r>
    </w:p>
    <w:p w14:paraId="5CD4328A">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由于承包人原因，未能按合同进度计划完成工作，或监理人认为承包人施工进度不能满足合同工期要求的，承包人应采取措施加快进度，并承担加快进度所增加的费用。由于承包人原因造成工期延误，承包人应支付逾期竣工违约金。逾期竣工违约金的计算方法在专用合同条款中约定。承包人支付逾期竣工违约金，不免除承包人完成工程及修补缺陷的义务。</w:t>
      </w:r>
    </w:p>
    <w:p w14:paraId="53A410BF">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11.6 工期提前</w:t>
      </w:r>
    </w:p>
    <w:p w14:paraId="4DD76825">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发包人要求承包人提前完工，或承包人提出提前完工的建议能够给发包人带来效益的，应由监理人与承包人共同协商采取加快工程进度的措施和修订合同进度计划。发包人应承担承包人由此增加的费用，并向承包人支付专用合同条款约定的相应奖金。</w:t>
      </w:r>
    </w:p>
    <w:p w14:paraId="3EDAE036">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发包人要求提前完工的，双方协商一致后应签订提前完工协议，协议内容包括：</w:t>
      </w:r>
    </w:p>
    <w:p w14:paraId="31395B06">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 xml:space="preserve">    (1)提前的时间和修订后的进度计划；</w:t>
      </w:r>
    </w:p>
    <w:p w14:paraId="382F8FD7">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 xml:space="preserve">    (2)承包人的赶工措施；</w:t>
      </w:r>
    </w:p>
    <w:p w14:paraId="08F36A64">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 xml:space="preserve">    (3)发包人为赶工提供的条件；</w:t>
      </w:r>
    </w:p>
    <w:p w14:paraId="2B602ECC">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(4)赶工费用(包括利润和奖金)。</w:t>
      </w:r>
    </w:p>
    <w:p w14:paraId="4252AEF7">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666" w:name="_Toc255741933"/>
      <w:bookmarkStart w:id="667" w:name="_Toc439772703"/>
      <w:bookmarkStart w:id="668" w:name="_Toc436133240"/>
      <w:bookmarkStart w:id="669" w:name="_Toc9368"/>
      <w:bookmarkStart w:id="670" w:name="_Toc227658502"/>
      <w:bookmarkStart w:id="671" w:name="_Toc254774413"/>
      <w:bookmarkStart w:id="672" w:name="_Toc187846004"/>
      <w:bookmarkStart w:id="673" w:name="_Toc1484"/>
      <w:bookmarkStart w:id="674" w:name="_Toc504565691"/>
      <w:bookmarkStart w:id="675" w:name="_Toc211175336"/>
      <w:bookmarkStart w:id="676" w:name="_Toc215805055"/>
      <w:bookmarkStart w:id="677" w:name="_Toc351898549"/>
      <w:bookmarkStart w:id="678" w:name="_Toc450123136"/>
      <w:bookmarkStart w:id="679" w:name="_Toc260230304"/>
      <w:bookmarkStart w:id="680" w:name="_Toc510197476"/>
      <w:bookmarkStart w:id="681" w:name="_Toc436998790"/>
      <w:bookmarkStart w:id="682" w:name="_Toc245110742"/>
      <w:bookmarkStart w:id="683" w:name="_Toc342046318"/>
      <w:bookmarkStart w:id="684" w:name="_Toc436309949"/>
      <w:bookmarkStart w:id="685" w:name="_Toc458599280"/>
      <w:bookmarkStart w:id="686" w:name="_Toc255470269"/>
      <w:bookmarkStart w:id="687" w:name="_Toc305763058"/>
      <w:bookmarkStart w:id="688" w:name="_Toc340436797"/>
      <w:bookmarkStart w:id="689" w:name="_Toc187475844"/>
      <w:bookmarkStart w:id="690" w:name="_Toc215556194"/>
      <w:bookmarkStart w:id="691" w:name="_Toc338778044"/>
      <w:bookmarkStart w:id="692" w:name="_Toc255470046"/>
      <w:bookmarkStart w:id="693" w:name="_Toc371937196"/>
      <w:bookmarkStart w:id="694" w:name="_Toc350857431"/>
      <w:bookmarkStart w:id="695" w:name="_Toc453768102"/>
      <w:bookmarkStart w:id="696" w:name="_Toc219172341"/>
      <w:bookmarkStart w:id="697" w:name="_Toc436309597"/>
      <w:bookmarkStart w:id="698" w:name="_Toc388633679"/>
      <w:bookmarkStart w:id="699" w:name="_Toc260649032"/>
      <w:bookmarkStart w:id="700" w:name="_Toc460581182"/>
      <w:bookmarkStart w:id="701" w:name="_Toc510197614"/>
      <w:bookmarkStart w:id="702" w:name="_Toc260229977"/>
      <w:bookmarkStart w:id="703" w:name="_Toc215561212"/>
      <w:bookmarkStart w:id="704" w:name="_Toc206830025"/>
      <w:bookmarkStart w:id="705" w:name="_Toc249848954"/>
      <w:bookmarkStart w:id="706" w:name="_Toc248294425"/>
      <w:bookmarkStart w:id="707" w:name="_Toc208734412"/>
      <w:bookmarkStart w:id="708" w:name="_Toc306293168"/>
      <w:bookmarkStart w:id="709" w:name="_Toc476231303"/>
      <w:bookmarkStart w:id="710" w:name="_Toc274500900"/>
      <w:bookmarkStart w:id="711" w:name="_Toc270517146"/>
      <w:bookmarkStart w:id="712" w:name="_Toc222804528"/>
      <w:bookmarkStart w:id="713" w:name="_Toc504565804"/>
      <w:bookmarkStart w:id="714" w:name="_Toc214355675"/>
      <w:bookmarkStart w:id="715" w:name="_Toc340222907"/>
      <w:bookmarkStart w:id="716" w:name="_Toc477164664"/>
      <w:bookmarkStart w:id="717" w:name="_Toc449111930"/>
      <w:bookmarkStart w:id="718" w:name="_Toc195864499"/>
      <w:bookmarkStart w:id="719" w:name="_Toc257202837"/>
      <w:bookmarkStart w:id="720" w:name="_Toc450123370"/>
      <w:bookmarkStart w:id="721" w:name="_Toc452986504"/>
      <w:bookmarkStart w:id="722" w:name="_Toc368145488"/>
      <w:bookmarkStart w:id="723" w:name="_Toc389226399"/>
      <w:bookmarkStart w:id="724" w:name="_Toc445105539"/>
      <w:bookmarkStart w:id="725" w:name="_Toc209862334"/>
      <w:r>
        <w:rPr>
          <w:rFonts w:hint="eastAsia" w:hAnsi="宋体" w:cs="宋体"/>
          <w:b/>
          <w:color w:val="000000" w:themeColor="text1"/>
          <w:sz w:val="32"/>
          <w:szCs w:val="32"/>
          <w14:textFill>
            <w14:solidFill>
              <w14:schemeClr w14:val="tx1"/>
            </w14:solidFill>
          </w14:textFill>
        </w:rPr>
        <w:t>12. 暂停施工</w:t>
      </w:r>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p>
    <w:p w14:paraId="36B39429">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12.1 承包人暂停施工的责任</w:t>
      </w:r>
    </w:p>
    <w:p w14:paraId="50E993DB">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因下列暂停施工增加的费用和（或）工期延误由承包人承担：</w:t>
      </w:r>
    </w:p>
    <w:p w14:paraId="17677D08">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（1）承包人违约引起的暂停施工；</w:t>
      </w:r>
    </w:p>
    <w:p w14:paraId="6A11A642">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（2）由于承包人原因为工程合理施工和安全保障所必需的暂停施工；</w:t>
      </w:r>
    </w:p>
    <w:p w14:paraId="75DBE24F">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（3）承包人擅自暂停施工；</w:t>
      </w:r>
    </w:p>
    <w:p w14:paraId="5207B3F9">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（4）承包人其他原因引起的暂停施工；</w:t>
      </w:r>
    </w:p>
    <w:p w14:paraId="61CA7133">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（5）专用合同条款约定由承包人承担的其他暂停施工。</w:t>
      </w:r>
    </w:p>
    <w:p w14:paraId="482B3DD8">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12.2 发包人暂停施工的责任</w:t>
      </w:r>
    </w:p>
    <w:p w14:paraId="4669FB62">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由于发包人原因引起的暂停施工造成工期延误的，承包人有权要求发包人延长工期和(或)增加费用，并支付合理利润。</w:t>
      </w:r>
    </w:p>
    <w:p w14:paraId="0112207F">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属于下列任何一种情况引起的暂停施工，均为发包人的责任：</w:t>
      </w:r>
    </w:p>
    <w:p w14:paraId="6093861A">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(1)由于发包人违约引起的暂停施工；</w:t>
      </w:r>
    </w:p>
    <w:p w14:paraId="6794B8A1">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(2)由于不可抗力的自然或社会因素引起的暂停施工；</w:t>
      </w:r>
    </w:p>
    <w:p w14:paraId="0AD4C5E1">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(3)专用合同条款中约定的其它由于发包人原因引起的暂停施工。</w:t>
      </w:r>
    </w:p>
    <w:p w14:paraId="22D42284">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12.3 监理人暂停施工指示</w:t>
      </w:r>
    </w:p>
    <w:p w14:paraId="46DFB17B">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12.3.1 监理人认为有必要时，可向承包人作出暂停施工的指示，承包人应按监理人指示暂停施工。不论由于何种原因引起的暂停施工，暂停施工期间承包人应负责妥善保护工程并提供安全保障。</w:t>
      </w:r>
    </w:p>
    <w:p w14:paraId="5DE28A6E">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12.3.2 由于发包人的原因发生暂停施工的紧急情况，且监理人未及时下达暂停施工指示的，承包人可先暂停施工，并及时向监理人提出暂停施工的书面请求。监理人应在接到书面请求后的24 小时内予以答复，逾期未答复的，视为同意承包人的暂停施工请求。</w:t>
      </w:r>
    </w:p>
    <w:p w14:paraId="023B549D">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12.4 暂停施工后的复工</w:t>
      </w:r>
    </w:p>
    <w:p w14:paraId="0AE4297A">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12.4.1 暂停施工后，监理人应与发包人和承包人协商，采取有效措施积极消除暂停施工的影响。当工程具备复工条件时，监理人应立即向承包人发出复工通知。承包人收到复工通知后，应在监理人指定的期限内复工。</w:t>
      </w:r>
    </w:p>
    <w:p w14:paraId="51B44591">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12.4.2 承包人无故拖延和拒绝复工的，由此增加的费用和工期延误由承包人承担；因发包人原因无法按时复工的，承包人有权要求发包人延长工期和（或）增加费用，并支付合理利润。</w:t>
      </w:r>
    </w:p>
    <w:p w14:paraId="4B630C9C">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12.5 暂停施工持续56 天以上</w:t>
      </w:r>
    </w:p>
    <w:p w14:paraId="4F3A25F6">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12.5.1 监理人发出暂停施工指示后56 天内未向承包人发出复工通知，除了该项停工属于第12.1 款的情况外，承包人可向监理人提交书面通知，要求监理人在收到书面通知后28 天内准许已暂停施工的工程或其中一部分工程继续施工。如监理人逾期不予批准，则承包人可以通知监理人，将工程受影响的部分视为按第15.1（1）项的可取消工作。如暂停施工影响到整个工程，可视为发包人违约，应按第22.2 款的规定办理。</w:t>
      </w:r>
    </w:p>
    <w:p w14:paraId="45AF16FC">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12.5.2 由于承包人责任引起的暂停施工，如承包人在收到监理人暂停施工指示后56 天内不认真采取有效的复工措施，造成工期延误，可视为承包人违约，应按第22.1 款的规定办理。</w:t>
      </w:r>
    </w:p>
    <w:p w14:paraId="2FF46352">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726" w:name="_Toc245110743"/>
      <w:bookmarkStart w:id="727" w:name="_Toc510197615"/>
      <w:bookmarkStart w:id="728" w:name="_Toc255470270"/>
      <w:bookmarkStart w:id="729" w:name="_Toc460581183"/>
      <w:bookmarkStart w:id="730" w:name="_Toc351898550"/>
      <w:bookmarkStart w:id="731" w:name="_Toc340222908"/>
      <w:bookmarkStart w:id="732" w:name="_Toc260649033"/>
      <w:bookmarkStart w:id="733" w:name="_Toc510197477"/>
      <w:bookmarkStart w:id="734" w:name="_Toc248294426"/>
      <w:bookmarkStart w:id="735" w:name="_Toc215561213"/>
      <w:bookmarkStart w:id="736" w:name="_Toc255470047"/>
      <w:bookmarkStart w:id="737" w:name="_Toc3048"/>
      <w:bookmarkStart w:id="738" w:name="_Toc187475845"/>
      <w:bookmarkStart w:id="739" w:name="_Toc260230305"/>
      <w:bookmarkStart w:id="740" w:name="_Toc208734413"/>
      <w:bookmarkStart w:id="741" w:name="_Toc436309950"/>
      <w:bookmarkStart w:id="742" w:name="_Toc350857432"/>
      <w:bookmarkStart w:id="743" w:name="_Toc504565805"/>
      <w:bookmarkStart w:id="744" w:name="_Toc257202838"/>
      <w:bookmarkStart w:id="745" w:name="_Toc222804529"/>
      <w:bookmarkStart w:id="746" w:name="_Toc439772704"/>
      <w:bookmarkStart w:id="747" w:name="_Toc458599281"/>
      <w:bookmarkStart w:id="748" w:name="_Toc504565692"/>
      <w:bookmarkStart w:id="749" w:name="_Toc371937197"/>
      <w:bookmarkStart w:id="750" w:name="_Toc270517147"/>
      <w:bookmarkStart w:id="751" w:name="_Toc450123137"/>
      <w:bookmarkStart w:id="752" w:name="_Toc340436798"/>
      <w:bookmarkStart w:id="753" w:name="_Toc449111931"/>
      <w:bookmarkStart w:id="754" w:name="_Toc206830026"/>
      <w:bookmarkStart w:id="755" w:name="_Toc388633680"/>
      <w:bookmarkStart w:id="756" w:name="_Toc436309598"/>
      <w:bookmarkStart w:id="757" w:name="_Toc450123371"/>
      <w:bookmarkStart w:id="758" w:name="_Toc338778045"/>
      <w:bookmarkStart w:id="759" w:name="_Toc436998791"/>
      <w:bookmarkStart w:id="760" w:name="_Toc452986505"/>
      <w:bookmarkStart w:id="761" w:name="_Toc453768103"/>
      <w:bookmarkStart w:id="762" w:name="_Toc21494"/>
      <w:bookmarkStart w:id="763" w:name="_Toc368145489"/>
      <w:bookmarkStart w:id="764" w:name="_Toc342046319"/>
      <w:bookmarkStart w:id="765" w:name="_Toc306293169"/>
      <w:bookmarkStart w:id="766" w:name="_Toc215556195"/>
      <w:bookmarkStart w:id="767" w:name="_Toc255741934"/>
      <w:bookmarkStart w:id="768" w:name="_Toc195864500"/>
      <w:bookmarkStart w:id="769" w:name="_Toc227658503"/>
      <w:bookmarkStart w:id="770" w:name="_Toc187846005"/>
      <w:bookmarkStart w:id="771" w:name="_Toc209862335"/>
      <w:bookmarkStart w:id="772" w:name="_Toc274500901"/>
      <w:bookmarkStart w:id="773" w:name="_Toc249848955"/>
      <w:bookmarkStart w:id="774" w:name="_Toc219172342"/>
      <w:bookmarkStart w:id="775" w:name="_Toc436133241"/>
      <w:bookmarkStart w:id="776" w:name="_Toc254774414"/>
      <w:bookmarkStart w:id="777" w:name="_Toc260229978"/>
      <w:bookmarkStart w:id="778" w:name="_Toc215805056"/>
      <w:bookmarkStart w:id="779" w:name="_Toc214355676"/>
      <w:bookmarkStart w:id="780" w:name="_Toc445105540"/>
      <w:bookmarkStart w:id="781" w:name="_Toc305763059"/>
      <w:bookmarkStart w:id="782" w:name="_Toc476231304"/>
      <w:bookmarkStart w:id="783" w:name="_Toc477164665"/>
      <w:bookmarkStart w:id="784" w:name="_Toc389226400"/>
      <w:bookmarkStart w:id="785" w:name="_Toc211175337"/>
      <w:r>
        <w:rPr>
          <w:rFonts w:hint="eastAsia" w:hAnsi="宋体" w:cs="宋体"/>
          <w:b/>
          <w:color w:val="000000" w:themeColor="text1"/>
          <w:sz w:val="32"/>
          <w:szCs w:val="32"/>
          <w14:textFill>
            <w14:solidFill>
              <w14:schemeClr w14:val="tx1"/>
            </w14:solidFill>
          </w14:textFill>
        </w:rPr>
        <w:t>13. 工程质量</w:t>
      </w:r>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p>
    <w:p w14:paraId="46BF053F">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13.1 工程质量要求</w:t>
      </w:r>
    </w:p>
    <w:p w14:paraId="663B3994">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13.1.1 工程质量验收按合同约定验收标准执行。</w:t>
      </w:r>
    </w:p>
    <w:p w14:paraId="67A034AB">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13.1.2 因承包人原因造成工程质量达不到合同约定验收标准的，监理人有权要求承包人返工直至符合合同要求为止，由此造成的费用增加和（或）工期延误由承包人承担。</w:t>
      </w:r>
    </w:p>
    <w:p w14:paraId="1B100FA8">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13.1.3 因发包人原因造成工程质量达不到合同约定验收标准的，发包人应承担由于承包人返工造成的费用增加和（或）工期延误，并支付承包人合理利润。</w:t>
      </w:r>
    </w:p>
    <w:p w14:paraId="4F305E95">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13.2 承包人的质量管理</w:t>
      </w:r>
    </w:p>
    <w:p w14:paraId="28D817B8">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13.2.1 承包人应在施工场地设置专门的质量检查机构，配备专职质量检查人员，建立完善的质量检查制度。承包人应按技术标准和要求(合同技术条款)约定的内容和期限，编制工程质量保证措施文件，包括质量检查机构的组织和岗位责任、质量检查人员的组成、质量检查程序和实施细则等，提交监理人审批。监理人应在技术标准和要求(合同技术条款)约定的期限内批复承包人。</w:t>
      </w:r>
    </w:p>
    <w:p w14:paraId="26E91972">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13.2.2 承包人应加强对施工人员的质量教育和技术培训，定期考核施工人员的劳动技能，严格执行规范和操作规程。</w:t>
      </w:r>
    </w:p>
    <w:p w14:paraId="63C1622B">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13.3 承包人的质量检查</w:t>
      </w:r>
    </w:p>
    <w:p w14:paraId="1C3A2454">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承包人应按合同约定对材料、工程设备以及工程的所有部位及其施工工艺进行全过程的质量检查和检验，并作详细记录，编制工程质量报表，报送监理人审查。</w:t>
      </w:r>
    </w:p>
    <w:p w14:paraId="69FD0524">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13.4 监理人的质量检查</w:t>
      </w:r>
    </w:p>
    <w:p w14:paraId="0A70CC69">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监理人有权对工程的所有部位及其施工工艺、材料和工程设备进行检查和检验。承包人应为监理人的检查和检验提供方便，包括监理人到施工场地，或制造、加工地点，或合同约定的其他地方进行察看和查阅施工原始记录。承包人还应按监理人指示，进行施工场地取样试验、工程复核测量和设备性能检测，提供试验样品、提交试验报告和测量成果以及监理人要求进行的其他工作。监理人的检查和检验，不免除承包人按合同约定应负的责任。</w:t>
      </w:r>
    </w:p>
    <w:p w14:paraId="700FCFAE">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13.5 工程隐蔽部位覆盖前的检查</w:t>
      </w:r>
    </w:p>
    <w:p w14:paraId="4BC69211">
      <w:pPr>
        <w:pStyle w:val="191"/>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13.5.1 通知监理人检查</w:t>
      </w:r>
    </w:p>
    <w:p w14:paraId="36184EC8">
      <w:pPr>
        <w:pStyle w:val="191"/>
        <w:ind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经承包人自检确认的工程隐蔽部位具备覆盖条件后，承包人应通知监理人在约定的期限内检查。承包人的通知应附有自检记录和必要的检查资料。监理人应按时到场检查。经监理人检查确认质量符合隐蔽要求，并在检查记录上签字后，承包人才能进行覆盖。监理人检查确认质量不合格的，承包人应在监理人指示的时间内修整返工后，由监理人重新检查。</w:t>
      </w:r>
    </w:p>
    <w:p w14:paraId="462B27CA">
      <w:pPr>
        <w:pStyle w:val="191"/>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13.5.2 监理人未到场检查</w:t>
      </w:r>
    </w:p>
    <w:p w14:paraId="3876DAAD">
      <w:pPr>
        <w:pStyle w:val="191"/>
        <w:ind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监理人未按第13.5.1 项约定的时间进行检查的，除监理人另有指示外，承包人可自行完成覆盖工作，并作相应记录报送监理人，监理人应签字确认。监理人事后对检查记录有疑问的，可按第13.5.3 项的约定重新检查。</w:t>
      </w:r>
    </w:p>
    <w:p w14:paraId="58B86D06">
      <w:pPr>
        <w:pStyle w:val="191"/>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13.5.3 监理人重新检查</w:t>
      </w:r>
    </w:p>
    <w:p w14:paraId="23DE5AFB">
      <w:pPr>
        <w:pStyle w:val="191"/>
        <w:ind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承包人按第13.5.1 项或第13.5.2 项覆盖工程隐蔽部位后，监理人对质量有疑问的，可要求承包人对已覆盖的部位进行钻孔探测或揭开重新检验，承包人应遵照执行，并在检验后重新覆盖恢复原状。经检验证明工程质量符合合同要求的，由发包人承担由此增加的费用和（或）工期延误，并支付承包人合理利润；经检验证明工程质量不符合合同要求的，由此增加的费用和（或）工期延误由承包人承担。</w:t>
      </w:r>
    </w:p>
    <w:p w14:paraId="04AC31BC">
      <w:pPr>
        <w:pStyle w:val="191"/>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13.5.4 承包人私自覆盖</w:t>
      </w:r>
    </w:p>
    <w:p w14:paraId="5A55A2C5">
      <w:pPr>
        <w:pStyle w:val="175"/>
        <w:spacing w:after="0" w:line="400" w:lineRule="atLeast"/>
        <w:ind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承包人未通知监理人到场检查，私自将工程隐蔽部位覆盖的，监理人有权指示承包人钻孔探测或揭开检查，由此增加的费用和（或）工期延误由承包人承担。</w:t>
      </w:r>
    </w:p>
    <w:p w14:paraId="304E80C2">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13.6 清除不合格工程</w:t>
      </w:r>
    </w:p>
    <w:p w14:paraId="5D0967D0">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13.6.1 承包人使用不合格材料、工程设备，或采用不适当的施工工艺，或施工不当，造成工程不合格的，监理人可以随时发出指示，要求承包人立即采取措施进行补救，直至达到合同要求的质量标准，由此增加的费用和（或）工期延误由承包人承担。</w:t>
      </w:r>
    </w:p>
    <w:p w14:paraId="58FC6687">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13.6.2 由于发包人提供的材料或工程设备不合格造成的工程不合格，需要承包人采取措施补救的，发包人应承担由此增加的费用和（或）工期延误，并支付承包人合理利润。</w:t>
      </w:r>
    </w:p>
    <w:p w14:paraId="7CE70720">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13.7质量评定</w:t>
      </w:r>
    </w:p>
    <w:p w14:paraId="60F8C76D">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13.7.1  发包人应组织承包人进行工程项目划分，并确定单位工程、主要分部工程、重要隐蔽单元工程和关键部位单元工程。</w:t>
      </w:r>
    </w:p>
    <w:p w14:paraId="09A57999">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13.7.2  工程实施过程中，单位工程、主要分部工程、重要隐蔽单元工程和关键部位单元工程的项目划分需要调整时，承包人应报发包人确认。</w:t>
      </w:r>
    </w:p>
    <w:p w14:paraId="4D47A6EC">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13.7.3  承包人应在单元(工序)工程质量自评合格后，报监理人核定质量等级并签证认可。</w:t>
      </w:r>
    </w:p>
    <w:p w14:paraId="6C1F7A98">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13.7.4  除专用合同条款另有约定外，承包人应在重要隐蔽单元工程和关键部位单元工程质量自评合格以及监理人抽检后，由监理人组织承包人等单位组成的联合小组，共同检查核定其质量等级并填写签证表。发包人按有关规定完成质量结论报工程质量监督机构核备手续。</w:t>
      </w:r>
    </w:p>
    <w:p w14:paraId="2D8BAB2F">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13.7.5  承包人应在分部工程质量自评合格后，报监理人复核和发包人认定。发包人负责按有关规定完成分部工程质量结论报工程质量监督机构核备(核定)手续。</w:t>
      </w:r>
    </w:p>
    <w:p w14:paraId="148CC142">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13.7.6  承包人应在单位工程质量自评合格后，报监理人复核和发包人认定。发包人负责按有关规定完成单位工程质量结论报工程质量监督机构核定手续。</w:t>
      </w:r>
    </w:p>
    <w:p w14:paraId="5E0B3910">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13.7.7  除专用合同条款另有约定外，工程质量等级分为合格和优良，应分别达到约定的标准。</w:t>
      </w:r>
    </w:p>
    <w:p w14:paraId="04570277">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13.8质量事故处理</w:t>
      </w:r>
    </w:p>
    <w:p w14:paraId="26555488">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13.8.1  发生质量事故时，承包人应及时向发包人和监理人报告。</w:t>
      </w:r>
    </w:p>
    <w:p w14:paraId="4876A9F0">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13.8.2  质量事故调查处理由发包人按相关规定履行手续，承包人应配合。</w:t>
      </w:r>
    </w:p>
    <w:p w14:paraId="4EE06E23">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13.8.3  承包人应对质量缺陷进行备案。发包人委托监理人对质量缺陷备案情况进行监督检查并履行相关手续。</w:t>
      </w:r>
    </w:p>
    <w:p w14:paraId="48B7F668">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13.8.4除专用合同条款另有约定外，工程竣工验收时，发包人负责向竣工验收委员会汇报并提交历次质量缺陷处理的备案资料。</w:t>
      </w:r>
    </w:p>
    <w:p w14:paraId="0785891B">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786" w:name="_Toc254774415"/>
      <w:bookmarkStart w:id="787" w:name="_Toc255470048"/>
      <w:bookmarkStart w:id="788" w:name="_Toc371937198"/>
      <w:bookmarkStart w:id="789" w:name="_Toc255741935"/>
      <w:bookmarkStart w:id="790" w:name="_Toc436998792"/>
      <w:bookmarkStart w:id="791" w:name="_Toc274500902"/>
      <w:bookmarkStart w:id="792" w:name="_Toc270517148"/>
      <w:bookmarkStart w:id="793" w:name="_Toc450123372"/>
      <w:bookmarkStart w:id="794" w:name="_Toc388633681"/>
      <w:bookmarkStart w:id="795" w:name="_Toc187475846"/>
      <w:bookmarkStart w:id="796" w:name="_Toc342046320"/>
      <w:bookmarkStart w:id="797" w:name="_Toc208734414"/>
      <w:bookmarkStart w:id="798" w:name="_Toc211175338"/>
      <w:bookmarkStart w:id="799" w:name="_Toc445105541"/>
      <w:bookmarkStart w:id="800" w:name="_Toc436309599"/>
      <w:bookmarkStart w:id="801" w:name="_Toc340222909"/>
      <w:bookmarkStart w:id="802" w:name="_Toc245110744"/>
      <w:bookmarkStart w:id="803" w:name="_Toc450123138"/>
      <w:bookmarkStart w:id="804" w:name="_Toc439772705"/>
      <w:bookmarkStart w:id="805" w:name="_Toc219172343"/>
      <w:bookmarkStart w:id="806" w:name="_Toc249848956"/>
      <w:bookmarkStart w:id="807" w:name="_Toc260649034"/>
      <w:bookmarkStart w:id="808" w:name="_Toc1185"/>
      <w:bookmarkStart w:id="809" w:name="_Toc436133242"/>
      <w:bookmarkStart w:id="810" w:name="_Toc460581184"/>
      <w:bookmarkStart w:id="811" w:name="_Toc214355677"/>
      <w:bookmarkStart w:id="812" w:name="_Toc453768104"/>
      <w:bookmarkStart w:id="813" w:name="_Toc477164666"/>
      <w:bookmarkStart w:id="814" w:name="_Toc257202839"/>
      <w:bookmarkStart w:id="815" w:name="_Toc338778046"/>
      <w:bookmarkStart w:id="816" w:name="_Toc209862336"/>
      <w:bookmarkStart w:id="817" w:name="_Toc306293170"/>
      <w:bookmarkStart w:id="818" w:name="_Toc248294427"/>
      <w:bookmarkStart w:id="819" w:name="_Toc449111932"/>
      <w:bookmarkStart w:id="820" w:name="_Toc340436799"/>
      <w:bookmarkStart w:id="821" w:name="_Toc458599282"/>
      <w:bookmarkStart w:id="822" w:name="_Toc351898551"/>
      <w:bookmarkStart w:id="823" w:name="_Toc255470271"/>
      <w:bookmarkStart w:id="824" w:name="_Toc452986506"/>
      <w:bookmarkStart w:id="825" w:name="_Toc510197478"/>
      <w:bookmarkStart w:id="826" w:name="_Toc504565693"/>
      <w:bookmarkStart w:id="827" w:name="_Toc227658504"/>
      <w:bookmarkStart w:id="828" w:name="_Toc206830027"/>
      <w:bookmarkStart w:id="829" w:name="_Toc5914"/>
      <w:bookmarkStart w:id="830" w:name="_Toc510197616"/>
      <w:bookmarkStart w:id="831" w:name="_Toc215805057"/>
      <w:bookmarkStart w:id="832" w:name="_Toc389226401"/>
      <w:bookmarkStart w:id="833" w:name="_Toc368145490"/>
      <w:bookmarkStart w:id="834" w:name="_Toc305763060"/>
      <w:bookmarkStart w:id="835" w:name="_Toc260229979"/>
      <w:bookmarkStart w:id="836" w:name="_Toc222804530"/>
      <w:bookmarkStart w:id="837" w:name="_Toc187846006"/>
      <w:bookmarkStart w:id="838" w:name="_Toc476231305"/>
      <w:bookmarkStart w:id="839" w:name="_Toc436309951"/>
      <w:bookmarkStart w:id="840" w:name="_Toc504565806"/>
      <w:bookmarkStart w:id="841" w:name="_Toc350857433"/>
      <w:bookmarkStart w:id="842" w:name="_Toc215556196"/>
      <w:bookmarkStart w:id="843" w:name="_Toc260230306"/>
      <w:bookmarkStart w:id="844" w:name="_Toc215561214"/>
      <w:bookmarkStart w:id="845" w:name="_Toc195864501"/>
      <w:r>
        <w:rPr>
          <w:rFonts w:hint="eastAsia" w:hAnsi="宋体" w:cs="宋体"/>
          <w:b/>
          <w:color w:val="000000" w:themeColor="text1"/>
          <w:sz w:val="32"/>
          <w:szCs w:val="32"/>
          <w14:textFill>
            <w14:solidFill>
              <w14:schemeClr w14:val="tx1"/>
            </w14:solidFill>
          </w14:textFill>
        </w:rPr>
        <w:t>14. 试验和检验</w:t>
      </w:r>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p>
    <w:p w14:paraId="2B4199AE">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14.1 材料、工程设备和工程的试验和检验</w:t>
      </w:r>
    </w:p>
    <w:p w14:paraId="16BCAEFC">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14.1.1 承包人应按合同约定进行材料、工程设备和工程的试验和检验，并为监理人对上述材料、工程设备和工程的质量检查提供必要的试验资料和原始记录。按合同约定应由监理人与承包人共同进行试验和检验的，由承包人负责提供必要的试验资料和原始记录。</w:t>
      </w:r>
    </w:p>
    <w:p w14:paraId="04ABDBE1">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14.1.2 监理人未按合同约定派员参加试验和检验的，除监理人另有指示外，承包人可自行试验和检验，并应立即将试验和检验结果报送监理人，监理人应签字确认。</w:t>
      </w:r>
    </w:p>
    <w:p w14:paraId="4C65F6EF">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14.1.3 监理人对承包人的试验和检验结果有疑问的，或为查清承包人试验和检验成果的可靠性要求承包人重新试验和检验的，可按合同约定由监理人与承包人共同进行。重新试验和检验的结果证明该项材料、工程设备或工程的质量不符合合同要求的，由此增加的费用和（或）工期延误由承包人承担；重新试验和检验结果证明该项材料、工程设备和工程符合合同要求，由发包人承担由此增加的费用和（或）工期延误，并支付承包人合理利润。</w:t>
      </w:r>
    </w:p>
    <w:p w14:paraId="13315869">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14.1.4 承包人应按相关规定和标准对水泥、钢材等原材料与中间产品质量进行检验，并报监理人复核。</w:t>
      </w:r>
    </w:p>
    <w:p w14:paraId="4094C9A3">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14.1.5  除专用合同条款另有约定外，水工金属结构、启闭机及机电产品进场后，监理人组织发包人按合同进行交货检查和验收。安装前，承包人应检查产品是否有出厂合格证、设备安装说明书及有关技术文件，对在运输和存放过程中发生的变形、受潮、损坏等问题应作好记录，并进行妥善处理。</w:t>
      </w:r>
    </w:p>
    <w:p w14:paraId="0AEA6D29">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14.1.6  对专用合同条款约定的试块、试件及有关材料，监理人实行见证取样。见证取样资料由承包人制备，记录应真实齐全，监理人、承包人等参与见证取样人员均应在相关文件上签字。</w:t>
      </w:r>
    </w:p>
    <w:p w14:paraId="04FC69E2">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14.2 现场材料试验</w:t>
      </w:r>
    </w:p>
    <w:p w14:paraId="4A3020C9">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14.2.1 承包人根据合同约定或监理人指示进行的现场材料试验，应由承包人提供试验场所、试验人员、试验设备器材以及其他必要的试验条件。</w:t>
      </w:r>
    </w:p>
    <w:p w14:paraId="67BB22A5">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14.2.2 监理人在必要时可以使用承包人的试验场所、试验设备器材以及其他试验条件，进行以工程质量检查为目的的复核性材料试验，承包人应予以协助。</w:t>
      </w:r>
    </w:p>
    <w:p w14:paraId="5BC9AAB2">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14.3 现场工艺试验</w:t>
      </w:r>
    </w:p>
    <w:p w14:paraId="2160F98F">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承包人应按合同约定或监理人指示进行现场工艺试验。对大型的现场工艺试验，监理人认为必要时，应由承包人根据监理人提出的工艺试验要求，编制工艺试验措施计划，报送监理人审批。</w:t>
      </w:r>
    </w:p>
    <w:p w14:paraId="7CA2DB1C">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846" w:name="_Toc187475847"/>
      <w:bookmarkStart w:id="847" w:name="_Toc436133243"/>
      <w:bookmarkStart w:id="848" w:name="_Toc222804531"/>
      <w:bookmarkStart w:id="849" w:name="_Toc274500903"/>
      <w:bookmarkStart w:id="850" w:name="_Toc248294428"/>
      <w:bookmarkStart w:id="851" w:name="_Toc219172344"/>
      <w:bookmarkStart w:id="852" w:name="_Toc255470049"/>
      <w:bookmarkStart w:id="853" w:name="_Toc245110745"/>
      <w:bookmarkStart w:id="854" w:name="_Toc254774416"/>
      <w:bookmarkStart w:id="855" w:name="_Toc227658505"/>
      <w:bookmarkStart w:id="856" w:name="_Toc195864502"/>
      <w:bookmarkStart w:id="857" w:name="_Toc436309952"/>
      <w:bookmarkStart w:id="858" w:name="_Toc371937199"/>
      <w:bookmarkStart w:id="859" w:name="_Toc368145491"/>
      <w:bookmarkStart w:id="860" w:name="_Toc255470272"/>
      <w:bookmarkStart w:id="861" w:name="_Toc351898552"/>
      <w:bookmarkStart w:id="862" w:name="_Toc453768105"/>
      <w:bookmarkStart w:id="863" w:name="_Toc439772706"/>
      <w:bookmarkStart w:id="864" w:name="_Toc342046321"/>
      <w:bookmarkStart w:id="865" w:name="_Toc510197617"/>
      <w:bookmarkStart w:id="866" w:name="_Toc449111933"/>
      <w:bookmarkStart w:id="867" w:name="_Toc255741936"/>
      <w:bookmarkStart w:id="868" w:name="_Toc306293171"/>
      <w:bookmarkStart w:id="869" w:name="_Toc476231306"/>
      <w:bookmarkStart w:id="870" w:name="_Toc260649035"/>
      <w:bookmarkStart w:id="871" w:name="_Toc450123139"/>
      <w:bookmarkStart w:id="872" w:name="_Toc215556197"/>
      <w:bookmarkStart w:id="873" w:name="_Toc214355678"/>
      <w:bookmarkStart w:id="874" w:name="_Toc338778047"/>
      <w:bookmarkStart w:id="875" w:name="_Toc458599283"/>
      <w:bookmarkStart w:id="876" w:name="_Toc215561215"/>
      <w:bookmarkStart w:id="877" w:name="_Toc445105542"/>
      <w:bookmarkStart w:id="878" w:name="_Toc436309600"/>
      <w:bookmarkStart w:id="879" w:name="_Toc260229980"/>
      <w:bookmarkStart w:id="880" w:name="_Toc215805058"/>
      <w:bookmarkStart w:id="881" w:name="_Toc452986507"/>
      <w:bookmarkStart w:id="882" w:name="_Toc450123373"/>
      <w:bookmarkStart w:id="883" w:name="_Toc389226402"/>
      <w:bookmarkStart w:id="884" w:name="_Toc1304"/>
      <w:bookmarkStart w:id="885" w:name="_Toc305763061"/>
      <w:bookmarkStart w:id="886" w:name="_Toc388633682"/>
      <w:bookmarkStart w:id="887" w:name="_Toc460581185"/>
      <w:bookmarkStart w:id="888" w:name="_Toc340222910"/>
      <w:bookmarkStart w:id="889" w:name="_Toc436998793"/>
      <w:bookmarkStart w:id="890" w:name="_Toc187846007"/>
      <w:bookmarkStart w:id="891" w:name="_Toc249848957"/>
      <w:bookmarkStart w:id="892" w:name="_Toc350857434"/>
      <w:bookmarkStart w:id="893" w:name="_Toc504565807"/>
      <w:bookmarkStart w:id="894" w:name="_Toc504565694"/>
      <w:bookmarkStart w:id="895" w:name="_Toc270517149"/>
      <w:bookmarkStart w:id="896" w:name="_Toc209862337"/>
      <w:bookmarkStart w:id="897" w:name="_Toc257202840"/>
      <w:bookmarkStart w:id="898" w:name="_Toc340436800"/>
      <w:bookmarkStart w:id="899" w:name="_Toc208734415"/>
      <w:bookmarkStart w:id="900" w:name="_Toc206830028"/>
      <w:bookmarkStart w:id="901" w:name="_Toc30928"/>
      <w:bookmarkStart w:id="902" w:name="_Toc477164667"/>
      <w:bookmarkStart w:id="903" w:name="_Toc211175339"/>
      <w:bookmarkStart w:id="904" w:name="_Toc260230307"/>
      <w:bookmarkStart w:id="905" w:name="_Toc510197479"/>
      <w:r>
        <w:rPr>
          <w:rFonts w:hint="eastAsia" w:hAnsi="宋体" w:cs="宋体"/>
          <w:b/>
          <w:color w:val="000000" w:themeColor="text1"/>
          <w:sz w:val="32"/>
          <w:szCs w:val="32"/>
          <w14:textFill>
            <w14:solidFill>
              <w14:schemeClr w14:val="tx1"/>
            </w14:solidFill>
          </w14:textFill>
        </w:rPr>
        <w:t>15. 变更</w:t>
      </w:r>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p>
    <w:p w14:paraId="058B911C">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15.1 变更的范围和内容</w:t>
      </w:r>
    </w:p>
    <w:p w14:paraId="021A61F3">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在履行合同中发生以下情形之一，应按照本款规定进行变更。</w:t>
      </w:r>
    </w:p>
    <w:p w14:paraId="785576A0">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（1）取消合同中任何一项工作，但被取消的工作不能转由发包人或其他人实施；</w:t>
      </w:r>
    </w:p>
    <w:p w14:paraId="567D7D1A">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（2）改变合同中任何一项工作的质量或其他特性；</w:t>
      </w:r>
    </w:p>
    <w:p w14:paraId="19A242DE">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（3）改变合同工程的基线、标高、位置或尺寸；</w:t>
      </w:r>
    </w:p>
    <w:p w14:paraId="385CCD1A">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（4）改变合同中任何一项工作的施工时间或改变已批准的施工工艺或顺序；</w:t>
      </w:r>
    </w:p>
    <w:p w14:paraId="71418AC2">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（5）为完成工程需要追加的额外工作；</w:t>
      </w:r>
    </w:p>
    <w:p w14:paraId="250219BB">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（6）增加或减少专用合同条款中约定的关键项目工程量超过其工程总量的一定数量百分比。</w:t>
      </w:r>
    </w:p>
    <w:p w14:paraId="4D6E36A0">
      <w:pPr>
        <w:pStyle w:val="87"/>
        <w:spacing w:line="400" w:lineRule="exact"/>
        <w:ind w:firstLine="540" w:firstLineChars="225"/>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上述第(1)～(6)目的变更内容引起工程施工组织和进度计划发生实质性变动和影响其原定的价格时，才予调整该项目的单价。第(6)目情形下单价调整方式在专用合同条款中约定。</w:t>
      </w:r>
    </w:p>
    <w:p w14:paraId="562C4984">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15.2 变更权</w:t>
      </w:r>
    </w:p>
    <w:p w14:paraId="734B4CDB">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在履行合同过程中，经发包人同意，监理人可按第15.3 款约定的变更程序向承包人作出变更指示，承包人应遵照执行。没有监理人的变更指示，承包人不得擅自变更。</w:t>
      </w:r>
    </w:p>
    <w:p w14:paraId="24580253">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15.3 变更程序</w:t>
      </w:r>
    </w:p>
    <w:p w14:paraId="5960B1B7">
      <w:pPr>
        <w:pStyle w:val="175"/>
        <w:spacing w:after="0" w:line="400" w:lineRule="exact"/>
        <w:ind w:right="100" w:firstLine="360"/>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15.3.1 变更的提出</w:t>
      </w:r>
    </w:p>
    <w:p w14:paraId="7C7CDD22">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（1）在合同履行过程中，可能发生第15.1 款约定情形的，监理人可向承包人发出变更意向书。变更意向书应说明变更的具体内容和发包人对变更的时间要求，并附必要的图纸和相关资料。变更意向书应要求承包人提交包括拟实施变更工作的计划、措施和竣工时间等内容的实施方案。发包人同意承包人根据变更意向书要求提交的变更实施方案的，由监理人按第15.3.3 项约定发出变更指示。</w:t>
      </w:r>
    </w:p>
    <w:p w14:paraId="3F5F8B71">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（2）在合同履行过程中，发生第15.1 款约定情形的，监理人应按照第15.3.3 项约定向承包人发出变更指示。</w:t>
      </w:r>
    </w:p>
    <w:p w14:paraId="6B10F4E0">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（3）承包人收到监理人按合同约定发出的图纸和文件，经检查认为其中存在第15.1 款约定情形的，可向监理人提出书面变更建议。变更建议应阐明要求变更的依据，并附必要的图纸和说明。监理人收到承包人书面建议后，应与发包人共同研究，确认存在变更的，应在收到承包人书面建议后的14 天内作出变更指示。经研究后不同意作为变更的，应由监理人书面答复承包人。</w:t>
      </w:r>
    </w:p>
    <w:p w14:paraId="1E39ACEE">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（4）若承包人收到监理人的变更意向书后认为难以实施此项变更，应立即通知监理人，说明原因并附详细依据。监理人与承包人和发包人协商后确定撤销、改变或不改变原变更意向书。</w:t>
      </w:r>
    </w:p>
    <w:p w14:paraId="354FF74A">
      <w:pPr>
        <w:pStyle w:val="175"/>
        <w:spacing w:after="0" w:line="400" w:lineRule="exact"/>
        <w:ind w:right="100" w:firstLine="360"/>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15.3.2 变更估价</w:t>
      </w:r>
    </w:p>
    <w:p w14:paraId="46048FC7">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（1）除专用合同条款对期限另有约定外，承包人应在收到变更指示或变更意向书后的14 天内，向监理人提交变更报价书，报价内容应根据第15.4 款约定的估价原则，详细开列变更工作的价格组成及其依据，并附必要的施工方法说明和有关图纸。</w:t>
      </w:r>
    </w:p>
    <w:p w14:paraId="341228A4">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（2）变更工作影响工期的，承包人应提出调整工期的具体细节。监理人认为有必要时，可要求承包人提交要求提前或延长工期的施工进度计划及相应施工措施等详细资料。</w:t>
      </w:r>
    </w:p>
    <w:p w14:paraId="7849ECAE">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（3）除专用合同条款对期限另有约定外，监理人收到承包人变更报价书后的14 天内，根据第15.4 款约定的估价原则，按照第3.5 款商定或确定变更价格。</w:t>
      </w:r>
    </w:p>
    <w:p w14:paraId="71CB5A95">
      <w:pPr>
        <w:pStyle w:val="175"/>
        <w:spacing w:after="0" w:line="400" w:lineRule="exact"/>
        <w:ind w:right="100" w:firstLine="360"/>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15.3.3 变更指示</w:t>
      </w:r>
    </w:p>
    <w:p w14:paraId="66950126">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（1）变更指示只能由监理人发出。</w:t>
      </w:r>
    </w:p>
    <w:p w14:paraId="59B9657F">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（2）变更指示应说明变更的目的、范围、变更内容以及变更的工程量及其进度和技术要求，并附有关图纸和文件。承包人收到变更指示后，应按变更指示进行变更工作。</w:t>
      </w:r>
    </w:p>
    <w:p w14:paraId="1B5309A5">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15.4 变更的估价原则</w:t>
      </w:r>
    </w:p>
    <w:p w14:paraId="364B0945">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除专用合同条款另有约定外，因变更引起的价格调整按照本款约定处理。</w:t>
      </w:r>
    </w:p>
    <w:p w14:paraId="50E6BFB0">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15.4.1工程量清单中有适用于变更工作的子目的，采用该子目的单价。</w:t>
      </w:r>
    </w:p>
    <w:p w14:paraId="5DCD8BA9">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15.4.2工程量清单中无适用于变更工作的子目，但有类似子目的，可在合理范围内参照类似子目的单价，由监理人按第3.5 款商定或确定变更工作的单价。</w:t>
      </w:r>
    </w:p>
    <w:p w14:paraId="62EAC047">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15.4.3工程量清单中无适用或类似子目的单价，可按照成本加利润的原则，由监理人按第3.5 款商定或确定变更工作的单价。</w:t>
      </w:r>
    </w:p>
    <w:p w14:paraId="6B16A685">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15.5 承包人的合理化建议</w:t>
      </w:r>
    </w:p>
    <w:p w14:paraId="66B26FFD">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15.5.1 在履行合同过程中，承包人对发包人提供的图纸、技术要求以及其他方面提出的合理化建议，均应以书面形式提交监理人。合理化建议书的内容应包括建议工作的详细说明、进度计划和效益以及与其他工作的协调等，并附必要的设计文件。监理人应与发包人协商是否采纳建议。建议被采纳并构成变更的，应按第15.3.3 项约定向承包人发出变更指示。</w:t>
      </w:r>
    </w:p>
    <w:p w14:paraId="74901B08">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15.5.2 承包人提出的合理化建议降低了合同价格、缩短了工期或者提高了工程经济效益的，发包人可按国家有关规定在专用合同条款中约定给予奖励。</w:t>
      </w:r>
    </w:p>
    <w:p w14:paraId="1D9E9FC5">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15.6 暂列金额</w:t>
      </w:r>
    </w:p>
    <w:p w14:paraId="7D340CCB">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暂列金额只能按照监理人的指示使用，并对合同价格进行相应调整。</w:t>
      </w:r>
    </w:p>
    <w:p w14:paraId="699BD626">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15.7 计日工</w:t>
      </w:r>
    </w:p>
    <w:p w14:paraId="0392913D">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15.7.1 发包人认为有必要时，由监理人通知承包人以计日工方式实施变更的零星工作。其价款按列入工程量清单中的计日工计价子目及其单价进行计算。</w:t>
      </w:r>
    </w:p>
    <w:p w14:paraId="57B41529">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15.7.2 采用计日工计价的任何一项变更工作，应从暂列金额中支付，承包人应在该项变更的实施过程中，每天提交以下报表和有关凭证报送监理人审批：</w:t>
      </w:r>
    </w:p>
    <w:p w14:paraId="2783B393">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（1）工作名称、内容和数量；</w:t>
      </w:r>
    </w:p>
    <w:p w14:paraId="5797AFD3">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（2）投入该工作所有人员的姓名、工种、级别和耗用工时；</w:t>
      </w:r>
    </w:p>
    <w:p w14:paraId="6549C78E">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（3）投入该工作的材料类别和数量；</w:t>
      </w:r>
    </w:p>
    <w:p w14:paraId="6E6A6E1B">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（4）投入该工作的施工设备型号、台数和耗用台时；</w:t>
      </w:r>
    </w:p>
    <w:p w14:paraId="19E964A0">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（5）监理人要求提交的其他资料和凭证。</w:t>
      </w:r>
    </w:p>
    <w:p w14:paraId="44E1B2DC">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15.7.3 计日工由承包人汇总后，按第17.3.2 项的约定列入进度付款申请单，由监理人复核并经发包人同意后列入进度付款。</w:t>
      </w:r>
    </w:p>
    <w:p w14:paraId="73709346">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15.8 暂估价</w:t>
      </w:r>
    </w:p>
    <w:p w14:paraId="5EA21711">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15.8.1 发包人在工程量清单中给定暂估价的材料、工程设备和专业工程属于依法必须招标的范围并达到规定的规模标准的，若承包人不具备承担暂估价项目的能力或具备承担暂估价项目的能力但明确不参与投标的，由发包人和承包人组织招标；若承包人具备承担暂估价项目的能力且明确参与投标的，由发包人组织招标。暂估价项目中标金额与工程量清单中所列金额差以及相应的税金等其它费用列入合同价格。必须招标的暂估价项目招标组织形式、发包人和承包人组织招标时双方的权利义务关系在专用合同条款中约定。</w:t>
      </w:r>
    </w:p>
    <w:p w14:paraId="366CC1FF">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15.8.2 发包人在工程量清单中给定暂估价的材料和工程设备不属于依法必须招标的范围或未达到规定的规模标准的，应由承包人按第5.1 款的约定提供。经监理人确认的材料、工程设备的价格与工程量清单中所列的暂估价的金额差以及相应的税金等其他费用列入合同价格。</w:t>
      </w:r>
    </w:p>
    <w:p w14:paraId="698EF5ED">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15.8.3 发包人在工程量清单中给定暂估价的专业工程不属于依法必须招标的范围或未达到规定的规模标准的，由监理人按照第15.4 款进行估价，但专用合同条款另有约定的除外。经估价的专业工程与工程量清单中所列的暂估价的金额差以及相应的税金等其他费用列入合同价格。</w:t>
      </w:r>
    </w:p>
    <w:p w14:paraId="412B9175">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906" w:name="_Toc388633683"/>
      <w:bookmarkStart w:id="907" w:name="_Toc340436801"/>
      <w:bookmarkStart w:id="908" w:name="_Toc504565808"/>
      <w:bookmarkStart w:id="909" w:name="_Toc13759"/>
      <w:bookmarkStart w:id="910" w:name="_Toc255470273"/>
      <w:bookmarkStart w:id="911" w:name="_Toc24701"/>
      <w:bookmarkStart w:id="912" w:name="_Toc305763062"/>
      <w:bookmarkStart w:id="913" w:name="_Toc368145492"/>
      <w:bookmarkStart w:id="914" w:name="_Toc445105543"/>
      <w:bookmarkStart w:id="915" w:name="_Toc219172345"/>
      <w:bookmarkStart w:id="916" w:name="_Toc260230308"/>
      <w:bookmarkStart w:id="917" w:name="_Toc452986508"/>
      <w:bookmarkStart w:id="918" w:name="_Toc215805059"/>
      <w:bookmarkStart w:id="919" w:name="_Toc255741937"/>
      <w:bookmarkStart w:id="920" w:name="_Toc255470050"/>
      <w:bookmarkStart w:id="921" w:name="_Toc510197480"/>
      <w:bookmarkStart w:id="922" w:name="_Toc477164668"/>
      <w:bookmarkStart w:id="923" w:name="_Toc436133244"/>
      <w:bookmarkStart w:id="924" w:name="_Toc436998794"/>
      <w:bookmarkStart w:id="925" w:name="_Toc227658506"/>
      <w:bookmarkStart w:id="926" w:name="_Toc351898553"/>
      <w:bookmarkStart w:id="927" w:name="_Toc436309953"/>
      <w:bookmarkStart w:id="928" w:name="_Toc214355679"/>
      <w:bookmarkStart w:id="929" w:name="_Toc206830029"/>
      <w:bookmarkStart w:id="930" w:name="_Toc209862338"/>
      <w:bookmarkStart w:id="931" w:name="_Toc260649036"/>
      <w:bookmarkStart w:id="932" w:name="_Toc248294429"/>
      <w:bookmarkStart w:id="933" w:name="_Toc450123374"/>
      <w:bookmarkStart w:id="934" w:name="_Toc371937200"/>
      <w:bookmarkStart w:id="935" w:name="_Toc249848958"/>
      <w:bookmarkStart w:id="936" w:name="_Toc436309601"/>
      <w:bookmarkStart w:id="937" w:name="_Toc449111934"/>
      <w:bookmarkStart w:id="938" w:name="_Toc510197618"/>
      <w:bookmarkStart w:id="939" w:name="_Toc458599284"/>
      <w:bookmarkStart w:id="940" w:name="_Toc439772707"/>
      <w:bookmarkStart w:id="941" w:name="_Toc460581186"/>
      <w:bookmarkStart w:id="942" w:name="_Toc338778048"/>
      <w:bookmarkStart w:id="943" w:name="_Toc340222911"/>
      <w:bookmarkStart w:id="944" w:name="_Toc389226403"/>
      <w:bookmarkStart w:id="945" w:name="_Toc260229981"/>
      <w:bookmarkStart w:id="946" w:name="_Toc504565695"/>
      <w:bookmarkStart w:id="947" w:name="_Toc195864503"/>
      <w:bookmarkStart w:id="948" w:name="_Toc453768106"/>
      <w:bookmarkStart w:id="949" w:name="_Toc306293172"/>
      <w:bookmarkStart w:id="950" w:name="_Toc254774417"/>
      <w:bookmarkStart w:id="951" w:name="_Toc342046322"/>
      <w:bookmarkStart w:id="952" w:name="_Toc187846008"/>
      <w:bookmarkStart w:id="953" w:name="_Toc222804532"/>
      <w:bookmarkStart w:id="954" w:name="_Toc211175340"/>
      <w:bookmarkStart w:id="955" w:name="_Toc215556198"/>
      <w:bookmarkStart w:id="956" w:name="_Toc215561216"/>
      <w:bookmarkStart w:id="957" w:name="_Toc274500904"/>
      <w:bookmarkStart w:id="958" w:name="_Toc245110746"/>
      <w:bookmarkStart w:id="959" w:name="_Toc450123140"/>
      <w:bookmarkStart w:id="960" w:name="_Toc350857435"/>
      <w:bookmarkStart w:id="961" w:name="_Toc476231307"/>
      <w:bookmarkStart w:id="962" w:name="_Toc270517150"/>
      <w:bookmarkStart w:id="963" w:name="_Toc187475848"/>
      <w:bookmarkStart w:id="964" w:name="_Toc257202841"/>
      <w:bookmarkStart w:id="965" w:name="_Toc208734416"/>
      <w:r>
        <w:rPr>
          <w:rFonts w:hint="eastAsia" w:hAnsi="宋体" w:cs="宋体"/>
          <w:b/>
          <w:color w:val="000000" w:themeColor="text1"/>
          <w:sz w:val="32"/>
          <w:szCs w:val="32"/>
          <w14:textFill>
            <w14:solidFill>
              <w14:schemeClr w14:val="tx1"/>
            </w14:solidFill>
          </w14:textFill>
        </w:rPr>
        <w:t>16. 价格调整</w:t>
      </w:r>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p>
    <w:p w14:paraId="71044D3D">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16.1 物价波动引起的价格调整</w:t>
      </w:r>
    </w:p>
    <w:p w14:paraId="13E56E2C">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由于物价波动原因引起合同价格需要调整的，其价格调整方式在专用合同条款中约定。</w:t>
      </w:r>
    </w:p>
    <w:p w14:paraId="6671D752">
      <w:pPr>
        <w:pStyle w:val="175"/>
        <w:spacing w:after="0" w:line="400" w:lineRule="exact"/>
        <w:ind w:right="100" w:firstLine="360"/>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16.1.1 采用价格指数调整价格差额</w:t>
      </w:r>
    </w:p>
    <w:p w14:paraId="4D79E5C3">
      <w:pPr>
        <w:pStyle w:val="175"/>
        <w:spacing w:after="0" w:line="400" w:lineRule="exact"/>
        <w:ind w:right="100" w:firstLine="360"/>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16.1.1.1 价格调整公式</w:t>
      </w:r>
    </w:p>
    <w:p w14:paraId="0FEA94B6">
      <w:pPr>
        <w:pStyle w:val="175"/>
        <w:spacing w:after="0" w:line="400" w:lineRule="exact"/>
        <w:ind w:right="100"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因人工、材料和设备等价格波动影响合同价格时，根据投标函附录中的价格指数和权重表约定的数据，按以下公式计算差额并调整合同价格。</w:t>
      </w:r>
    </w:p>
    <w:p w14:paraId="7D68D299">
      <w:pPr>
        <w:ind w:firstLine="630" w:firstLineChars="225"/>
        <w:rPr>
          <w:rFonts w:cs="宋体"/>
          <w:color w:val="000000" w:themeColor="text1"/>
          <w14:textFill>
            <w14:solidFill>
              <w14:schemeClr w14:val="tx1"/>
            </w14:solidFill>
          </w14:textFill>
        </w:rPr>
      </w:pPr>
      <w:r>
        <w:rPr>
          <w:rFonts w:hint="eastAsia" w:cs="宋体"/>
          <w:color w:val="000000" w:themeColor="text1"/>
          <w14:textFill>
            <w14:solidFill>
              <w14:schemeClr w14:val="tx1"/>
            </w14:solidFill>
          </w14:textFill>
        </w:rPr>
        <w:t>ΔP=P</w:t>
      </w:r>
      <w:r>
        <w:rPr>
          <w:rFonts w:hint="eastAsia" w:cs="宋体"/>
          <w:color w:val="000000" w:themeColor="text1"/>
          <w:vertAlign w:val="subscript"/>
          <w14:textFill>
            <w14:solidFill>
              <w14:schemeClr w14:val="tx1"/>
            </w14:solidFill>
          </w14:textFill>
        </w:rPr>
        <w:t>0</w:t>
      </w:r>
      <w:r>
        <w:rPr>
          <w:rFonts w:hint="eastAsia" w:cs="宋体"/>
          <w:color w:val="000000" w:themeColor="text1"/>
          <w14:textFill>
            <w14:solidFill>
              <w14:schemeClr w14:val="tx1"/>
            </w14:solidFill>
          </w14:textFill>
        </w:rPr>
        <w:t>[A+(B</w:t>
      </w:r>
      <w:r>
        <w:rPr>
          <w:rFonts w:hint="eastAsia" w:cs="宋体"/>
          <w:color w:val="000000" w:themeColor="text1"/>
          <w:vertAlign w:val="subscript"/>
          <w14:textFill>
            <w14:solidFill>
              <w14:schemeClr w14:val="tx1"/>
            </w14:solidFill>
          </w14:textFill>
        </w:rPr>
        <w:t>1</w:t>
      </w:r>
      <w:r>
        <w:rPr>
          <w:rFonts w:hint="eastAsia" w:cs="宋体"/>
          <w:color w:val="000000" w:themeColor="text1"/>
          <w14:textFill>
            <w14:solidFill>
              <w14:schemeClr w14:val="tx1"/>
            </w14:solidFill>
          </w14:textFill>
        </w:rPr>
        <w:t>×</w:t>
      </w:r>
      <w:r>
        <w:rPr>
          <w:rFonts w:hint="eastAsia" w:cs="宋体"/>
          <w:color w:val="000000" w:themeColor="text1"/>
          <w:position w:val="-24"/>
          <w14:textFill>
            <w14:solidFill>
              <w14:schemeClr w14:val="tx1"/>
            </w14:solidFill>
          </w14:textFill>
        </w:rPr>
        <w:object>
          <v:shape id="_x0000_i1025" o:spt="75" type="#_x0000_t75" style="height:31pt;width:169.95pt;" o:ole="t" filled="f" o:preferrelative="t" stroked="f" coordsize="21600,21600">
            <v:path/>
            <v:fill on="f" focussize="0,0"/>
            <v:stroke on="f" joinstyle="miter"/>
            <v:imagedata r:id="rId38" o:title=""/>
            <o:lock v:ext="edit" aspectratio="t"/>
            <w10:wrap type="none"/>
            <w10:anchorlock/>
          </v:shape>
          <o:OLEObject Type="Embed" ProgID="Equation.3" ShapeID="_x0000_i1025" DrawAspect="Content" ObjectID="_1468075725" r:id="rId37">
            <o:LockedField>false</o:LockedField>
          </o:OLEObject>
        </w:object>
      </w:r>
    </w:p>
    <w:p w14:paraId="328F7484">
      <w:pPr>
        <w:pStyle w:val="191"/>
        <w:spacing w:line="400" w:lineRule="exact"/>
        <w:ind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式中：△P ——需调整的价格差额；</w:t>
      </w:r>
    </w:p>
    <w:p w14:paraId="325FEE9E">
      <w:pPr>
        <w:pStyle w:val="87"/>
        <w:spacing w:line="400" w:lineRule="exact"/>
        <w:ind w:firstLine="361"/>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P0 ——第17.3.3 项、第17.5.2 项和第17.6.2 项约定的付款证书中承包人应得到的已完成工程量的金额。此项金额应不包括价格调整、不计质量保证金的扣留和支付、预付款的支付和扣回。第15 条约定的变更及其他金额已按现行价格计价的，也不计在内；</w:t>
      </w:r>
    </w:p>
    <w:p w14:paraId="45D8C55B">
      <w:pPr>
        <w:pStyle w:val="87"/>
        <w:spacing w:line="400" w:lineRule="exact"/>
        <w:ind w:right="1520" w:firstLine="1080" w:firstLineChars="450"/>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 xml:space="preserve"> A ——定值权重(即不调部分的权重)；</w:t>
      </w:r>
    </w:p>
    <w:p w14:paraId="5A40A27E">
      <w:pPr>
        <w:pStyle w:val="87"/>
        <w:spacing w:line="400" w:lineRule="exact"/>
        <w:ind w:right="-90" w:firstLine="1080" w:firstLineChars="450"/>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 xml:space="preserve"> B</w:t>
      </w:r>
      <w:r>
        <w:rPr>
          <w:rFonts w:hint="eastAsia" w:hAnsi="宋体"/>
          <w:color w:val="000000" w:themeColor="text1"/>
          <w:vertAlign w:val="subscript"/>
          <w14:textFill>
            <w14:solidFill>
              <w14:schemeClr w14:val="tx1"/>
            </w14:solidFill>
          </w14:textFill>
        </w:rPr>
        <w:t>1</w:t>
      </w:r>
      <w:r>
        <w:rPr>
          <w:rFonts w:hint="eastAsia" w:hAnsi="宋体"/>
          <w:color w:val="000000" w:themeColor="text1"/>
          <w14:textFill>
            <w14:solidFill>
              <w14:schemeClr w14:val="tx1"/>
            </w14:solidFill>
          </w14:textFill>
        </w:rPr>
        <w:t>； B</w:t>
      </w:r>
      <w:r>
        <w:rPr>
          <w:rFonts w:hint="eastAsia" w:hAnsi="宋体"/>
          <w:color w:val="000000" w:themeColor="text1"/>
          <w:vertAlign w:val="subscript"/>
          <w14:textFill>
            <w14:solidFill>
              <w14:schemeClr w14:val="tx1"/>
            </w14:solidFill>
          </w14:textFill>
        </w:rPr>
        <w:t>2</w:t>
      </w:r>
      <w:r>
        <w:rPr>
          <w:rFonts w:hint="eastAsia" w:hAnsi="宋体"/>
          <w:color w:val="000000" w:themeColor="text1"/>
          <w14:textFill>
            <w14:solidFill>
              <w14:schemeClr w14:val="tx1"/>
            </w14:solidFill>
          </w14:textFill>
        </w:rPr>
        <w:t>；……Bn ——各可调因子的变值权重(即可调部分的权重)为各可调因子在投标函投标总报价中所占的比例；</w:t>
      </w:r>
    </w:p>
    <w:p w14:paraId="15493270">
      <w:pPr>
        <w:pStyle w:val="87"/>
        <w:spacing w:line="400" w:lineRule="exact"/>
        <w:ind w:right="-90" w:firstLine="1080" w:firstLineChars="450"/>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F</w:t>
      </w:r>
      <w:r>
        <w:rPr>
          <w:rFonts w:hint="eastAsia" w:hAnsi="宋体"/>
          <w:color w:val="000000" w:themeColor="text1"/>
          <w:vertAlign w:val="subscript"/>
          <w14:textFill>
            <w14:solidFill>
              <w14:schemeClr w14:val="tx1"/>
            </w14:solidFill>
          </w14:textFill>
        </w:rPr>
        <w:t>t1</w:t>
      </w:r>
      <w:r>
        <w:rPr>
          <w:rFonts w:hint="eastAsia" w:hAnsi="宋体"/>
          <w:color w:val="000000" w:themeColor="text1"/>
          <w14:textFill>
            <w14:solidFill>
              <w14:schemeClr w14:val="tx1"/>
            </w14:solidFill>
          </w14:textFill>
        </w:rPr>
        <w:t>；F</w:t>
      </w:r>
      <w:r>
        <w:rPr>
          <w:rFonts w:hint="eastAsia" w:hAnsi="宋体"/>
          <w:color w:val="000000" w:themeColor="text1"/>
          <w:vertAlign w:val="subscript"/>
          <w14:textFill>
            <w14:solidFill>
              <w14:schemeClr w14:val="tx1"/>
            </w14:solidFill>
          </w14:textFill>
        </w:rPr>
        <w:t>t2</w:t>
      </w:r>
      <w:r>
        <w:rPr>
          <w:rFonts w:hint="eastAsia" w:hAnsi="宋体"/>
          <w:color w:val="000000" w:themeColor="text1"/>
          <w14:textFill>
            <w14:solidFill>
              <w14:schemeClr w14:val="tx1"/>
            </w14:solidFill>
          </w14:textFill>
        </w:rPr>
        <w:t xml:space="preserve"> ……F</w:t>
      </w:r>
      <w:r>
        <w:rPr>
          <w:rFonts w:hint="eastAsia" w:hAnsi="宋体"/>
          <w:color w:val="000000" w:themeColor="text1"/>
          <w:vertAlign w:val="subscript"/>
          <w14:textFill>
            <w14:solidFill>
              <w14:schemeClr w14:val="tx1"/>
            </w14:solidFill>
          </w14:textFill>
        </w:rPr>
        <w:t>tn</w:t>
      </w:r>
      <w:r>
        <w:rPr>
          <w:rFonts w:hint="eastAsia" w:hAnsi="宋体"/>
          <w:color w:val="000000" w:themeColor="text1"/>
          <w14:textFill>
            <w14:solidFill>
              <w14:schemeClr w14:val="tx1"/>
            </w14:solidFill>
          </w14:textFill>
        </w:rPr>
        <w:t xml:space="preserve"> ——各可调因子的现行价格指数，指第17.3.3 项、第17.5.2 项和第17.6.2 项约定的付款证书相关周期最后一天的前42 天的各可调因子的价格指数；</w:t>
      </w:r>
    </w:p>
    <w:p w14:paraId="5921FD7D">
      <w:pPr>
        <w:pStyle w:val="87"/>
        <w:spacing w:line="400" w:lineRule="exact"/>
        <w:ind w:right="-90" w:firstLine="1080" w:firstLineChars="450"/>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F</w:t>
      </w:r>
      <w:r>
        <w:rPr>
          <w:rFonts w:hint="eastAsia" w:hAnsi="宋体"/>
          <w:color w:val="000000" w:themeColor="text1"/>
          <w:vertAlign w:val="subscript"/>
          <w14:textFill>
            <w14:solidFill>
              <w14:schemeClr w14:val="tx1"/>
            </w14:solidFill>
          </w14:textFill>
        </w:rPr>
        <w:t>o1</w:t>
      </w:r>
      <w:r>
        <w:rPr>
          <w:rFonts w:hint="eastAsia" w:hAnsi="宋体"/>
          <w:color w:val="000000" w:themeColor="text1"/>
          <w14:textFill>
            <w14:solidFill>
              <w14:schemeClr w14:val="tx1"/>
            </w14:solidFill>
          </w14:textFill>
        </w:rPr>
        <w:t>； F</w:t>
      </w:r>
      <w:r>
        <w:rPr>
          <w:rFonts w:hint="eastAsia" w:hAnsi="宋体"/>
          <w:color w:val="000000" w:themeColor="text1"/>
          <w:vertAlign w:val="subscript"/>
          <w14:textFill>
            <w14:solidFill>
              <w14:schemeClr w14:val="tx1"/>
            </w14:solidFill>
          </w14:textFill>
        </w:rPr>
        <w:t>o2</w:t>
      </w:r>
      <w:r>
        <w:rPr>
          <w:rFonts w:hint="eastAsia" w:hAnsi="宋体"/>
          <w:color w:val="000000" w:themeColor="text1"/>
          <w14:textFill>
            <w14:solidFill>
              <w14:schemeClr w14:val="tx1"/>
            </w14:solidFill>
          </w14:textFill>
        </w:rPr>
        <w:t>；……F</w:t>
      </w:r>
      <w:r>
        <w:rPr>
          <w:rFonts w:hint="eastAsia" w:hAnsi="宋体"/>
          <w:color w:val="000000" w:themeColor="text1"/>
          <w:vertAlign w:val="subscript"/>
          <w14:textFill>
            <w14:solidFill>
              <w14:schemeClr w14:val="tx1"/>
            </w14:solidFill>
          </w14:textFill>
        </w:rPr>
        <w:t>on</w:t>
      </w:r>
      <w:r>
        <w:rPr>
          <w:rFonts w:hint="eastAsia" w:hAnsi="宋体"/>
          <w:color w:val="000000" w:themeColor="text1"/>
          <w14:textFill>
            <w14:solidFill>
              <w14:schemeClr w14:val="tx1"/>
            </w14:solidFill>
          </w14:textFill>
        </w:rPr>
        <w:t xml:space="preserve"> ——各可调因子的基本价格指数，指基准日期的各可调因子的价格指数。</w:t>
      </w:r>
    </w:p>
    <w:p w14:paraId="24215FFF">
      <w:pPr>
        <w:pStyle w:val="191"/>
        <w:spacing w:line="400" w:lineRule="exact"/>
        <w:ind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以上价格调整公式中的各可调因子、定值和变值权重，以及基本价格指数及其来源在投标函附录价格指数和权重表中约定。价格指数应首先采用有关部门提供的价格指数，缺乏上述价格指数时，可采用有关部门提供的价格代替。</w:t>
      </w:r>
    </w:p>
    <w:p w14:paraId="7EFFDA0A">
      <w:pPr>
        <w:pStyle w:val="191"/>
        <w:spacing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16.1.1.2 暂时确定调整差额</w:t>
      </w:r>
    </w:p>
    <w:p w14:paraId="0909FB01">
      <w:pPr>
        <w:pStyle w:val="191"/>
        <w:spacing w:line="400" w:lineRule="exact"/>
        <w:ind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在计算调整差额时得不到现行价格指数的，可暂用上一次价格指数计算，并在以后的付款中再按实际价格指数进行调整。</w:t>
      </w:r>
    </w:p>
    <w:p w14:paraId="14FA6343">
      <w:pPr>
        <w:pStyle w:val="191"/>
        <w:spacing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16.1.1.3 权重的调整</w:t>
      </w:r>
    </w:p>
    <w:p w14:paraId="65868CAE">
      <w:pPr>
        <w:pStyle w:val="191"/>
        <w:spacing w:line="400" w:lineRule="exact"/>
        <w:ind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按第15.1 款约定的变更导致原定合同中的权重不合理时，由监理人与承包人和发包人协商后进行调整。</w:t>
      </w:r>
    </w:p>
    <w:p w14:paraId="256867E5">
      <w:pPr>
        <w:pStyle w:val="191"/>
        <w:spacing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16.1.1.4 承包人工期延误后的价格调整</w:t>
      </w:r>
    </w:p>
    <w:p w14:paraId="0AEDA402">
      <w:pPr>
        <w:pStyle w:val="191"/>
        <w:spacing w:line="400" w:lineRule="exact"/>
        <w:ind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由于承包人原因未在约定的工期内竣工的，则对原约定竣工日期后继续施工的工程，在使用第16.1.1.1 目价格调整公式时，应采用原约定竣工日期与实际竣工日期的两个价格指数中较低的一个作为现行价格指数。</w:t>
      </w:r>
    </w:p>
    <w:p w14:paraId="244345A5">
      <w:pPr>
        <w:pStyle w:val="191"/>
        <w:spacing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 xml:space="preserve">16.1.2 采用造价信息调整价格差额 </w:t>
      </w:r>
    </w:p>
    <w:p w14:paraId="3876DA05">
      <w:pPr>
        <w:pStyle w:val="175"/>
        <w:spacing w:after="0" w:line="400" w:lineRule="exact"/>
        <w:ind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施工期内，因人工、材料、设备和机械台班价格波动影响合同价格时，人工、机械使用费按照国家或省(自治区、直辖市)建设行政管理部门、行业建设管理部门或其授权的工程造价管理机构发布的人工成本信息、机械台班单价或机械使用费系数进行调整；需要进行价格调整的材料，其单价和采购数应由监理人复核，监理人确认需调整的材料单价及数量，作为调整工程合同价格差额的依据。</w:t>
      </w:r>
    </w:p>
    <w:p w14:paraId="0B2F22F8">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工程造价信息的来源以及价格调整的项目和系数在专用合同条款中约定。</w:t>
      </w:r>
    </w:p>
    <w:p w14:paraId="5B13EF2A">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16.2 法律变化引起的价格调整</w:t>
      </w:r>
    </w:p>
    <w:p w14:paraId="15A0C6FC">
      <w:pPr>
        <w:pStyle w:val="191"/>
        <w:spacing w:line="400" w:lineRule="exact"/>
        <w:ind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在基准日后，因法律变化导致承包人在合同履行中所需要的工程费用发生除第16.1 款约定以外的增减时，监理人应根据法律、国家或省、自治区、直辖市有关部门的规定，按第3.5 款商定或确定需调整的合同价款。</w:t>
      </w:r>
    </w:p>
    <w:p w14:paraId="20572C50">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966" w:name="_Toc15200"/>
      <w:bookmarkStart w:id="967" w:name="_Toc439772708"/>
      <w:bookmarkStart w:id="968" w:name="_Toc436309602"/>
      <w:bookmarkStart w:id="969" w:name="_Toc255470051"/>
      <w:bookmarkStart w:id="970" w:name="_Toc208734417"/>
      <w:bookmarkStart w:id="971" w:name="_Toc477164669"/>
      <w:bookmarkStart w:id="972" w:name="_Toc510197481"/>
      <w:bookmarkStart w:id="973" w:name="_Toc338778049"/>
      <w:bookmarkStart w:id="974" w:name="_Toc254774418"/>
      <w:bookmarkStart w:id="975" w:name="_Toc222804533"/>
      <w:bookmarkStart w:id="976" w:name="_Toc371937201"/>
      <w:bookmarkStart w:id="977" w:name="_Toc206830030"/>
      <w:bookmarkStart w:id="978" w:name="_Toc460581187"/>
      <w:bookmarkStart w:id="979" w:name="_Toc211175341"/>
      <w:bookmarkStart w:id="980" w:name="_Toc306293173"/>
      <w:bookmarkStart w:id="981" w:name="_Toc436133245"/>
      <w:bookmarkStart w:id="982" w:name="_Toc215805060"/>
      <w:bookmarkStart w:id="983" w:name="_Toc504565809"/>
      <w:bookmarkStart w:id="984" w:name="_Toc274500905"/>
      <w:bookmarkStart w:id="985" w:name="_Toc453768107"/>
      <w:bookmarkStart w:id="986" w:name="_Toc227658507"/>
      <w:bookmarkStart w:id="987" w:name="_Toc214355680"/>
      <w:bookmarkStart w:id="988" w:name="_Toc388633684"/>
      <w:bookmarkStart w:id="989" w:name="_Toc21740"/>
      <w:bookmarkStart w:id="990" w:name="_Toc504565696"/>
      <w:bookmarkStart w:id="991" w:name="_Toc257202842"/>
      <w:bookmarkStart w:id="992" w:name="_Toc215561217"/>
      <w:bookmarkStart w:id="993" w:name="_Toc436998795"/>
      <w:bookmarkStart w:id="994" w:name="_Toc187475849"/>
      <w:bookmarkStart w:id="995" w:name="_Toc305763063"/>
      <w:bookmarkStart w:id="996" w:name="_Toc450123375"/>
      <w:bookmarkStart w:id="997" w:name="_Toc389226404"/>
      <w:bookmarkStart w:id="998" w:name="_Toc445105544"/>
      <w:bookmarkStart w:id="999" w:name="_Toc436309954"/>
      <w:bookmarkStart w:id="1000" w:name="_Toc452986509"/>
      <w:bookmarkStart w:id="1001" w:name="_Toc219172346"/>
      <w:bookmarkStart w:id="1002" w:name="_Toc510197619"/>
      <w:bookmarkStart w:id="1003" w:name="_Toc260230309"/>
      <w:bookmarkStart w:id="1004" w:name="_Toc270517151"/>
      <w:bookmarkStart w:id="1005" w:name="_Toc249848959"/>
      <w:bookmarkStart w:id="1006" w:name="_Toc450123141"/>
      <w:bookmarkStart w:id="1007" w:name="_Toc195864504"/>
      <w:bookmarkStart w:id="1008" w:name="_Toc350857436"/>
      <w:bookmarkStart w:id="1009" w:name="_Toc260229982"/>
      <w:bookmarkStart w:id="1010" w:name="_Toc342046323"/>
      <w:bookmarkStart w:id="1011" w:name="_Toc255470274"/>
      <w:bookmarkStart w:id="1012" w:name="_Toc260649037"/>
      <w:bookmarkStart w:id="1013" w:name="_Toc458599285"/>
      <w:bookmarkStart w:id="1014" w:name="_Toc476231308"/>
      <w:bookmarkStart w:id="1015" w:name="_Toc449111935"/>
      <w:bookmarkStart w:id="1016" w:name="_Toc340222912"/>
      <w:bookmarkStart w:id="1017" w:name="_Toc187846009"/>
      <w:bookmarkStart w:id="1018" w:name="_Toc245110747"/>
      <w:bookmarkStart w:id="1019" w:name="_Toc248294430"/>
      <w:bookmarkStart w:id="1020" w:name="_Toc368145493"/>
      <w:bookmarkStart w:id="1021" w:name="_Toc255741938"/>
      <w:bookmarkStart w:id="1022" w:name="_Toc215556199"/>
      <w:bookmarkStart w:id="1023" w:name="_Toc340436802"/>
      <w:bookmarkStart w:id="1024" w:name="_Toc351898554"/>
      <w:bookmarkStart w:id="1025" w:name="_Toc209862339"/>
      <w:r>
        <w:rPr>
          <w:rFonts w:hint="eastAsia" w:hAnsi="宋体" w:cs="宋体"/>
          <w:b/>
          <w:color w:val="000000" w:themeColor="text1"/>
          <w:sz w:val="32"/>
          <w:szCs w:val="32"/>
          <w14:textFill>
            <w14:solidFill>
              <w14:schemeClr w14:val="tx1"/>
            </w14:solidFill>
          </w14:textFill>
        </w:rPr>
        <w:t>17. 计量与支付</w:t>
      </w:r>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p>
    <w:p w14:paraId="76EFE63A">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17.1 计量</w:t>
      </w:r>
    </w:p>
    <w:p w14:paraId="28092EEF">
      <w:pPr>
        <w:pStyle w:val="177"/>
        <w:spacing w:line="400" w:lineRule="exact"/>
        <w:ind w:left="420" w:firstLine="44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17.1.1 计量单位</w:t>
      </w:r>
    </w:p>
    <w:p w14:paraId="7F2ADA33">
      <w:pPr>
        <w:pStyle w:val="177"/>
        <w:spacing w:line="400" w:lineRule="exact"/>
        <w:ind w:left="420" w:firstLine="44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计量采用国家法定的计量单位。</w:t>
      </w:r>
    </w:p>
    <w:p w14:paraId="540FD78B">
      <w:pPr>
        <w:pStyle w:val="191"/>
        <w:spacing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17.1.2 计量方法</w:t>
      </w:r>
    </w:p>
    <w:p w14:paraId="1F2B5DC7">
      <w:pPr>
        <w:pStyle w:val="191"/>
        <w:spacing w:line="400" w:lineRule="exact"/>
        <w:ind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结算工程量应按工程量清单中约定的方法计量。</w:t>
      </w:r>
    </w:p>
    <w:p w14:paraId="70BD04FF">
      <w:pPr>
        <w:pStyle w:val="191"/>
        <w:spacing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17.1.3 计量周期</w:t>
      </w:r>
    </w:p>
    <w:p w14:paraId="021474C2">
      <w:pPr>
        <w:pStyle w:val="191"/>
        <w:spacing w:line="400" w:lineRule="exact"/>
        <w:ind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除专用合同条款另有约定外，单价子目已完成工程量按月计量，总价子目的计量周期按批准的支付分解报告确定。</w:t>
      </w:r>
    </w:p>
    <w:p w14:paraId="3FC95EC8">
      <w:pPr>
        <w:pStyle w:val="191"/>
        <w:spacing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17.1.4 单价子目的计量</w:t>
      </w:r>
    </w:p>
    <w:p w14:paraId="4C0FB189">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（1）工程量清单中的单价子目工程量为估算工程量。结算工程量是承包人实际完成的，并按合同约定的计量方法进行计量的工程量。</w:t>
      </w:r>
    </w:p>
    <w:p w14:paraId="5DB925D3">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（2）承包人对已完成的工程进行计量，向监理人提交进度付款申请单、已完成工程量报表和有关计量资料。</w:t>
      </w:r>
    </w:p>
    <w:p w14:paraId="623CCCB6">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（3）监理人对承包人提交的工程量报表进行复核，以确定实际完成的工程量。对数量有异议的，可要求承包人按第8.2 款约定进行共同复核和抽样复测。承包人应协助监理人进行复核并按监理人要求提供补充计量资料。承包人未按监理人要求参加复核，监理人复核或修正的工程量视为承包人实际完成的工程量。</w:t>
      </w:r>
    </w:p>
    <w:p w14:paraId="051251A7">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（4）监理人认为有必要时，可通知承包人共同进行联合测量、计量，承包人应遵照执行。</w:t>
      </w:r>
    </w:p>
    <w:p w14:paraId="526DF609">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5）承包人完成工程量清单中每个子目的工程量后，监理人应要求承包人派员共同对每个子目的历次计量报表进行汇总，以核实最终结算工程量。监理人可要求承包人提供补充计量资料，以确定最后一次进度付款的准确工程量。承包人未按监理人要求派员参加的，监理人最终核实的工程量视为承包人完成该子目的准确工程量。</w:t>
      </w:r>
    </w:p>
    <w:p w14:paraId="6BF84040">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（6）监理人应在收到承包人提交的工程量报表后的7 天内进行复核，监理人未在约定时间内复核的，承包人提交的工程量报表中的工程量视为承包人实际完成的工程量，据此计算工程价款。</w:t>
      </w:r>
    </w:p>
    <w:p w14:paraId="534A6B53">
      <w:pPr>
        <w:pStyle w:val="191"/>
        <w:spacing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 xml:space="preserve">17.1.5 总价子目的计量 </w:t>
      </w:r>
    </w:p>
    <w:p w14:paraId="6168B393">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 xml:space="preserve">总价子目的分解和计量按照下述约定进行。 </w:t>
      </w:r>
    </w:p>
    <w:p w14:paraId="60F1A70B">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(1)总价子目的计量和支付应以总价为基础，不因第16.1款中的因素而进行调整。承包人实际完成的工程量，是进行工程目标管理和控制进度支付的依据。</w:t>
      </w:r>
    </w:p>
    <w:p w14:paraId="0BD8F909">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(2)承包人应按工程量清单的要求对总价子目进行分解，并在签订协议书后的28天内将各子目的总价支付分解表提交监理人审批。分解表应标明其所属子目和分阶段需支付的金额。承包人应按批准的各总价子目支付周期，对已完成的总价子目进行计量，确定分项的应付金额列入进度付款申请单中。</w:t>
      </w:r>
    </w:p>
    <w:p w14:paraId="45E06704">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(3)监理人对承包人提交的上述资料进行复核，以确定分阶段实际完成的工程量和工程形象目标。对其有异议的，可要求承包人按第8.2款约定进行共同复核和抽样复测。</w:t>
      </w:r>
    </w:p>
    <w:p w14:paraId="4CE7E88B">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(4)除按照第15条约定的变更外，总价子目的工程量是承包人用于结算的最终工程量。</w:t>
      </w:r>
    </w:p>
    <w:p w14:paraId="696D9C51">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17.2 预付款</w:t>
      </w:r>
    </w:p>
    <w:p w14:paraId="2EE0758E">
      <w:pPr>
        <w:pStyle w:val="197"/>
        <w:spacing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17.2.1 预付款</w:t>
      </w:r>
    </w:p>
    <w:p w14:paraId="005712FE">
      <w:pPr>
        <w:pStyle w:val="188"/>
        <w:spacing w:line="400" w:lineRule="exact"/>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预付款用于承包人为合同工程施工购置材料、工程设备、施工设备、修建临时设施以及组织施工队伍进场等，分为工程预付款和工程材料预付款。预付款必须专用于合同工程。预付款的额度和预付办法在专用合同条款中约定。</w:t>
      </w:r>
    </w:p>
    <w:p w14:paraId="339446ED">
      <w:pPr>
        <w:pStyle w:val="197"/>
        <w:spacing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17.2.2 预付款保函（担保）</w:t>
      </w:r>
    </w:p>
    <w:p w14:paraId="7A548BEA">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(1)承包人应在收到第一次工程预付款的同时向发包人提交工程预付款担保，担保金额应与第一次工程预付款金额相同，工程预付款担保在第一次工程预付款被发包人扣回前一直有效。</w:t>
      </w:r>
    </w:p>
    <w:p w14:paraId="00011823">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(2)工程材料预付款的担保在专用合同条款中约定。</w:t>
      </w:r>
    </w:p>
    <w:p w14:paraId="55F5A3AA">
      <w:pPr>
        <w:pStyle w:val="197"/>
        <w:spacing w:line="400" w:lineRule="exact"/>
        <w:ind w:firstLine="540" w:firstLineChars="225"/>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(3)预付款担保的担保金额可根据预付款扣回的金额相应递减。</w:t>
      </w:r>
    </w:p>
    <w:p w14:paraId="3A554EEC">
      <w:pPr>
        <w:pStyle w:val="197"/>
        <w:spacing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17.2.3 预付款的扣回与还清</w:t>
      </w:r>
    </w:p>
    <w:p w14:paraId="1E17BB9D">
      <w:pPr>
        <w:pStyle w:val="175"/>
        <w:spacing w:after="0" w:line="400" w:lineRule="exact"/>
        <w:ind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预付款在进度付款中扣回，扣回与还清办法在专用合同条款中约定。在颁发合同工程完工证书前，由于不可抗力或其它原因解除合同时，预付款尚未扣清的，尚未扣清的预付款余额应作为承包人的到期应付款。</w:t>
      </w:r>
    </w:p>
    <w:p w14:paraId="6DD3AB23">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17.3 工程进度付款</w:t>
      </w:r>
    </w:p>
    <w:p w14:paraId="72E81AA4">
      <w:pPr>
        <w:pStyle w:val="197"/>
        <w:spacing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17.3.1 付款周期</w:t>
      </w:r>
    </w:p>
    <w:p w14:paraId="16AB235F">
      <w:pPr>
        <w:pStyle w:val="175"/>
        <w:spacing w:after="0" w:line="400" w:lineRule="exact"/>
        <w:ind w:firstLine="361"/>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付款周期同计量周期。</w:t>
      </w:r>
    </w:p>
    <w:p w14:paraId="004C82B1">
      <w:pPr>
        <w:pStyle w:val="197"/>
        <w:spacing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17.3.2 进度付款申请单</w:t>
      </w:r>
    </w:p>
    <w:p w14:paraId="7CECE2DA">
      <w:pPr>
        <w:pStyle w:val="184"/>
        <w:spacing w:line="400" w:lineRule="exact"/>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承包人应在每个付款周期末，按监理人批准的格式和专用合同条款约定的份数，向监理人提交进度付款申请单，并附相应的支持性证明文件。除专用合同条款另有约定外，进度付款申请单应包括下列内容：</w:t>
      </w:r>
    </w:p>
    <w:p w14:paraId="488F4065">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（1）截至本次付款周期末已实施工程的价款；</w:t>
      </w:r>
    </w:p>
    <w:p w14:paraId="62A9360E">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（2）根据第15 条应增加和扣减的变更金额；</w:t>
      </w:r>
    </w:p>
    <w:p w14:paraId="2411AF13">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（3）根据第23 条应增加和扣减的索赔金额；</w:t>
      </w:r>
    </w:p>
    <w:p w14:paraId="6D905A97">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（4）根据第17.2 款约定应支付的预付款和扣减的返还预付款；</w:t>
      </w:r>
    </w:p>
    <w:p w14:paraId="42EF2B23">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（5）根据第17.4.1 项约定应扣减的质量保证金；</w:t>
      </w:r>
    </w:p>
    <w:p w14:paraId="1156FA31">
      <w:pPr>
        <w:pStyle w:val="87"/>
        <w:spacing w:line="400" w:lineRule="exact"/>
        <w:ind w:firstLine="540" w:firstLineChars="225"/>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（6）根据合同应增加和扣减的其他金额。</w:t>
      </w:r>
    </w:p>
    <w:p w14:paraId="64378289">
      <w:pPr>
        <w:pStyle w:val="197"/>
        <w:spacing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17.3.3 进度付款证书和支付时间</w:t>
      </w:r>
    </w:p>
    <w:p w14:paraId="373E4BF3">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监理人在收到承包人进度付款申请单以及相应的支持性证明文件后的14天内完成核查，提出发包人到期应支付给承包人的金额以及相应的支持性材料，经发包人审查同意后，由监理人向承包人出具经发包人签认的进度付款证书。监理人有权扣发承包人未能按照合同要求履行任何工作或义务的相应金额。</w:t>
      </w:r>
    </w:p>
    <w:p w14:paraId="08B9422B">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（2）发包人应在监理人收到进度付款申请单后的28 天内，将进度应付款支付给承包人。发包人不按期支付的，按专用合同条款的约定支付逾期付款违约金。</w:t>
      </w:r>
    </w:p>
    <w:p w14:paraId="67835612">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（3）监理人出具进度付款证书，不应视为监理人已同意、批准或接受了承包人完成的该部分工作。</w:t>
      </w:r>
    </w:p>
    <w:p w14:paraId="41551D13">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（4）进度付款涉及政府投资资金的，按照国库集中支付等国家相关规定和专用合同条款的约定办理。</w:t>
      </w:r>
    </w:p>
    <w:p w14:paraId="6451BF5E">
      <w:pPr>
        <w:pStyle w:val="197"/>
        <w:spacing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17.3.4 工程进度付款的修正</w:t>
      </w:r>
    </w:p>
    <w:p w14:paraId="0EA34084">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在对以往历次已签发的进度付款证书进行汇总和复核中发现错、漏或重复的，监理人有权予以修正，承包人也有权提出修正申请。经双方复核同意的修正，应在本次进度付款中支付或扣除。</w:t>
      </w:r>
    </w:p>
    <w:p w14:paraId="7D5AF5E7">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17.4 质量保证金</w:t>
      </w:r>
    </w:p>
    <w:p w14:paraId="0ECCA99B">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17.4.1 监理人应从第一个工程进度付款周期开始，在发包人的进度付款中，按专用合同条款的约定扣留质量保证金，直至扣留的质量保证金总额达到专用合同条款约定的金额或比例为止。质量保证金的计算额度不包括预付款的支付与扣回金额。</w:t>
      </w:r>
    </w:p>
    <w:p w14:paraId="1758D05E">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17.4.2 合同工程完工证书颁发后14天内，发包人将质量保证金总额的一半支付给承包人。在第1.1.4.5目约定的缺陷责任期(工程质量保修期)满时，发包人将在30个工作日内会同承包人按照合同约定的内容核实承包人是否完成保修责任。如无异议，发包人应当在核实后将剩余的质量保证金支付给承包人。</w:t>
      </w:r>
    </w:p>
    <w:p w14:paraId="48856995">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17.4.3 在第1.1.4.5 目约定的缺陷责任期满时，承包人没有完成缺陷责任的，发包人有权扣留与未履行责任剩余工作所需金额相应的质量保证金余额，并有权根据第19.3 款约定要求延长缺陷责任期，直至完成剩余工作为止。</w:t>
      </w:r>
    </w:p>
    <w:p w14:paraId="5329F63C">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17.5 竣工结算（完工结算）</w:t>
      </w:r>
    </w:p>
    <w:p w14:paraId="70EE3A10">
      <w:pPr>
        <w:pStyle w:val="197"/>
        <w:spacing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17.5.1 竣工（完工）付款申请单</w:t>
      </w:r>
    </w:p>
    <w:p w14:paraId="42D8CA4F">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承包人应在合同工程完工证书颁发后28天内，按专用合同条款约定的份数向监理人提交完工付款申请单，并提供相关证明材料。完工付款申请单应包括下列内容：完工结算合同总价、发包人已支付承包人的工程价款、应扣留的质量保证金、应支付的完工付款金额。</w:t>
      </w:r>
    </w:p>
    <w:p w14:paraId="3E28AEC1">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（2）监理人对完工付款申请单有异议的，有权要求承包人进行修正和提供补充资料。经监理人和承包人协商后，由承包人向监理人提交修正后的完工付款申请单。</w:t>
      </w:r>
    </w:p>
    <w:p w14:paraId="3767414C">
      <w:pPr>
        <w:pStyle w:val="197"/>
        <w:spacing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17.5.2 竣工（完工）付款证书及支付时间</w:t>
      </w:r>
    </w:p>
    <w:p w14:paraId="730CDF73">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监理人在收到承包人提交的完工付款申请单后的14天内完成核查，提出发包人到期应支付给承包人的价款送发包人审核并抄送承包人。发包人应在收到后14天内审核完毕，由监理人向承包人出具经发包人签认的完工付款证书。监理人未在约定时间内核查，又未提出具体意见的，视为承包人提交的完工付款申请单已经监理人核查同意。发包人未在约定时间内审核又未提出具体意见的，监理人提出发包人到期应支付给承包人的价款视为已经发包人同意。</w:t>
      </w:r>
    </w:p>
    <w:p w14:paraId="368A045D">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（2）发包人应在监理人出具完工付款证书后的14天内，将应支付款支付给承包人。发包人不按期支付的，按第17.3.3(2)目的约定，将逾期付款违约金支付给承包人。</w:t>
      </w:r>
    </w:p>
    <w:p w14:paraId="3C47309E">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（3）承包人对发包人签认的完工付款证书有异议的，发包人可出具完工付款申请单中承包人已同意部分的临时付款证书。存在争议的部分，按第24条的约定办理。</w:t>
      </w:r>
    </w:p>
    <w:p w14:paraId="6813112E">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（4）完工付款涉及政府投资资金的，按第17.3.3(4)目的约定办理。</w:t>
      </w:r>
    </w:p>
    <w:p w14:paraId="76391D94">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17.6 最终结清</w:t>
      </w:r>
    </w:p>
    <w:p w14:paraId="264C8665">
      <w:pPr>
        <w:pStyle w:val="197"/>
        <w:spacing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17.6.1 最终结清申请单</w:t>
      </w:r>
    </w:p>
    <w:p w14:paraId="1AC7951B">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（1）工程质量保修责任终止证书签发后，承包人应按监理人批准的格式提交最终结清申请单。提交最终结清申请单的份数在专用合同条款中约定。</w:t>
      </w:r>
    </w:p>
    <w:p w14:paraId="02686CD9">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（2）发包人对最终结清申请单内容有异议的，有权要求承包人进行修正和提供补充资料，由承包人向监理人提交修正后的最终结清申请单。</w:t>
      </w:r>
    </w:p>
    <w:p w14:paraId="11325C63">
      <w:pPr>
        <w:pStyle w:val="197"/>
        <w:spacing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17.6.2 最终结清证书和支付时间</w:t>
      </w:r>
    </w:p>
    <w:p w14:paraId="4687A12A">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（1）监理人收到承包人提交的最终结清申请单后的14 天内，提出发包人应支付给承包人的价款送发包人审核并抄送承包人。发包人应在收到后14 天内审核完毕，由监理人向承包人出具经发包人签认的最终结清证书。监理人未在约定时间内核查，又未提出具体意见的，视为承包人提交的最终结清申请已经监理人核查同意；发包人未在约定时间内审核又未提出具体意见的，监理人提出应支付给承包人的价款视为已经发包人同意。</w:t>
      </w:r>
    </w:p>
    <w:p w14:paraId="70A708E8">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（2）发包人应在监理人出具最终结清证书后的14 天内，将应支付款支付给承包人。发包人不按期支付的，按第17.3.3（2）目的约定，将逾期付款违约金支付给承包人。</w:t>
      </w:r>
    </w:p>
    <w:p w14:paraId="7C800E6C">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（3）承包人对发包人签认的最终结清证书有异议的，按第24 条的约定办理。</w:t>
      </w:r>
    </w:p>
    <w:p w14:paraId="190B6085">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（4）最终结清付款涉及政府投资资金的，按第17.3.3（４）目的约定办理。</w:t>
      </w:r>
    </w:p>
    <w:p w14:paraId="43AC05EC">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17.7 竣工财务决算</w:t>
      </w:r>
    </w:p>
    <w:p w14:paraId="78FD7224">
      <w:pPr>
        <w:pStyle w:val="26"/>
        <w:spacing w:line="400" w:lineRule="exact"/>
        <w:ind w:firstLine="630" w:firstLineChars="225"/>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发包人负责编制本工程项目竣工财务决算，承包人应按专用合同条款的约定提供竣工财务决算编制所需的相关材料。</w:t>
      </w:r>
    </w:p>
    <w:p w14:paraId="33ADE2B8">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17.8 竣工审计</w:t>
      </w:r>
    </w:p>
    <w:p w14:paraId="02F2A0B0">
      <w:pPr>
        <w:pStyle w:val="26"/>
        <w:spacing w:line="400" w:lineRule="exact"/>
        <w:ind w:firstLine="630" w:firstLineChars="225"/>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发包人负责完成本工程竣工审计手续，承包人应完成相关配合工作。</w:t>
      </w:r>
    </w:p>
    <w:p w14:paraId="47FE9AD0">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1026" w:name="_Toc209862340"/>
      <w:bookmarkStart w:id="1027" w:name="_Toc208734418"/>
      <w:bookmarkStart w:id="1028" w:name="_Toc215556200"/>
      <w:bookmarkStart w:id="1029" w:name="_Toc215561218"/>
      <w:bookmarkStart w:id="1030" w:name="_Toc219172347"/>
      <w:bookmarkStart w:id="1031" w:name="_Toc245110748"/>
      <w:bookmarkStart w:id="1032" w:name="_Toc254774419"/>
      <w:bookmarkStart w:id="1033" w:name="_Toc248294431"/>
      <w:bookmarkStart w:id="1034" w:name="_Toc257202843"/>
      <w:bookmarkStart w:id="1035" w:name="_Toc227658508"/>
      <w:bookmarkStart w:id="1036" w:name="_Toc255741939"/>
      <w:bookmarkStart w:id="1037" w:name="_Toc211175342"/>
      <w:bookmarkStart w:id="1038" w:name="_Toc255470052"/>
      <w:bookmarkStart w:id="1039" w:name="_Toc214355681"/>
      <w:bookmarkStart w:id="1040" w:name="_Toc215805061"/>
      <w:bookmarkStart w:id="1041" w:name="_Toc187475850"/>
      <w:bookmarkStart w:id="1042" w:name="_Toc255470275"/>
      <w:bookmarkStart w:id="1043" w:name="_Toc195864505"/>
      <w:bookmarkStart w:id="1044" w:name="_Toc222804534"/>
      <w:bookmarkStart w:id="1045" w:name="_Toc187846010"/>
      <w:bookmarkStart w:id="1046" w:name="_Toc249848960"/>
      <w:bookmarkStart w:id="1047" w:name="_Toc206830031"/>
      <w:bookmarkStart w:id="1048" w:name="_Toc368145494"/>
      <w:bookmarkStart w:id="1049" w:name="_Toc439772709"/>
      <w:bookmarkStart w:id="1050" w:name="_Toc270517152"/>
      <w:bookmarkStart w:id="1051" w:name="_Toc458599286"/>
      <w:bookmarkStart w:id="1052" w:name="_Toc476231309"/>
      <w:bookmarkStart w:id="1053" w:name="_Toc436309955"/>
      <w:bookmarkStart w:id="1054" w:name="_Toc389226405"/>
      <w:bookmarkStart w:id="1055" w:name="_Toc260229983"/>
      <w:bookmarkStart w:id="1056" w:name="_Toc16609"/>
      <w:bookmarkStart w:id="1057" w:name="_Toc340222913"/>
      <w:bookmarkStart w:id="1058" w:name="_Toc351898555"/>
      <w:bookmarkStart w:id="1059" w:name="_Toc436998796"/>
      <w:bookmarkStart w:id="1060" w:name="_Toc510197620"/>
      <w:bookmarkStart w:id="1061" w:name="_Toc449111936"/>
      <w:bookmarkStart w:id="1062" w:name="_Toc452986510"/>
      <w:bookmarkStart w:id="1063" w:name="_Toc504565697"/>
      <w:bookmarkStart w:id="1064" w:name="_Toc274500906"/>
      <w:bookmarkStart w:id="1065" w:name="_Toc338778050"/>
      <w:bookmarkStart w:id="1066" w:name="_Toc510197482"/>
      <w:bookmarkStart w:id="1067" w:name="_Toc460581188"/>
      <w:bookmarkStart w:id="1068" w:name="_Toc436309603"/>
      <w:bookmarkStart w:id="1069" w:name="_Toc305763064"/>
      <w:bookmarkStart w:id="1070" w:name="_Toc450123142"/>
      <w:bookmarkStart w:id="1071" w:name="_Toc450123376"/>
      <w:bookmarkStart w:id="1072" w:name="_Toc306293174"/>
      <w:bookmarkStart w:id="1073" w:name="_Toc342046324"/>
      <w:bookmarkStart w:id="1074" w:name="_Toc6450"/>
      <w:bookmarkStart w:id="1075" w:name="_Toc388633685"/>
      <w:bookmarkStart w:id="1076" w:name="_Toc453768108"/>
      <w:bookmarkStart w:id="1077" w:name="_Toc340436803"/>
      <w:bookmarkStart w:id="1078" w:name="_Toc445105545"/>
      <w:bookmarkStart w:id="1079" w:name="_Toc371937202"/>
      <w:bookmarkStart w:id="1080" w:name="_Toc436133246"/>
      <w:bookmarkStart w:id="1081" w:name="_Toc260230310"/>
      <w:bookmarkStart w:id="1082" w:name="_Toc504565810"/>
      <w:bookmarkStart w:id="1083" w:name="_Toc477164670"/>
      <w:bookmarkStart w:id="1084" w:name="_Toc350857437"/>
      <w:bookmarkStart w:id="1085" w:name="_Toc260649038"/>
      <w:r>
        <w:rPr>
          <w:rFonts w:hint="eastAsia" w:hAnsi="宋体" w:cs="宋体"/>
          <w:b/>
          <w:color w:val="000000" w:themeColor="text1"/>
          <w:sz w:val="32"/>
          <w:szCs w:val="32"/>
          <w14:textFill>
            <w14:solidFill>
              <w14:schemeClr w14:val="tx1"/>
            </w14:solidFill>
          </w14:textFill>
        </w:rPr>
        <w:t>18. 竣工验收</w:t>
      </w:r>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r>
        <w:rPr>
          <w:rFonts w:hint="eastAsia" w:hAnsi="宋体" w:cs="宋体"/>
          <w:b/>
          <w:color w:val="000000" w:themeColor="text1"/>
          <w:sz w:val="32"/>
          <w:szCs w:val="32"/>
          <w14:textFill>
            <w14:solidFill>
              <w14:schemeClr w14:val="tx1"/>
            </w14:solidFill>
          </w14:textFill>
        </w:rPr>
        <w:t>（验收）</w:t>
      </w:r>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p>
    <w:p w14:paraId="0B4E3D7A">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18.1 验收工作分类</w:t>
      </w:r>
    </w:p>
    <w:p w14:paraId="470663AB">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本工程验收工作按主持单位分为法人验收和政府验收。法人验收和政府验收的类别在专用合同条款中约定。除专用合同条款另有约定外，法人验收由发包人主持。承包人应完成法人验收和政府验收的配合工作，所需费用应含在工程量清单中。</w:t>
      </w:r>
    </w:p>
    <w:p w14:paraId="632AEAD7">
      <w:pPr>
        <w:pStyle w:val="180"/>
        <w:spacing w:after="0" w:line="400" w:lineRule="exact"/>
        <w:ind w:firstLine="562"/>
        <w:jc w:val="both"/>
        <w:rPr>
          <w:rFonts w:hAnsi="宋体" w:cs="宋体"/>
          <w:b/>
          <w:color w:val="000000" w:themeColor="text1"/>
          <w14:textFill>
            <w14:solidFill>
              <w14:schemeClr w14:val="tx1"/>
            </w14:solidFill>
          </w14:textFill>
        </w:rPr>
      </w:pPr>
      <w:bookmarkStart w:id="1086" w:name="_Toc248294432"/>
      <w:bookmarkStart w:id="1087" w:name="_Toc227658509"/>
      <w:bookmarkStart w:id="1088" w:name="_Toc255470276"/>
      <w:bookmarkStart w:id="1089" w:name="_Toc249848961"/>
      <w:bookmarkStart w:id="1090" w:name="_Toc209862341"/>
      <w:bookmarkStart w:id="1091" w:name="_Toc187475851"/>
      <w:bookmarkStart w:id="1092" w:name="_Toc187846011"/>
      <w:bookmarkStart w:id="1093" w:name="_Toc257202844"/>
      <w:bookmarkStart w:id="1094" w:name="_Toc211175343"/>
      <w:bookmarkStart w:id="1095" w:name="_Toc206830032"/>
      <w:bookmarkStart w:id="1096" w:name="_Toc255470053"/>
      <w:bookmarkStart w:id="1097" w:name="_Toc214355682"/>
      <w:bookmarkStart w:id="1098" w:name="_Toc219172348"/>
      <w:bookmarkStart w:id="1099" w:name="_Toc215556201"/>
      <w:bookmarkStart w:id="1100" w:name="_Toc222804535"/>
      <w:bookmarkStart w:id="1101" w:name="_Toc254774420"/>
      <w:bookmarkStart w:id="1102" w:name="_Toc255741940"/>
      <w:bookmarkStart w:id="1103" w:name="_Toc195864506"/>
      <w:bookmarkStart w:id="1104" w:name="_Toc245110749"/>
      <w:bookmarkStart w:id="1105" w:name="_Toc215805062"/>
      <w:bookmarkStart w:id="1106" w:name="_Toc215561219"/>
      <w:bookmarkStart w:id="1107" w:name="_Toc208734419"/>
      <w:r>
        <w:rPr>
          <w:rFonts w:hint="eastAsia" w:hAnsi="宋体" w:cs="宋体"/>
          <w:b/>
          <w:color w:val="000000" w:themeColor="text1"/>
          <w14:textFill>
            <w14:solidFill>
              <w14:schemeClr w14:val="tx1"/>
            </w14:solidFill>
          </w14:textFill>
        </w:rPr>
        <w:t>18.2 分部工程验收</w:t>
      </w:r>
    </w:p>
    <w:p w14:paraId="20D6CCEF">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18.2.1 分部工程具备验收条件时，承包人应向发包人提交验收申请报告，发包人应在收到验收申请报告之日起10个工作日内决定是否同意进行验收。</w:t>
      </w:r>
    </w:p>
    <w:p w14:paraId="76C0F755">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18.2.2 除专用合同条款另有约定外，监理人主持分部工程验收，承包人应派符合条件的代表参加验收工作组。</w:t>
      </w:r>
    </w:p>
    <w:p w14:paraId="73DB91C3">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18.2.3 分部工程验收通过后，发包人向承包人发送分部工程验收鉴定书。承包人应及时完成分部工程验收鉴定书载明应由承包人处理的遗留问题。</w:t>
      </w:r>
    </w:p>
    <w:p w14:paraId="07F184F2">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18.3 单位工程验收</w:t>
      </w:r>
    </w:p>
    <w:p w14:paraId="74CF4B83">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18.3.1 单位工程具备验收条件时，承包人应向发包人提交验收申请报告，发包人应在收到验收申请报告之日起10个工作日内决定是否同意进行验收。</w:t>
      </w:r>
    </w:p>
    <w:p w14:paraId="36642EA0">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18.3.2 发包人主持单位工程验收，承包人应派符合条件的代表参加验收工作组。</w:t>
      </w:r>
    </w:p>
    <w:p w14:paraId="629D44BB">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18.3.3 单位工程验收通过后，发包人向承包人发送单位工程验收鉴定书。承包人应及时完成单位工程验收鉴定书载明应由承包人处理的遗留问题。</w:t>
      </w:r>
    </w:p>
    <w:p w14:paraId="3801D92D">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18.3.4 需提前投入使用的单位工程在专用合同条款中明确。</w:t>
      </w:r>
    </w:p>
    <w:p w14:paraId="4B165C68">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18.4 合同工程完工验收</w:t>
      </w:r>
    </w:p>
    <w:p w14:paraId="25FC7CDA">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18.4.1合同工程具备验收条件时，承包人应向发包人提交验收申请报告，发包人应在收到验收申请报告之日起20个工作日内决定是否同意进行验收。</w:t>
      </w:r>
    </w:p>
    <w:p w14:paraId="782A6200">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18.4.2发包人主持合同工程完工验收，承包人应派代表参加验收工作组。</w:t>
      </w:r>
    </w:p>
    <w:p w14:paraId="5E4CF358">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18.4.3合同工程完工验收通过后，发包人向承包人发送合同工程完工验收鉴定书。承包人应及时完成合同工程完工验收鉴定书载明应由承包人处理的遗留问题。</w:t>
      </w:r>
    </w:p>
    <w:p w14:paraId="5346D8E1">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18.4.4合同工程完工验收通过后，发包人与承包人应在30个工作日内组织专人负责工程交接，双方交接负责人应在交接记录上签字。承包人应按验收鉴定书约定的时间及时移交工程及其档案资料。工程移交时，承包人应向发包人递交工程质量保修书。在承包人递交了工程质量保修书、完成施工场地清理以及提交有关资料后，发包人应在30个工作日内向承包人颁发合同工程完工证书。</w:t>
      </w:r>
    </w:p>
    <w:p w14:paraId="565B3B55">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18.5 阶段验收</w:t>
      </w:r>
    </w:p>
    <w:p w14:paraId="079AFD40">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18.5.1工程建设具备阶段验收条件时，发包人负责提出阶段验收申请报告。承包人应派代表参加阶段验收，并作为被验收单位在验收鉴定书上签字。阶段验收的具体类别在专用合同条款中约定。</w:t>
      </w:r>
    </w:p>
    <w:p w14:paraId="214F32AF">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18.5.2承包人应及时完成阶段验收鉴定书载明应由承包人处理的遗留问题。</w:t>
      </w:r>
    </w:p>
    <w:p w14:paraId="2714C210">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18.6 专项验收</w:t>
      </w:r>
    </w:p>
    <w:p w14:paraId="37668221">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18.6.1 发包人负责提出专项验收申请报告。承包人应按专项验收的相关规定参加专项验收。专项验收的具体类别在专用合同条款中约定。</w:t>
      </w:r>
    </w:p>
    <w:p w14:paraId="72CDFEFC">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18.6.2承包人应及时完成专项验收成果性文件载明应由承包人处理的遗留问题。</w:t>
      </w:r>
    </w:p>
    <w:p w14:paraId="201E6477">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18.7 竣工验收</w:t>
      </w:r>
    </w:p>
    <w:p w14:paraId="06A262F7">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18.7.1 申请竣工验收前，发包人组织竣工验收自查，承包人应派代表参加。</w:t>
      </w:r>
    </w:p>
    <w:p w14:paraId="3C49BE51">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18.7.2 竣工验收分为竣工技术预验收和竣工验收两个阶段。发包人应通知承包人派代表参加技术预验收和竣工验收。</w:t>
      </w:r>
    </w:p>
    <w:p w14:paraId="2A050008">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18.7.3专用合同条款约定工程需要进行技术鉴定的，承包人应提交有关资料并完成配合工作。</w:t>
      </w:r>
    </w:p>
    <w:p w14:paraId="128E6ADB">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8.7.4竣工验收需要进行质量检测的，所需费用由发包人承担，但因承包人原因造成质量不合格的除外。</w:t>
      </w:r>
    </w:p>
    <w:p w14:paraId="2A4C3A85">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18.7.5工程质量保修期满以及竣工验收遗留问题和尾工处理完成并通过验收后，发包人负责将处理情况和验收成果报送竣工验收主持单位，申请领取工程竣工证书，并发送承包人。</w:t>
      </w:r>
    </w:p>
    <w:p w14:paraId="57783523">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18.8 施工期运行</w:t>
      </w:r>
    </w:p>
    <w:p w14:paraId="60F4B257">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18.8.1施工期运行是指合同工程尚未全部完工，其中某单位工程或部分工程已完工，需要投入施工期运行的，经发包人按第18.2款或第18.3款的约定验收合格，证明能确保安全后，才能在施工期投入运行。需要在施工期运行的单位工程或部分工程在专用合同条款中约定。</w:t>
      </w:r>
    </w:p>
    <w:p w14:paraId="380A8AFB">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18.8.2 在施工期运行中发现工程或工程设备损坏或存在缺陷的，由承包人按第19.2款约定进行修复。</w:t>
      </w:r>
    </w:p>
    <w:p w14:paraId="5856802A">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18.9 试运行</w:t>
      </w:r>
    </w:p>
    <w:p w14:paraId="5D9CBC48">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18.9.1  除专用合同条款另有约定外，承包人应按规定进行工程及工程设备试运行，负责提供试运行所需的人员、器材和必要的条件，并承担全部试运行费用。</w:t>
      </w:r>
    </w:p>
    <w:p w14:paraId="7073C808">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18.9.2  由于承包人的原因导致试运行失败的，承包人应采取措施保证试运行合格，并承担相应费用。由于发包人的原因导致试运行失败的，承包人应当采取措施保证试运行合格，发包人应承担由此产生的费用，并支付承包人合理利润。</w:t>
      </w:r>
    </w:p>
    <w:p w14:paraId="54C37ECC">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18.10 竣工(完工)清场</w:t>
      </w:r>
    </w:p>
    <w:p w14:paraId="0A34012D">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18.10.l 工程项目竣工(完工)清场的工作范围和内容在技术标准和要求(合同技术条款)中约定。</w:t>
      </w:r>
    </w:p>
    <w:p w14:paraId="43A941D4">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18.10.2 承包人未按监理人的要求恢复临时占地，或者场地清理未达到合同约定的，发包人有权委托其它人恢复或清理，所发生的金额从拟支付给承包人的款项中扣除。</w:t>
      </w:r>
    </w:p>
    <w:p w14:paraId="640C8643">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18.1l 施工队伍的撤离</w:t>
      </w:r>
    </w:p>
    <w:p w14:paraId="4E66E66E">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合同工程完工证书颁发后的56天内，除了经监理人同意需在缺陷责任期(工程质量保修期)内继续工作和使用的人员、施工设备和临时工程外，其余的人员、施工设备和临时工程均应撤离施工场地或拆除。除合同另有约定外，缺陷责任期(工程质量保修期)满时，承包人的人员和施工设备应全部撤离施工场地。</w:t>
      </w:r>
    </w:p>
    <w:p w14:paraId="43E98AE5">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1108" w:name="_Toc476231310"/>
      <w:bookmarkStart w:id="1109" w:name="_Toc260649039"/>
      <w:bookmarkStart w:id="1110" w:name="_Toc477164671"/>
      <w:bookmarkStart w:id="1111" w:name="_Toc270517153"/>
      <w:bookmarkStart w:id="1112" w:name="_Toc368145495"/>
      <w:bookmarkStart w:id="1113" w:name="_Toc260230311"/>
      <w:bookmarkStart w:id="1114" w:name="_Toc306293175"/>
      <w:bookmarkStart w:id="1115" w:name="_Toc340436804"/>
      <w:bookmarkStart w:id="1116" w:name="_Toc453768109"/>
      <w:bookmarkStart w:id="1117" w:name="_Toc449111937"/>
      <w:bookmarkStart w:id="1118" w:name="_Toc371937203"/>
      <w:bookmarkStart w:id="1119" w:name="_Toc445105546"/>
      <w:bookmarkStart w:id="1120" w:name="_Toc351898556"/>
      <w:bookmarkStart w:id="1121" w:name="_Toc342046325"/>
      <w:bookmarkStart w:id="1122" w:name="_Toc436133247"/>
      <w:bookmarkStart w:id="1123" w:name="_Toc340222914"/>
      <w:bookmarkStart w:id="1124" w:name="_Toc504565698"/>
      <w:bookmarkStart w:id="1125" w:name="_Toc21307"/>
      <w:bookmarkStart w:id="1126" w:name="_Toc458599287"/>
      <w:bookmarkStart w:id="1127" w:name="_Toc439772710"/>
      <w:bookmarkStart w:id="1128" w:name="_Toc504565811"/>
      <w:bookmarkStart w:id="1129" w:name="_Toc452986511"/>
      <w:bookmarkStart w:id="1130" w:name="_Toc436309956"/>
      <w:bookmarkStart w:id="1131" w:name="_Toc510197621"/>
      <w:bookmarkStart w:id="1132" w:name="_Toc274500907"/>
      <w:bookmarkStart w:id="1133" w:name="_Toc305763065"/>
      <w:bookmarkStart w:id="1134" w:name="_Toc32320"/>
      <w:bookmarkStart w:id="1135" w:name="_Toc510197483"/>
      <w:bookmarkStart w:id="1136" w:name="_Toc436309604"/>
      <w:bookmarkStart w:id="1137" w:name="_Toc389226406"/>
      <w:bookmarkStart w:id="1138" w:name="_Toc450123377"/>
      <w:bookmarkStart w:id="1139" w:name="_Toc350857438"/>
      <w:bookmarkStart w:id="1140" w:name="_Toc260229984"/>
      <w:bookmarkStart w:id="1141" w:name="_Toc450123143"/>
      <w:bookmarkStart w:id="1142" w:name="_Toc460581189"/>
      <w:bookmarkStart w:id="1143" w:name="_Toc436998797"/>
      <w:bookmarkStart w:id="1144" w:name="_Toc338778051"/>
      <w:bookmarkStart w:id="1145" w:name="_Toc388633686"/>
      <w:r>
        <w:rPr>
          <w:rFonts w:hint="eastAsia" w:hAnsi="宋体" w:cs="宋体"/>
          <w:b/>
          <w:color w:val="000000" w:themeColor="text1"/>
          <w:sz w:val="32"/>
          <w:szCs w:val="32"/>
          <w14:textFill>
            <w14:solidFill>
              <w14:schemeClr w14:val="tx1"/>
            </w14:solidFill>
          </w14:textFill>
        </w:rPr>
        <w:t>19. 缺陷责任与保修责任</w:t>
      </w:r>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p>
    <w:p w14:paraId="18E59DCD">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19.1 缺陷责任期（工程质量保修期）的起算时间</w:t>
      </w:r>
    </w:p>
    <w:p w14:paraId="72BBBC21">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除专用合同条款另有约定外，缺陷责任期(工程质量保修期)从工程通过合同工程完工验收后开始计算。在合同工程完工验收前，已经发包人提前验收的单位工程或部分工程，若未投入使用，其缺陷责任期(工程质量保修期)亦从工程通过合同工程完工验收后开始计算；若已投入使用，其缺陷责任期(工程质量保修期)从通过单位工程或部分工程投入使用验收后开始计算。缺陷责任期(工程质量保修期)的期限在专用合同条款中约定。</w:t>
      </w:r>
    </w:p>
    <w:p w14:paraId="533AC35D">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19.2 缺陷责任</w:t>
      </w:r>
    </w:p>
    <w:p w14:paraId="41727D0E">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19.2.1 承包人应在缺陷责任期内对已交付使用的工程承担缺陷责任。</w:t>
      </w:r>
    </w:p>
    <w:p w14:paraId="1F587040">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19.2.2 缺陷责任期内，发包人对已接收使用的工程负责日常维护工作。发包人在使用过程中，发现已接收的工程存在新的缺陷或已修复的缺陷部位或部件又遭损坏的，承包人应负责修复，直至检验合格为止。</w:t>
      </w:r>
    </w:p>
    <w:p w14:paraId="47B4D178">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19.2.3 监理人和承包人应共同查清缺陷和（或）损坏的原因。经查明属承包人原因造成的，应由承包人承担修复和查验的费用。经查验属发包人原因造成的，发包人应承担修复和查验的费用，并支付承包人合理利润。</w:t>
      </w:r>
    </w:p>
    <w:p w14:paraId="0A66F8ED">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19.2.4 承包人不能在合理时间内修复缺陷的，发包人可自行修复或委托其他人修复，所需费用和利润的承担，按第19.2.3 项约定办理。</w:t>
      </w:r>
    </w:p>
    <w:p w14:paraId="392B17C1">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19.3 缺陷责任期的延长</w:t>
      </w:r>
    </w:p>
    <w:p w14:paraId="77872912">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由于承包人原因造成某项缺陷或损坏使某项工程或工程设备不能按原定目标使用而需要再次检查、检验和修复的，发包人有权要求承包人相应延长缺陷责任期，但缺陷责任期最长不超过2 年。</w:t>
      </w:r>
    </w:p>
    <w:p w14:paraId="3A720ADC">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19.4 进一步试验和试运行</w:t>
      </w:r>
    </w:p>
    <w:p w14:paraId="6759F84C">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任何一项缺陷或损坏修复后，经检查证明其影响了工程或工程设备的使用性能，承包人应重新进行合同约定的试验和试运行，试验和试运行的全部费用应由责任方承担。</w:t>
      </w:r>
    </w:p>
    <w:p w14:paraId="679AA1E4">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19.5 承包人的进入权</w:t>
      </w:r>
    </w:p>
    <w:p w14:paraId="3BEF4B03">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缺陷责任期内承包人为缺陷修复工作需要，有权进入工程现场，但应遵守发包人的保安和保密规定。</w:t>
      </w:r>
    </w:p>
    <w:p w14:paraId="3A77FBA4">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19.6 缺陷责任期终止证书（工程质量保修责任终止证书）</w:t>
      </w:r>
    </w:p>
    <w:p w14:paraId="25287AB9">
      <w:pPr>
        <w:pStyle w:val="188"/>
        <w:ind w:right="100"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合同工程完工验收或投入使用验收后，发包人与承包人应办理工程交接手续，承包人应向发包人递交工程质量保修书。</w:t>
      </w:r>
    </w:p>
    <w:p w14:paraId="1713263F">
      <w:pPr>
        <w:pStyle w:val="188"/>
        <w:ind w:right="100" w:firstLine="560"/>
        <w:jc w:val="both"/>
        <w:rPr>
          <w:rFonts w:hAnsi="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缺陷责任期(工程质量保修期)满后30个工作日内，发包人应向承</w:t>
      </w:r>
      <w:r>
        <w:rPr>
          <w:rFonts w:hint="eastAsia" w:hAnsi="宋体"/>
          <w:color w:val="000000" w:themeColor="text1"/>
          <w14:textFill>
            <w14:solidFill>
              <w14:schemeClr w14:val="tx1"/>
            </w14:solidFill>
          </w14:textFill>
        </w:rPr>
        <w:t>包人颁发工程质量保修责任终止证书，并退还剩余的质量保证金，但保修责任范围内的质量缺陷未处理完成的应除外。</w:t>
      </w:r>
    </w:p>
    <w:p w14:paraId="7E8357E2">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19.7 保修责任</w:t>
      </w:r>
    </w:p>
    <w:p w14:paraId="23BEF43B">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合同当事人根据有关法律规定，在专用合同条款中约定工程质量保修范围、期限和责任。保修期自实际竣工日期起计算。在全部工程竣工验收前，已经发包人提前验收的单位工程，其保修期的起算日期相应提前。</w:t>
      </w:r>
    </w:p>
    <w:p w14:paraId="4C18F595">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1146" w:name="_Toc255741941"/>
      <w:bookmarkStart w:id="1147" w:name="_Toc350857439"/>
      <w:bookmarkStart w:id="1148" w:name="_Toc371937204"/>
      <w:bookmarkStart w:id="1149" w:name="_Toc368145496"/>
      <w:bookmarkStart w:id="1150" w:name="_Toc504565812"/>
      <w:bookmarkStart w:id="1151" w:name="_Toc254774421"/>
      <w:bookmarkStart w:id="1152" w:name="_Toc504565699"/>
      <w:bookmarkStart w:id="1153" w:name="_Toc342046326"/>
      <w:bookmarkStart w:id="1154" w:name="_Toc215556202"/>
      <w:bookmarkStart w:id="1155" w:name="_Toc510197484"/>
      <w:bookmarkStart w:id="1156" w:name="_Toc476231311"/>
      <w:bookmarkStart w:id="1157" w:name="_Toc245110750"/>
      <w:bookmarkStart w:id="1158" w:name="_Toc439772711"/>
      <w:bookmarkStart w:id="1159" w:name="_Toc340436805"/>
      <w:bookmarkStart w:id="1160" w:name="_Toc445105547"/>
      <w:bookmarkStart w:id="1161" w:name="_Toc222804536"/>
      <w:bookmarkStart w:id="1162" w:name="_Toc227658510"/>
      <w:bookmarkStart w:id="1163" w:name="_Toc215805063"/>
      <w:bookmarkStart w:id="1164" w:name="_Toc452986512"/>
      <w:bookmarkStart w:id="1165" w:name="_Toc209862342"/>
      <w:bookmarkStart w:id="1166" w:name="_Toc510197622"/>
      <w:bookmarkStart w:id="1167" w:name="_Toc351898557"/>
      <w:bookmarkStart w:id="1168" w:name="_Toc248294433"/>
      <w:bookmarkStart w:id="1169" w:name="_Toc211175344"/>
      <w:bookmarkStart w:id="1170" w:name="_Toc260229985"/>
      <w:bookmarkStart w:id="1171" w:name="_Toc260649040"/>
      <w:bookmarkStart w:id="1172" w:name="_Toc215561220"/>
      <w:bookmarkStart w:id="1173" w:name="_Toc214355683"/>
      <w:bookmarkStart w:id="1174" w:name="_Toc219172349"/>
      <w:bookmarkStart w:id="1175" w:name="_Toc187846012"/>
      <w:bookmarkStart w:id="1176" w:name="_Toc260230312"/>
      <w:bookmarkStart w:id="1177" w:name="_Toc436998798"/>
      <w:bookmarkStart w:id="1178" w:name="_Toc450123378"/>
      <w:bookmarkStart w:id="1179" w:name="_Toc3538"/>
      <w:bookmarkStart w:id="1180" w:name="_Toc449111938"/>
      <w:bookmarkStart w:id="1181" w:name="_Toc206830033"/>
      <w:bookmarkStart w:id="1182" w:name="_Toc257202845"/>
      <w:bookmarkStart w:id="1183" w:name="_Toc208734420"/>
      <w:bookmarkStart w:id="1184" w:name="_Toc388633687"/>
      <w:bookmarkStart w:id="1185" w:name="_Toc305763066"/>
      <w:bookmarkStart w:id="1186" w:name="_Toc436309957"/>
      <w:bookmarkStart w:id="1187" w:name="_Toc436309605"/>
      <w:bookmarkStart w:id="1188" w:name="_Toc436133248"/>
      <w:bookmarkStart w:id="1189" w:name="_Toc450123144"/>
      <w:bookmarkStart w:id="1190" w:name="_Toc389226407"/>
      <w:bookmarkStart w:id="1191" w:name="_Toc249848962"/>
      <w:bookmarkStart w:id="1192" w:name="_Toc477164672"/>
      <w:bookmarkStart w:id="1193" w:name="_Toc338778052"/>
      <w:bookmarkStart w:id="1194" w:name="_Toc26973"/>
      <w:bookmarkStart w:id="1195" w:name="_Toc255470054"/>
      <w:bookmarkStart w:id="1196" w:name="_Toc340222915"/>
      <w:bookmarkStart w:id="1197" w:name="_Toc460581190"/>
      <w:bookmarkStart w:id="1198" w:name="_Toc255470277"/>
      <w:bookmarkStart w:id="1199" w:name="_Toc195864507"/>
      <w:bookmarkStart w:id="1200" w:name="_Toc306293176"/>
      <w:bookmarkStart w:id="1201" w:name="_Toc187475852"/>
      <w:bookmarkStart w:id="1202" w:name="_Toc274500908"/>
      <w:bookmarkStart w:id="1203" w:name="_Toc270517154"/>
      <w:bookmarkStart w:id="1204" w:name="_Toc453768110"/>
      <w:bookmarkStart w:id="1205" w:name="_Toc458599288"/>
      <w:r>
        <w:rPr>
          <w:rFonts w:hint="eastAsia" w:hAnsi="宋体" w:cs="宋体"/>
          <w:b/>
          <w:color w:val="000000" w:themeColor="text1"/>
          <w:sz w:val="32"/>
          <w:szCs w:val="32"/>
          <w14:textFill>
            <w14:solidFill>
              <w14:schemeClr w14:val="tx1"/>
            </w14:solidFill>
          </w14:textFill>
        </w:rPr>
        <w:t>20. 保险</w:t>
      </w:r>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p>
    <w:p w14:paraId="49D617C6">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20.1 工程保险</w:t>
      </w:r>
    </w:p>
    <w:p w14:paraId="38946AA4">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除专用合同条款另有约定外，承包人应以发包人和承包人的共同名义向双方同意的保险人投保建筑工程一切险、安装工程一切险。其具体的投保内容、保险金额、保险费率、保险期限等有关内容在专用合同条款中约定。</w:t>
      </w:r>
    </w:p>
    <w:p w14:paraId="46A002FB">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20.2 人员工伤事故的保险</w:t>
      </w:r>
    </w:p>
    <w:p w14:paraId="0D90A75E">
      <w:pPr>
        <w:pStyle w:val="87"/>
        <w:spacing w:line="400" w:lineRule="exact"/>
        <w:ind w:firstLine="619" w:firstLineChars="257"/>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 xml:space="preserve">20.2.1 承包人员工伤事故的保险 </w:t>
      </w:r>
    </w:p>
    <w:p w14:paraId="5561A805">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承包人应依照有关法律规定参加工伤保险，为其履行合同所雇佣的全部人员，缴纳工伤保险费，并要求其分包人也进行此项保险。</w:t>
      </w:r>
    </w:p>
    <w:p w14:paraId="47F94D84">
      <w:pPr>
        <w:pStyle w:val="87"/>
        <w:spacing w:line="400" w:lineRule="exact"/>
        <w:ind w:firstLine="619" w:firstLineChars="257"/>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 xml:space="preserve">20.2.2 发包人员工伤事故的保险 </w:t>
      </w:r>
    </w:p>
    <w:p w14:paraId="6CC8752B">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发包人应依照有关法律规定参加工伤保险，为其现场机构雇佣的全部人员，缴纳工伤保险费，并要求其监理人也进行此项保险。</w:t>
      </w:r>
    </w:p>
    <w:p w14:paraId="0110B656">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20.3 人身意外伤害险</w:t>
      </w:r>
    </w:p>
    <w:p w14:paraId="1EDB69FE">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20.3.1 发包人应在整个施工期间为其现场机构雇用的全部人员，投保人身意外伤害险，缴纳保险费，并要求其监理人也进行此项保险。</w:t>
      </w:r>
    </w:p>
    <w:p w14:paraId="1AA5FFA9">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20.3.2 承包人应在整个施工期间为其现场机构雇用的全部人员，投保人身意外伤害险，缴纳保险费，并要求其分包人也进行此项保险。</w:t>
      </w:r>
    </w:p>
    <w:p w14:paraId="5E188834">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20.4 第三者责任险</w:t>
      </w:r>
    </w:p>
    <w:p w14:paraId="08B03E42">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20.4.1 第三者责任系指在保险期内，对因工程意外事故造成的、依法应由被保险人负责的工地上及毗邻地区的第三者人身伤亡、疾病或财产损失（本工程除外），以及被保险人因此而支付的诉讼费用和事先经保险人书面同意支付的其他费用等赔偿责任。</w:t>
      </w:r>
    </w:p>
    <w:p w14:paraId="39C000B0">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20.4.2 在缺陷责任期终止证书颁发前，承包人应以承包人和发包人的共同名义，投保第20.4.1项约定的第三者责任险，其保险费率、保险金额等有关内容在专用合同条款中约定。</w:t>
      </w:r>
    </w:p>
    <w:p w14:paraId="34DD7F1A">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20.5 其他保险</w:t>
      </w:r>
    </w:p>
    <w:p w14:paraId="0BC0E7EE">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除专用合同条款另有约定外，承包人应为其施工设备、进场的材料和工程设备等办理保险。</w:t>
      </w:r>
    </w:p>
    <w:p w14:paraId="523B1788">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20.6 对各项保险的一般要求</w:t>
      </w:r>
    </w:p>
    <w:p w14:paraId="786D6F40">
      <w:pPr>
        <w:pStyle w:val="87"/>
        <w:spacing w:line="400" w:lineRule="exact"/>
        <w:ind w:firstLine="619" w:firstLineChars="257"/>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20.6.1 保险凭证</w:t>
      </w:r>
    </w:p>
    <w:p w14:paraId="1D499C75">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承包人应在专用合同条款约定的期限内向发包人提交各项保险生效的证据和保险单副本，保险单必须与专用合同条款约定的条件保持一致。</w:t>
      </w:r>
    </w:p>
    <w:p w14:paraId="2E204109">
      <w:pPr>
        <w:pStyle w:val="87"/>
        <w:spacing w:line="400" w:lineRule="exact"/>
        <w:ind w:firstLine="619" w:firstLineChars="257"/>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20.6.2 保险合同条款的变动</w:t>
      </w:r>
    </w:p>
    <w:p w14:paraId="5CD13F91">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承包人需要变动保险合同条款时，应事先征得发包人同意，并通知监理人。保险人作出变动的，承包人应在收到保险人通知后立即通知发包人和监理人。</w:t>
      </w:r>
    </w:p>
    <w:p w14:paraId="41E8A663">
      <w:pPr>
        <w:pStyle w:val="87"/>
        <w:spacing w:line="400" w:lineRule="exact"/>
        <w:ind w:firstLine="619" w:firstLineChars="257"/>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20.6.3 持续保险</w:t>
      </w:r>
    </w:p>
    <w:p w14:paraId="0CE234B0">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承包人应与保险人保持联系，使保险人能够随时了解工程实施中的变动，并确保按保险合同条款要求持续保险。</w:t>
      </w:r>
    </w:p>
    <w:p w14:paraId="4B72506A">
      <w:pPr>
        <w:pStyle w:val="87"/>
        <w:spacing w:line="400" w:lineRule="exact"/>
        <w:ind w:firstLine="619" w:firstLineChars="257"/>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 xml:space="preserve">20.6.4 保险金不足的补偿 </w:t>
      </w:r>
    </w:p>
    <w:p w14:paraId="042717B3">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保险金不足以补偿损失时，应由承包人和发包人各自负责补偿的范围和金额在专用合同条款中约定。</w:t>
      </w:r>
    </w:p>
    <w:p w14:paraId="146D4ADE">
      <w:pPr>
        <w:pStyle w:val="87"/>
        <w:spacing w:line="400" w:lineRule="exact"/>
        <w:ind w:firstLine="619" w:firstLineChars="257"/>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 xml:space="preserve">20.6.5 未按约定投保的补救 </w:t>
      </w:r>
    </w:p>
    <w:p w14:paraId="28C51E86">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（1）由于负有投保义务的一方当事人未按合同约定办理保险，或未能使保险持续有效的，另一方当事人可代为办理，所需费用由对方当事人承担。</w:t>
      </w:r>
    </w:p>
    <w:p w14:paraId="2E78376F">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（2）由于负有投保义务的一方当事人未按合同约定办理某项保险，导致受益人未能得到保险人的赔偿，原应从该项保险得到的保险金应由负有投保义务的一方当事人支付。</w:t>
      </w:r>
    </w:p>
    <w:p w14:paraId="3CC9B95E">
      <w:pPr>
        <w:pStyle w:val="87"/>
        <w:spacing w:line="400" w:lineRule="exact"/>
        <w:ind w:firstLine="619" w:firstLineChars="257"/>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 xml:space="preserve">20.6.6 报告义务 </w:t>
      </w:r>
    </w:p>
    <w:p w14:paraId="50A65B16">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当保险事故发生时，投保人应按照保险单规定的条件和期限及时向保险人报告。</w:t>
      </w:r>
    </w:p>
    <w:p w14:paraId="437FD093">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20.7 风险责任的转移</w:t>
      </w:r>
    </w:p>
    <w:p w14:paraId="10F7B31B">
      <w:pPr>
        <w:pStyle w:val="26"/>
        <w:spacing w:line="400" w:lineRule="exact"/>
        <w:ind w:firstLine="560"/>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工程通过合同工程完工验收并移交给发包人后，原由承包人应承担的风险责任，以及保险的责任、权利和义务同时转移给发包人，但承包人在缺陷责任期(工程质量保修期)前造成损失和损坏情形除外。</w:t>
      </w:r>
    </w:p>
    <w:p w14:paraId="09F5E1D5">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1206" w:name="_Toc222804537"/>
      <w:bookmarkStart w:id="1207" w:name="_Toc388633688"/>
      <w:bookmarkStart w:id="1208" w:name="_Toc449111939"/>
      <w:bookmarkStart w:id="1209" w:name="_Toc214355684"/>
      <w:bookmarkStart w:id="1210" w:name="_Toc249848963"/>
      <w:bookmarkStart w:id="1211" w:name="_Toc351898558"/>
      <w:bookmarkStart w:id="1212" w:name="_Toc436133249"/>
      <w:bookmarkStart w:id="1213" w:name="_Toc274500909"/>
      <w:bookmarkStart w:id="1214" w:name="_Toc450123145"/>
      <w:bookmarkStart w:id="1215" w:name="_Toc510197485"/>
      <w:bookmarkStart w:id="1216" w:name="_Toc260230313"/>
      <w:bookmarkStart w:id="1217" w:name="_Toc436309958"/>
      <w:bookmarkStart w:id="1218" w:name="_Toc257202846"/>
      <w:bookmarkStart w:id="1219" w:name="_Toc260649041"/>
      <w:bookmarkStart w:id="1220" w:name="_Toc436309606"/>
      <w:bookmarkStart w:id="1221" w:name="_Toc14950"/>
      <w:bookmarkStart w:id="1222" w:name="_Toc476231312"/>
      <w:bookmarkStart w:id="1223" w:name="_Toc504565813"/>
      <w:bookmarkStart w:id="1224" w:name="_Toc338778053"/>
      <w:bookmarkStart w:id="1225" w:name="_Toc215805064"/>
      <w:bookmarkStart w:id="1226" w:name="_Toc206830034"/>
      <w:bookmarkStart w:id="1227" w:name="_Toc510197623"/>
      <w:bookmarkStart w:id="1228" w:name="_Toc450123379"/>
      <w:bookmarkStart w:id="1229" w:name="_Toc2442"/>
      <w:bookmarkStart w:id="1230" w:name="_Toc227658511"/>
      <w:bookmarkStart w:id="1231" w:name="_Toc245110751"/>
      <w:bookmarkStart w:id="1232" w:name="_Toc187475853"/>
      <w:bookmarkStart w:id="1233" w:name="_Toc436998799"/>
      <w:bookmarkStart w:id="1234" w:name="_Toc342046327"/>
      <w:bookmarkStart w:id="1235" w:name="_Toc368145497"/>
      <w:bookmarkStart w:id="1236" w:name="_Toc195864508"/>
      <w:bookmarkStart w:id="1237" w:name="_Toc452986513"/>
      <w:bookmarkStart w:id="1238" w:name="_Toc255741942"/>
      <w:bookmarkStart w:id="1239" w:name="_Toc305763067"/>
      <w:bookmarkStart w:id="1240" w:name="_Toc340436806"/>
      <w:bookmarkStart w:id="1241" w:name="_Toc458599289"/>
      <w:bookmarkStart w:id="1242" w:name="_Toc255470278"/>
      <w:bookmarkStart w:id="1243" w:name="_Toc504565700"/>
      <w:bookmarkStart w:id="1244" w:name="_Toc211175345"/>
      <w:bookmarkStart w:id="1245" w:name="_Toc254774422"/>
      <w:bookmarkStart w:id="1246" w:name="_Toc209862343"/>
      <w:bookmarkStart w:id="1247" w:name="_Toc208734421"/>
      <w:bookmarkStart w:id="1248" w:name="_Toc270517155"/>
      <w:bookmarkStart w:id="1249" w:name="_Toc215556203"/>
      <w:bookmarkStart w:id="1250" w:name="_Toc477164673"/>
      <w:bookmarkStart w:id="1251" w:name="_Toc306293177"/>
      <w:bookmarkStart w:id="1252" w:name="_Toc255470055"/>
      <w:bookmarkStart w:id="1253" w:name="_Toc215561221"/>
      <w:bookmarkStart w:id="1254" w:name="_Toc389226408"/>
      <w:bookmarkStart w:id="1255" w:name="_Toc453768111"/>
      <w:bookmarkStart w:id="1256" w:name="_Toc445105548"/>
      <w:bookmarkStart w:id="1257" w:name="_Toc460581191"/>
      <w:bookmarkStart w:id="1258" w:name="_Toc260229986"/>
      <w:bookmarkStart w:id="1259" w:name="_Toc371937205"/>
      <w:bookmarkStart w:id="1260" w:name="_Toc187846013"/>
      <w:bookmarkStart w:id="1261" w:name="_Toc340222916"/>
      <w:bookmarkStart w:id="1262" w:name="_Toc219172350"/>
      <w:bookmarkStart w:id="1263" w:name="_Toc350857440"/>
      <w:bookmarkStart w:id="1264" w:name="_Toc248294434"/>
      <w:bookmarkStart w:id="1265" w:name="_Toc439772712"/>
      <w:r>
        <w:rPr>
          <w:rFonts w:hint="eastAsia" w:hAnsi="宋体" w:cs="宋体"/>
          <w:b/>
          <w:color w:val="000000" w:themeColor="text1"/>
          <w:sz w:val="32"/>
          <w:szCs w:val="32"/>
          <w14:textFill>
            <w14:solidFill>
              <w14:schemeClr w14:val="tx1"/>
            </w14:solidFill>
          </w14:textFill>
        </w:rPr>
        <w:t>21. 不可抗力</w:t>
      </w:r>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p>
    <w:p w14:paraId="119D4735">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21.1 不可抗力的确认</w:t>
      </w:r>
    </w:p>
    <w:p w14:paraId="2B197AC7">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21.1.1 不可抗力是指承包人和发包人在订立合同时不可预见，在工程施工过程中不可避免发生并不能克服的自然灾害和社会性突发事件，如地震、海啸、瘟疫、水灾、骚乱、暴动、战争和专用合同条款约定的其他情形。</w:t>
      </w:r>
    </w:p>
    <w:p w14:paraId="3082B9B3">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21.1.2 不可抗力发生后，发包人和承包人应及时认真统计所造成的损失，收集不可抗力造成损失的证据。合同双方对是否属于不可抗力或其损失的意见不一致的，由监理人按第3.5款商定或确定。发生争议时，按第24 条的约定办理。</w:t>
      </w:r>
    </w:p>
    <w:p w14:paraId="3216AADD">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21.2 不可抗力的通知</w:t>
      </w:r>
    </w:p>
    <w:p w14:paraId="361DFF0B">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21.2.1 合同一方当事人遇到不可抗力事件，使其履行合同义务受到阻碍时，应立即通知合同另一方当事人和监理人，书面说明不可抗力和受阻碍的详细情况，并提供必要的证明。</w:t>
      </w:r>
    </w:p>
    <w:p w14:paraId="796A5E7C">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21.2.2 如不可抗力持续发生，合同一方当事人应及时向合同另一方当事人和监理人提交中间报告，说明不可抗力和履行合同受阻的情况，并于不可抗力事件结束后28 天内提交最终报告及有关资料。</w:t>
      </w:r>
    </w:p>
    <w:p w14:paraId="684C90ED">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21.3 不可抗力后果及其处理</w:t>
      </w:r>
    </w:p>
    <w:p w14:paraId="6D1A6FDB">
      <w:pPr>
        <w:pStyle w:val="87"/>
        <w:spacing w:line="400" w:lineRule="exact"/>
        <w:ind w:firstLine="619" w:firstLineChars="257"/>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21.3.1 不可抗力造成损害的责任</w:t>
      </w:r>
    </w:p>
    <w:p w14:paraId="5AC38664">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除专用合同条款另有约定外，不可抗力导致的人员伤亡、财产损失、费用增加和（或）工期延误等后果，由合同双方按以下原则承担：</w:t>
      </w:r>
    </w:p>
    <w:p w14:paraId="6394AC92">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（1）永久工程，包括已运至施工场地的材料和工程设备的损害，以及因工程损害造成的第三者人员伤亡和财产损失由发包人承担；</w:t>
      </w:r>
    </w:p>
    <w:p w14:paraId="6D2EB076">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（2）承包人设备的损坏由承包人承担；</w:t>
      </w:r>
    </w:p>
    <w:p w14:paraId="111C2212">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（3）发包人和承包人各自承担其人员伤亡和其他财产损失及其相关费用；</w:t>
      </w:r>
    </w:p>
    <w:p w14:paraId="1A7D5722">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（4）承包人的停工损失由承包人承担，但停工期间应监理人要求照管工程和清理、修复工程的金额由发包人承担；</w:t>
      </w:r>
    </w:p>
    <w:p w14:paraId="2D730A16">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（5）不能按期竣工的，应合理延长工期，承包人不需支付逾期竣工违约金。发包人要求赶工的，承包人应采取赶工措施，赶工费用由发包人承担。</w:t>
      </w:r>
    </w:p>
    <w:p w14:paraId="5A53363A">
      <w:pPr>
        <w:pStyle w:val="87"/>
        <w:spacing w:line="400" w:lineRule="exact"/>
        <w:ind w:firstLine="619" w:firstLineChars="257"/>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21.3.2 延迟履行期间发生的不可抗力</w:t>
      </w:r>
    </w:p>
    <w:p w14:paraId="210EA5F3">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合同一方当事人延迟履行，在延迟履行期间发生不可抗力的，不免除其责任。</w:t>
      </w:r>
    </w:p>
    <w:p w14:paraId="670620C8">
      <w:pPr>
        <w:pStyle w:val="87"/>
        <w:spacing w:line="400" w:lineRule="exact"/>
        <w:ind w:firstLine="619" w:firstLineChars="257"/>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21.3.3 避免和减少不可抗力损失</w:t>
      </w:r>
    </w:p>
    <w:p w14:paraId="08E1ACB6">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不可抗力发生后，发包人和承包人均应采取措施尽量避免和减少损失的扩大，任何一方没有采取有效措施导致损失扩大的，应对扩大的损失承担责任。</w:t>
      </w:r>
    </w:p>
    <w:p w14:paraId="1DE80A76">
      <w:pPr>
        <w:pStyle w:val="87"/>
        <w:spacing w:line="400" w:lineRule="exact"/>
        <w:ind w:firstLine="619" w:firstLineChars="257"/>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21.3.4 因不可抗力解除合同</w:t>
      </w:r>
    </w:p>
    <w:p w14:paraId="1C14DE70">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合同一方当事人因不可抗力不能履行合同的，应当及时通知对方解除合同。合同解除后，承包人应按照第22.2.5 项约定撤离施工场地。已经订货的材料、设备由订货方负责退货或解除订货合同，不能退还的货款和因退货、解除订货合同发生的费用，由发包人承担，因未及时退货造成的损失由责任方承担。合同解除后的付款，参照第22.2.4 项约定，由监理人按第3.5 款商定或确定。</w:t>
      </w:r>
    </w:p>
    <w:p w14:paraId="4C806924">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1266" w:name="_Toc255470279"/>
      <w:bookmarkStart w:id="1267" w:name="_Toc25318"/>
      <w:bookmarkStart w:id="1268" w:name="_Toc476231313"/>
      <w:bookmarkStart w:id="1269" w:name="_Toc248294435"/>
      <w:bookmarkStart w:id="1270" w:name="_Toc187475854"/>
      <w:bookmarkStart w:id="1271" w:name="_Toc187846014"/>
      <w:bookmarkStart w:id="1272" w:name="_Toc350857441"/>
      <w:bookmarkStart w:id="1273" w:name="_Toc445105549"/>
      <w:bookmarkStart w:id="1274" w:name="_Toc338778054"/>
      <w:bookmarkStart w:id="1275" w:name="_Toc211175346"/>
      <w:bookmarkStart w:id="1276" w:name="_Toc306293178"/>
      <w:bookmarkStart w:id="1277" w:name="_Toc452986514"/>
      <w:bookmarkStart w:id="1278" w:name="_Toc7252"/>
      <w:bookmarkStart w:id="1279" w:name="_Toc449111940"/>
      <w:bookmarkStart w:id="1280" w:name="_Toc460581192"/>
      <w:bookmarkStart w:id="1281" w:name="_Toc227658512"/>
      <w:bookmarkStart w:id="1282" w:name="_Toc510197486"/>
      <w:bookmarkStart w:id="1283" w:name="_Toc254774423"/>
      <w:bookmarkStart w:id="1284" w:name="_Toc504565814"/>
      <w:bookmarkStart w:id="1285" w:name="_Toc255741943"/>
      <w:bookmarkStart w:id="1286" w:name="_Toc215561222"/>
      <w:bookmarkStart w:id="1287" w:name="_Toc260230314"/>
      <w:bookmarkStart w:id="1288" w:name="_Toc342046328"/>
      <w:bookmarkStart w:id="1289" w:name="_Toc477164674"/>
      <w:bookmarkStart w:id="1290" w:name="_Toc436309959"/>
      <w:bookmarkStart w:id="1291" w:name="_Toc215805065"/>
      <w:bookmarkStart w:id="1292" w:name="_Toc195864509"/>
      <w:bookmarkStart w:id="1293" w:name="_Toc274500910"/>
      <w:bookmarkStart w:id="1294" w:name="_Toc450123146"/>
      <w:bookmarkStart w:id="1295" w:name="_Toc260229987"/>
      <w:bookmarkStart w:id="1296" w:name="_Toc371937206"/>
      <w:bookmarkStart w:id="1297" w:name="_Toc209862344"/>
      <w:bookmarkStart w:id="1298" w:name="_Toc270517156"/>
      <w:bookmarkStart w:id="1299" w:name="_Toc458599290"/>
      <w:bookmarkStart w:id="1300" w:name="_Toc436309607"/>
      <w:bookmarkStart w:id="1301" w:name="_Toc504565701"/>
      <w:bookmarkStart w:id="1302" w:name="_Toc255470056"/>
      <w:bookmarkStart w:id="1303" w:name="_Toc510197624"/>
      <w:bookmarkStart w:id="1304" w:name="_Toc305763068"/>
      <w:bookmarkStart w:id="1305" w:name="_Toc245110752"/>
      <w:bookmarkStart w:id="1306" w:name="_Toc249848964"/>
      <w:bookmarkStart w:id="1307" w:name="_Toc214355685"/>
      <w:bookmarkStart w:id="1308" w:name="_Toc219172351"/>
      <w:bookmarkStart w:id="1309" w:name="_Toc436133250"/>
      <w:bookmarkStart w:id="1310" w:name="_Toc340436807"/>
      <w:bookmarkStart w:id="1311" w:name="_Toc257202847"/>
      <w:bookmarkStart w:id="1312" w:name="_Toc439772713"/>
      <w:bookmarkStart w:id="1313" w:name="_Toc351898559"/>
      <w:bookmarkStart w:id="1314" w:name="_Toc450123380"/>
      <w:bookmarkStart w:id="1315" w:name="_Toc260649042"/>
      <w:bookmarkStart w:id="1316" w:name="_Toc453768112"/>
      <w:bookmarkStart w:id="1317" w:name="_Toc215556204"/>
      <w:bookmarkStart w:id="1318" w:name="_Toc222804538"/>
      <w:bookmarkStart w:id="1319" w:name="_Toc389226409"/>
      <w:bookmarkStart w:id="1320" w:name="_Toc206830035"/>
      <w:bookmarkStart w:id="1321" w:name="_Toc436998800"/>
      <w:bookmarkStart w:id="1322" w:name="_Toc368145498"/>
      <w:bookmarkStart w:id="1323" w:name="_Toc340222917"/>
      <w:bookmarkStart w:id="1324" w:name="_Toc208734422"/>
      <w:bookmarkStart w:id="1325" w:name="_Toc388633689"/>
      <w:r>
        <w:rPr>
          <w:rFonts w:hint="eastAsia" w:hAnsi="宋体" w:cs="宋体"/>
          <w:b/>
          <w:color w:val="000000" w:themeColor="text1"/>
          <w:sz w:val="32"/>
          <w:szCs w:val="32"/>
          <w14:textFill>
            <w14:solidFill>
              <w14:schemeClr w14:val="tx1"/>
            </w14:solidFill>
          </w14:textFill>
        </w:rPr>
        <w:t>22. 违约</w:t>
      </w:r>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p>
    <w:p w14:paraId="1022277D">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22.1 承包人违约</w:t>
      </w:r>
    </w:p>
    <w:p w14:paraId="4AE354A6">
      <w:pPr>
        <w:pStyle w:val="87"/>
        <w:spacing w:line="400" w:lineRule="exact"/>
        <w:ind w:firstLine="619" w:firstLineChars="257"/>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22.1.1 承包人违约的情形</w:t>
      </w:r>
    </w:p>
    <w:p w14:paraId="42A2BA1B">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在履行合同过程中发生的下列情况属承包人违约：</w:t>
      </w:r>
    </w:p>
    <w:p w14:paraId="09BDF860">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（1）承包人违反第1.8款或第4.3款的约定，私自将合同的全部或部分权利转让给其他人，或私自将合同的全部或部分义务转移给其他人；</w:t>
      </w:r>
    </w:p>
    <w:p w14:paraId="0A56DC56">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（2）承包人违反第5.3款或第6.4款的约定，未经监理人批准，私自将已按合同约定进入施工场地的施工设备、临时设施或材料撤离施工场地；</w:t>
      </w:r>
    </w:p>
    <w:p w14:paraId="47F0C9F6">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（3）承包人违反第5.4款的约定使用了不合格材料或工程设备，工程质量达不到标准要求，又拒绝清除不合格工程；</w:t>
      </w:r>
    </w:p>
    <w:p w14:paraId="0ADF7926">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（4）承包人未能按合同进度计划及时完成合同约定的工作，已造成或预期造成工期延误；</w:t>
      </w:r>
    </w:p>
    <w:p w14:paraId="136CA65D">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（5）承包人在缺陷责任期(工程质量保修期)内，未能对合同工程完工验收鉴定书所列的缺陷清单的内容或缺陷责任期(工程质量保修期)内发生的缺陷进行修复，而又拒绝按监理人指示再进行修补；</w:t>
      </w:r>
    </w:p>
    <w:p w14:paraId="3182029D">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（6）承包人无法继续履行或明确表示不履行或实质上已停止履行合同；</w:t>
      </w:r>
    </w:p>
    <w:p w14:paraId="43496F32">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（7）承包人不按合同约定履行义务的其它情况。</w:t>
      </w:r>
    </w:p>
    <w:p w14:paraId="1AFE3AF7">
      <w:pPr>
        <w:pStyle w:val="87"/>
        <w:spacing w:line="400" w:lineRule="exact"/>
        <w:ind w:firstLine="619" w:firstLineChars="257"/>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 xml:space="preserve">22.1.2 对承包人违约的处理 </w:t>
      </w:r>
    </w:p>
    <w:p w14:paraId="4F598023">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（1）承包人发生第22.1.1（6）目约定的违约情况时，发包人可通知承包人立即解除合同，并按有关法律处理。</w:t>
      </w:r>
    </w:p>
    <w:p w14:paraId="7ABFB14D">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（2）承包人发生除第22.1.1（6）目约定以外的其他违约情况时，监理人可向承包人发出整改通知，要求其在指定的期限内改正。承包人应承担其违约所引起的费用增加和（或）工期延误。</w:t>
      </w:r>
    </w:p>
    <w:p w14:paraId="191C1F5A">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（3）经检查证明承包人已采取了有效措施纠正违约行为，具备复工条件的，可由监理人签发复工通知复工。</w:t>
      </w:r>
    </w:p>
    <w:p w14:paraId="79E3B8A2">
      <w:pPr>
        <w:pStyle w:val="87"/>
        <w:spacing w:line="400" w:lineRule="exact"/>
        <w:ind w:firstLine="619" w:firstLineChars="257"/>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 xml:space="preserve">22.1.3 承包人违约解除合同 </w:t>
      </w:r>
    </w:p>
    <w:p w14:paraId="083D866F">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监理人发出整改通知28 天后，承包人仍不纠正违约行为的，发包人可向承包人发出解除合同通知。合同解除后，发包人可派员进驻施工场地，另行组织人员或委托其他承包人施工。发包人因继续完成该工程的需要，有权扣留使用承包人在现场的材料、设备和临时设施。但发包人的这一行动不免除承包人应承担的违约责任，也不影响发包人根据合同约定享有的索赔权利。</w:t>
      </w:r>
    </w:p>
    <w:p w14:paraId="61EDCF8A">
      <w:pPr>
        <w:pStyle w:val="87"/>
        <w:spacing w:line="400" w:lineRule="exact"/>
        <w:ind w:firstLine="619" w:firstLineChars="257"/>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 xml:space="preserve">22.1.4 合同解除后的估价、付款和结清 </w:t>
      </w:r>
    </w:p>
    <w:p w14:paraId="5646E7CA">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（1）合同解除后，监理人按第3.5 款商定或确定承包人实际完成工作的价值，以及承包人已提供的材料、施工设备、工程设备和临时工程等的价值。</w:t>
      </w:r>
    </w:p>
    <w:p w14:paraId="7DB0C306">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（2）合同解除后，发包人应暂停对承包人的一切付款，查清各项付款和已扣款金额，包括承包人应支付的违约金。</w:t>
      </w:r>
    </w:p>
    <w:p w14:paraId="7AA75F92">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（3）合同解除后，发包人应按第23.4 款的约定向承包人索赔由于解除合同给发包人造成的损失。</w:t>
      </w:r>
    </w:p>
    <w:p w14:paraId="760DDF16">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（4）合同双方确认上述往来款项后，出具最终结清付款证书，结清全部合同款项。</w:t>
      </w:r>
    </w:p>
    <w:p w14:paraId="3A283BF4">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（5）发包人和承包人未能就解除合同后的结清达成一致而形成争议的，按第24 条的约定办理。</w:t>
      </w:r>
    </w:p>
    <w:p w14:paraId="200B3C35">
      <w:pPr>
        <w:pStyle w:val="87"/>
        <w:spacing w:line="400" w:lineRule="exact"/>
        <w:ind w:firstLine="619" w:firstLineChars="257"/>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 xml:space="preserve">22.1.5 协议利益的转让 </w:t>
      </w:r>
    </w:p>
    <w:p w14:paraId="59544C35">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因承包人违约解除合同的，发包人有权要求承包人将其为实施合同而签订的材料和设备的订货协议或任何服务协议利益转让给发包人，并在解除合同后的14 天内，依法办理转让手续。</w:t>
      </w:r>
    </w:p>
    <w:p w14:paraId="237B6184">
      <w:pPr>
        <w:pStyle w:val="87"/>
        <w:spacing w:line="400" w:lineRule="exact"/>
        <w:ind w:firstLine="619" w:firstLineChars="257"/>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 xml:space="preserve">22.1.6 紧急情况下无能力或不愿进行抢救 </w:t>
      </w:r>
    </w:p>
    <w:p w14:paraId="0CC2216B">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在工程实施期间或缺陷责任期内发生危及工程安全的事件，监理人通知承包人进行抢救，承包人声明无能力或不愿立即执行的，发包人有权雇佣其他人员进行抢救。此类抢救按合同约定属于承包人义务的，由此发生的金额和（或）工期延误由承包人承担。</w:t>
      </w:r>
    </w:p>
    <w:p w14:paraId="1CAEF05F">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22.2 发包人违约</w:t>
      </w:r>
    </w:p>
    <w:p w14:paraId="129A83AF">
      <w:pPr>
        <w:pStyle w:val="87"/>
        <w:spacing w:line="400" w:lineRule="exact"/>
        <w:ind w:firstLine="619" w:firstLineChars="257"/>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 xml:space="preserve">22.2.1 发包人违约的情形 </w:t>
      </w:r>
    </w:p>
    <w:p w14:paraId="6A66FE77">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在履行合同过程中发生的下列情形，属发包人违约：</w:t>
      </w:r>
    </w:p>
    <w:p w14:paraId="27F6FD49">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（1）发包人未能按合同约定支付预付款或合同价款，或拖延、拒绝批准付款申请和支付凭证，导致付款延误的；</w:t>
      </w:r>
    </w:p>
    <w:p w14:paraId="065F84EE">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（2）发包人原因造成停工的；</w:t>
      </w:r>
    </w:p>
    <w:p w14:paraId="5BB77264">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（3）监理人无正当理由没有在约定期限内发出复工指示，导致承包人无法复工的；</w:t>
      </w:r>
    </w:p>
    <w:p w14:paraId="0EDA8EBA">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（4）发包人无法继续履行或明确表示不履行或实质上已停止履行合同的；</w:t>
      </w:r>
    </w:p>
    <w:p w14:paraId="53DB8176">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（5）发包人不履行合同约定其他义务的。</w:t>
      </w:r>
    </w:p>
    <w:p w14:paraId="5A999445">
      <w:pPr>
        <w:pStyle w:val="87"/>
        <w:spacing w:line="400" w:lineRule="exact"/>
        <w:ind w:firstLine="619" w:firstLineChars="257"/>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22.2.2 承包人有权暂停施工</w:t>
      </w:r>
    </w:p>
    <w:p w14:paraId="60FE90AB">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发包人发生除第22.2.1（4）目以外的违约情况时，承包人可向发包人发出通知，要求发包人采取有效措施纠正违约行为。发包人收到承包人通知后的28 天内仍不履行合同义务，承包人有权暂停施工，并通知监理人，发包人应承担由此增加的费用和（或）工期延误，并支付承包人合理利润。</w:t>
      </w:r>
    </w:p>
    <w:p w14:paraId="03462B5C">
      <w:pPr>
        <w:pStyle w:val="87"/>
        <w:spacing w:line="400" w:lineRule="exact"/>
        <w:ind w:firstLine="619" w:firstLineChars="257"/>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22.2.3 发包人违约解除合同</w:t>
      </w:r>
    </w:p>
    <w:p w14:paraId="4402FBD7">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（1）发生第22.2.1（4）目的违约情况时，承包人可书面通知发包人解除合同。</w:t>
      </w:r>
    </w:p>
    <w:p w14:paraId="1330ECED">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（2）承包人按22.2.2 项暂停施工28 天后，发包人仍不纠正违约行为的，承包人可向发包人发出解除合同通知。但承包人的这一行动不免除发包人承担的违约责任，也不影响承包人根据合同约定享有的索赔权利。</w:t>
      </w:r>
    </w:p>
    <w:p w14:paraId="2438785C">
      <w:pPr>
        <w:pStyle w:val="87"/>
        <w:spacing w:line="400" w:lineRule="exact"/>
        <w:ind w:firstLine="619" w:firstLineChars="257"/>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 xml:space="preserve">22.2.4 解除合同后的付款 </w:t>
      </w:r>
    </w:p>
    <w:p w14:paraId="7173514B">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因发包人违约解除合同的，发包人应在解除合同后28 天内向承包人支付下列金额，承包人应在此期限内及时向发包人提交要求支付下列金额的有关资料和凭证：</w:t>
      </w:r>
    </w:p>
    <w:p w14:paraId="5B251A90">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（1）合同解除日以前所完成工作的价款；</w:t>
      </w:r>
    </w:p>
    <w:p w14:paraId="0CBFEE44">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（2）承包人为该工程施工订购并已付款的材料、工程设备和其他物品的金额。发包人付还后，该材料、工程设备和其他物品归发包人所有；</w:t>
      </w:r>
    </w:p>
    <w:p w14:paraId="6DEE0142">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（3）承包人为完成工程所发生的，而发包人未支付的金额；</w:t>
      </w:r>
    </w:p>
    <w:p w14:paraId="3348B629">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（4）承包人撤离施工场地以及遣散承包人人员的金额；</w:t>
      </w:r>
    </w:p>
    <w:p w14:paraId="133E650D">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（5）由于解除合同应赔偿的承包人损失；</w:t>
      </w:r>
    </w:p>
    <w:p w14:paraId="60F46481">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（6）按合同约定在合同解除日前应支付给承包人的其他金额。</w:t>
      </w:r>
    </w:p>
    <w:p w14:paraId="6E3C109B">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发包人应按本项约定支付上述金额并退还质量保证金和履约担保，但有权要求承包人支付应偿还给发包人的各项金额。</w:t>
      </w:r>
    </w:p>
    <w:p w14:paraId="29D2FFEF">
      <w:pPr>
        <w:pStyle w:val="87"/>
        <w:spacing w:line="400" w:lineRule="exact"/>
        <w:ind w:firstLine="619" w:firstLineChars="257"/>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 xml:space="preserve">22.2.5 解除合同后的承包人撤离 </w:t>
      </w:r>
    </w:p>
    <w:p w14:paraId="4BB84CB4">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因发包人违约而解除合同后，承包人应妥善做好已竣工工程和已购材料、设备的保护和移交工作，按发包人要求将承包人设备和人员撤出施工场地。承包人撤出施工场地应遵守第18.7.1项的约定，发包人应为承包人撤出提供必要条件。</w:t>
      </w:r>
    </w:p>
    <w:p w14:paraId="71B16792">
      <w:pPr>
        <w:pStyle w:val="87"/>
        <w:spacing w:line="400" w:lineRule="exact"/>
        <w:ind w:firstLine="360"/>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22.3 第三人造成的违约</w:t>
      </w:r>
    </w:p>
    <w:p w14:paraId="33825620">
      <w:pPr>
        <w:pStyle w:val="180"/>
        <w:spacing w:line="400" w:lineRule="atLeast"/>
        <w:ind w:firstLine="560"/>
        <w:jc w:val="both"/>
        <w:rPr>
          <w:rFonts w:hAnsi="宋体" w:cs="宋体"/>
          <w:color w:val="000000" w:themeColor="text1"/>
          <w14:textFill>
            <w14:solidFill>
              <w14:schemeClr w14:val="tx1"/>
            </w14:solidFill>
          </w14:textFill>
        </w:rPr>
      </w:pPr>
      <w:r>
        <w:rPr>
          <w:rFonts w:hint="eastAsia" w:hAnsi="宋体" w:cs="宋体"/>
          <w:color w:val="000000" w:themeColor="text1"/>
          <w14:textFill>
            <w14:solidFill>
              <w14:schemeClr w14:val="tx1"/>
            </w14:solidFill>
          </w14:textFill>
        </w:rPr>
        <w:t>在履行合同过程中，一方当事人因第三人的原因造成违约的，应当向对方当事人承担违约责任。一方当事人和第三人之间的纠纷，依照法律规定或者按照约定解决。</w:t>
      </w:r>
    </w:p>
    <w:p w14:paraId="30AC6ACB">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1326" w:name="_Toc340436808"/>
      <w:bookmarkStart w:id="1327" w:name="_Toc476231314"/>
      <w:bookmarkStart w:id="1328" w:name="_Toc2429"/>
      <w:bookmarkStart w:id="1329" w:name="_Toc208734423"/>
      <w:bookmarkStart w:id="1330" w:name="_Toc510197625"/>
      <w:bookmarkStart w:id="1331" w:name="_Toc388633690"/>
      <w:bookmarkStart w:id="1332" w:name="_Toc504565702"/>
      <w:bookmarkStart w:id="1333" w:name="_Toc248294436"/>
      <w:bookmarkStart w:id="1334" w:name="_Toc436133251"/>
      <w:bookmarkStart w:id="1335" w:name="_Toc389226410"/>
      <w:bookmarkStart w:id="1336" w:name="_Toc270517157"/>
      <w:bookmarkStart w:id="1337" w:name="_Toc371937207"/>
      <w:bookmarkStart w:id="1338" w:name="_Toc260230315"/>
      <w:bookmarkStart w:id="1339" w:name="_Toc206830036"/>
      <w:bookmarkStart w:id="1340" w:name="_Toc257202848"/>
      <w:bookmarkStart w:id="1341" w:name="_Toc450123381"/>
      <w:bookmarkStart w:id="1342" w:name="_Toc460581193"/>
      <w:bookmarkStart w:id="1343" w:name="_Toc215805066"/>
      <w:bookmarkStart w:id="1344" w:name="_Toc452986515"/>
      <w:bookmarkStart w:id="1345" w:name="_Toc215561223"/>
      <w:bookmarkStart w:id="1346" w:name="_Toc260229988"/>
      <w:bookmarkStart w:id="1347" w:name="_Toc436309608"/>
      <w:bookmarkStart w:id="1348" w:name="_Toc195864510"/>
      <w:bookmarkStart w:id="1349" w:name="_Toc222804539"/>
      <w:bookmarkStart w:id="1350" w:name="_Toc274500911"/>
      <w:bookmarkStart w:id="1351" w:name="_Toc227658513"/>
      <w:bookmarkStart w:id="1352" w:name="_Toc368145499"/>
      <w:bookmarkStart w:id="1353" w:name="_Toc510197487"/>
      <w:bookmarkStart w:id="1354" w:name="_Toc255470057"/>
      <w:bookmarkStart w:id="1355" w:name="_Toc249848965"/>
      <w:bookmarkStart w:id="1356" w:name="_Toc306293179"/>
      <w:bookmarkStart w:id="1357" w:name="_Toc254774424"/>
      <w:bookmarkStart w:id="1358" w:name="_Toc449111941"/>
      <w:bookmarkStart w:id="1359" w:name="_Toc351898560"/>
      <w:bookmarkStart w:id="1360" w:name="_Toc255741944"/>
      <w:bookmarkStart w:id="1361" w:name="_Toc245110753"/>
      <w:bookmarkStart w:id="1362" w:name="_Toc436998801"/>
      <w:bookmarkStart w:id="1363" w:name="_Toc19932"/>
      <w:bookmarkStart w:id="1364" w:name="_Toc260649043"/>
      <w:bookmarkStart w:id="1365" w:name="_Toc338778055"/>
      <w:bookmarkStart w:id="1366" w:name="_Toc187846015"/>
      <w:bookmarkStart w:id="1367" w:name="_Toc450123147"/>
      <w:bookmarkStart w:id="1368" w:name="_Toc214355686"/>
      <w:bookmarkStart w:id="1369" w:name="_Toc453768113"/>
      <w:bookmarkStart w:id="1370" w:name="_Toc215556205"/>
      <w:bookmarkStart w:id="1371" w:name="_Toc504565815"/>
      <w:bookmarkStart w:id="1372" w:name="_Toc219172352"/>
      <w:bookmarkStart w:id="1373" w:name="_Toc342046329"/>
      <w:bookmarkStart w:id="1374" w:name="_Toc305763069"/>
      <w:bookmarkStart w:id="1375" w:name="_Toc255470280"/>
      <w:bookmarkStart w:id="1376" w:name="_Toc458599291"/>
      <w:bookmarkStart w:id="1377" w:name="_Toc340222918"/>
      <w:bookmarkStart w:id="1378" w:name="_Toc436309960"/>
      <w:bookmarkStart w:id="1379" w:name="_Toc350857442"/>
      <w:bookmarkStart w:id="1380" w:name="_Toc209862345"/>
      <w:bookmarkStart w:id="1381" w:name="_Toc187475855"/>
      <w:bookmarkStart w:id="1382" w:name="_Toc445105550"/>
      <w:bookmarkStart w:id="1383" w:name="_Toc439772714"/>
      <w:bookmarkStart w:id="1384" w:name="_Toc477164675"/>
      <w:bookmarkStart w:id="1385" w:name="_Toc211175347"/>
      <w:r>
        <w:rPr>
          <w:rFonts w:hint="eastAsia" w:hAnsi="宋体" w:cs="宋体"/>
          <w:b/>
          <w:color w:val="000000" w:themeColor="text1"/>
          <w:sz w:val="32"/>
          <w:szCs w:val="32"/>
          <w14:textFill>
            <w14:solidFill>
              <w14:schemeClr w14:val="tx1"/>
            </w14:solidFill>
          </w14:textFill>
        </w:rPr>
        <w:t>23. 索赔</w:t>
      </w:r>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p>
    <w:p w14:paraId="3B5680B8">
      <w:pPr>
        <w:pStyle w:val="87"/>
        <w:spacing w:line="400" w:lineRule="exact"/>
        <w:ind w:firstLine="360"/>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23.1 承包人索赔的提出</w:t>
      </w:r>
    </w:p>
    <w:p w14:paraId="13DF17E4">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根据合同约定，承包人认为有权得到追加付款和（或）延长工期的，应按以下程序向发包人提出索赔：</w:t>
      </w:r>
    </w:p>
    <w:p w14:paraId="571914BA">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（1）承包人应在知道或应当知道索赔事件发生后28天内，向监理人递交索赔意向通知书，并说明发生索赔事件的事由。承包人未在前述28天内发出索赔意向通知书的，丧失要求追加付款和（或）延长工期的权利；</w:t>
      </w:r>
    </w:p>
    <w:p w14:paraId="2AB0BC30">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（2）承包人应在发出索赔意向通知书后28 天内，向监理人正式递交索赔通知书。索赔通知书应详细说明索赔理由以及要求追加的付款金额和（或）延长的工期，并附必要的记录和证明材料；</w:t>
      </w:r>
    </w:p>
    <w:p w14:paraId="40EE548D">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（3）索赔事件具有连续影响的，承包人应按合理时间间隔继续递交延续索赔通知，说明连续影响的实际情况和记录，列出累计的追加付款金额和（或）工期延长天数；</w:t>
      </w:r>
    </w:p>
    <w:p w14:paraId="244DE230">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（4）在索赔事件影响结束后的28 天内，承包人应向监理人递交最终索赔通知书，说明最终要求索赔的追加付款金额和延长的工期，并附必要的记录和证明材料。</w:t>
      </w:r>
    </w:p>
    <w:p w14:paraId="6D984E8A">
      <w:pPr>
        <w:pStyle w:val="87"/>
        <w:spacing w:line="400" w:lineRule="exact"/>
        <w:ind w:firstLine="360"/>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23.2 承包人索赔处理程序</w:t>
      </w:r>
    </w:p>
    <w:p w14:paraId="05A99BCD">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（1）监理人收到承包人提交的索赔通知书后，应及时审查索赔通知书的内容、查验承包人的记录和证明材料，必要时监理人可要求承包人提交全部原始记录副本。</w:t>
      </w:r>
    </w:p>
    <w:p w14:paraId="36C96CDE">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（2）监理人应按第3.5 款商定或确定追加的付款和（或）延长的工期，并在收到上述索赔通知书或有关索赔的进一步证明材料后的42 天内，将索赔处理结果答复承包人。</w:t>
      </w:r>
    </w:p>
    <w:p w14:paraId="5DF1457A">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（3）承包人接受索赔处理结果的，发包人应在作出索赔处理结果答复后28 天内完成赔付。承包人不接受索赔处理结果的，按第24 条的约定办理。</w:t>
      </w:r>
    </w:p>
    <w:p w14:paraId="1E0972D3">
      <w:pPr>
        <w:pStyle w:val="87"/>
        <w:spacing w:line="400" w:lineRule="exact"/>
        <w:ind w:firstLine="360"/>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23.3 承包人提出索赔的期限</w:t>
      </w:r>
    </w:p>
    <w:p w14:paraId="73D5C9BF">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23.3.1 承包人按第17.5款的约定接受了完工付款证书后，应被认为已无权再提出在合同工程完工证书颁发前所发生的任何索赔。</w:t>
      </w:r>
    </w:p>
    <w:p w14:paraId="79287A04">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23.3.2 承包人按第17.6款的约定提交的最终结清申请单中，只限于提出合同工程完工证书颁发后发生的索赔。提出索赔的期限自接受最终结清证书时终止。</w:t>
      </w:r>
    </w:p>
    <w:p w14:paraId="16795420">
      <w:pPr>
        <w:pStyle w:val="87"/>
        <w:spacing w:line="400" w:lineRule="exact"/>
        <w:ind w:firstLine="360"/>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23.4 发包人的索赔</w:t>
      </w:r>
    </w:p>
    <w:p w14:paraId="23A9C185">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23.4.1 发生索赔事件后，监理人应及时书面通知承包人，详细说明发包人有权得到的索赔金额和（或）延长缺陷责任期的细节和依据。发包人提出索赔的期限和要求与第23.3 款的约定相同，延长缺陷责任期的通知应在缺陷责任期届满前发出。</w:t>
      </w:r>
    </w:p>
    <w:p w14:paraId="6FE04049">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23.4.2 监理人按第3.5 款商定或确定发包人从承包人处得到赔付的金额和（或）缺陷责任期的延长期。承包人应付给发包人的金额可从拟支付给承包人的合同价款中扣除，或由承包人以其他方式支付给发包人。</w:t>
      </w:r>
    </w:p>
    <w:p w14:paraId="1307BECF">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23.4.3 承包人对监理人按第23.4.1项发出的索赔书面通知内容持异议时，应在收到书面通知后的14天内，将持有异议的书面报告及其证明材料提交监理人。监理人应在收到承包人书面报告后的14天内，将异议的处理意见通知承包人，并按第23.4.2项的约定执行赔付。若承包人不接受监理人的索赔处理意见，可按本合同第24条的规定办理。</w:t>
      </w:r>
    </w:p>
    <w:p w14:paraId="51C492BF">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1386" w:name="_Toc248294437"/>
      <w:bookmarkStart w:id="1387" w:name="_Toc449111942"/>
      <w:bookmarkStart w:id="1388" w:name="_Toc215561224"/>
      <w:bookmarkStart w:id="1389" w:name="_Toc342046330"/>
      <w:bookmarkStart w:id="1390" w:name="_Toc209862346"/>
      <w:bookmarkStart w:id="1391" w:name="_Toc260230316"/>
      <w:bookmarkStart w:id="1392" w:name="_Toc371937208"/>
      <w:bookmarkStart w:id="1393" w:name="_Toc445105551"/>
      <w:bookmarkStart w:id="1394" w:name="_Toc274500912"/>
      <w:bookmarkStart w:id="1395" w:name="_Toc510197626"/>
      <w:bookmarkStart w:id="1396" w:name="_Toc255741945"/>
      <w:bookmarkStart w:id="1397" w:name="_Toc208734424"/>
      <w:bookmarkStart w:id="1398" w:name="_Toc460581194"/>
      <w:bookmarkStart w:id="1399" w:name="_Toc439772715"/>
      <w:bookmarkStart w:id="1400" w:name="_Toc187846016"/>
      <w:bookmarkStart w:id="1401" w:name="_Toc306293180"/>
      <w:bookmarkStart w:id="1402" w:name="_Toc215556206"/>
      <w:bookmarkStart w:id="1403" w:name="_Toc270517158"/>
      <w:bookmarkStart w:id="1404" w:name="_Toc436309961"/>
      <w:bookmarkStart w:id="1405" w:name="_Toc477164676"/>
      <w:bookmarkStart w:id="1406" w:name="_Toc389226411"/>
      <w:bookmarkStart w:id="1407" w:name="_Toc351898561"/>
      <w:bookmarkStart w:id="1408" w:name="_Toc510197488"/>
      <w:bookmarkStart w:id="1409" w:name="_Toc340222919"/>
      <w:bookmarkStart w:id="1410" w:name="_Toc214355687"/>
      <w:bookmarkStart w:id="1411" w:name="_Toc245110754"/>
      <w:bookmarkStart w:id="1412" w:name="_Toc436309609"/>
      <w:bookmarkStart w:id="1413" w:name="_Toc187475856"/>
      <w:bookmarkStart w:id="1414" w:name="_Toc504565816"/>
      <w:bookmarkStart w:id="1415" w:name="_Toc31174"/>
      <w:bookmarkStart w:id="1416" w:name="_Toc436133252"/>
      <w:bookmarkStart w:id="1417" w:name="_Toc260649044"/>
      <w:bookmarkStart w:id="1418" w:name="_Toc504565703"/>
      <w:bookmarkStart w:id="1419" w:name="_Toc260229989"/>
      <w:bookmarkStart w:id="1420" w:name="_Toc27479"/>
      <w:bookmarkStart w:id="1421" w:name="_Toc254774425"/>
      <w:bookmarkStart w:id="1422" w:name="_Toc338778056"/>
      <w:bookmarkStart w:id="1423" w:name="_Toc255470281"/>
      <w:bookmarkStart w:id="1424" w:name="_Toc340436809"/>
      <w:bookmarkStart w:id="1425" w:name="_Toc255470058"/>
      <w:bookmarkStart w:id="1426" w:name="_Toc249848966"/>
      <w:bookmarkStart w:id="1427" w:name="_Toc227658514"/>
      <w:bookmarkStart w:id="1428" w:name="_Toc450123382"/>
      <w:bookmarkStart w:id="1429" w:name="_Toc452986516"/>
      <w:bookmarkStart w:id="1430" w:name="_Toc350857443"/>
      <w:bookmarkStart w:id="1431" w:name="_Toc458599292"/>
      <w:bookmarkStart w:id="1432" w:name="_Toc206830037"/>
      <w:bookmarkStart w:id="1433" w:name="_Toc450123148"/>
      <w:bookmarkStart w:id="1434" w:name="_Toc257202849"/>
      <w:bookmarkStart w:id="1435" w:name="_Toc222804540"/>
      <w:bookmarkStart w:id="1436" w:name="_Toc453768114"/>
      <w:bookmarkStart w:id="1437" w:name="_Toc305763070"/>
      <w:bookmarkStart w:id="1438" w:name="_Toc436998802"/>
      <w:bookmarkStart w:id="1439" w:name="_Toc211175348"/>
      <w:bookmarkStart w:id="1440" w:name="_Toc219172353"/>
      <w:bookmarkStart w:id="1441" w:name="_Toc388633691"/>
      <w:bookmarkStart w:id="1442" w:name="_Toc476231315"/>
      <w:bookmarkStart w:id="1443" w:name="_Toc195864511"/>
      <w:bookmarkStart w:id="1444" w:name="_Toc368145500"/>
      <w:bookmarkStart w:id="1445" w:name="_Toc215805067"/>
      <w:r>
        <w:rPr>
          <w:rFonts w:hint="eastAsia" w:hAnsi="宋体" w:cs="宋体"/>
          <w:b/>
          <w:color w:val="000000" w:themeColor="text1"/>
          <w:sz w:val="32"/>
          <w:szCs w:val="32"/>
          <w14:textFill>
            <w14:solidFill>
              <w14:schemeClr w14:val="tx1"/>
            </w14:solidFill>
          </w14:textFill>
        </w:rPr>
        <w:t>24. 争议的解决</w:t>
      </w:r>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p>
    <w:p w14:paraId="7F9BC63A">
      <w:pPr>
        <w:pStyle w:val="87"/>
        <w:spacing w:line="400" w:lineRule="exact"/>
        <w:ind w:firstLine="360"/>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24.1 争议的解决方式</w:t>
      </w:r>
    </w:p>
    <w:p w14:paraId="30E95E55">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发包人和承包人在履行合同中发生争议的，可以友好协商解决或者提请争议评审组评审。合同当事人友好协商解决不成、不愿提请争议评审或者不接受争议评审组意见的，可在专用合同条款中约定下列一种方式解决。</w:t>
      </w:r>
    </w:p>
    <w:p w14:paraId="4B8F4E5C">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（1）向约定的仲裁委员会申请仲裁；</w:t>
      </w:r>
    </w:p>
    <w:p w14:paraId="4D4E5EC7">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（2）向有管辖权的人民法院提起诉讼。</w:t>
      </w:r>
    </w:p>
    <w:p w14:paraId="66792F16">
      <w:pPr>
        <w:pStyle w:val="87"/>
        <w:spacing w:line="400" w:lineRule="exact"/>
        <w:ind w:firstLine="360"/>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24.2 友好解决</w:t>
      </w:r>
    </w:p>
    <w:p w14:paraId="095C3706">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在提请争议评审、仲裁或者诉讼前，以及在争议评审、仲裁或诉讼过程中，发包人和承包人均可共同努力友好协商解决争议。</w:t>
      </w:r>
    </w:p>
    <w:p w14:paraId="47CE6B9B">
      <w:pPr>
        <w:pStyle w:val="87"/>
        <w:spacing w:line="400" w:lineRule="exact"/>
        <w:ind w:firstLine="360"/>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24.3 争议评审</w:t>
      </w:r>
    </w:p>
    <w:p w14:paraId="11D0A5A5">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24.3.1 采用争议评审的，发包人和承包人应在开工日后的28 天内或在争议发生后，协商成立争议评审组。争议评审组由有合同管理和工程实践经验的专家组成。</w:t>
      </w:r>
    </w:p>
    <w:p w14:paraId="63FFABE1">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24.3.2 合同双方的争议，应首先由申请人向争议评审组提交一份详细的评审申请报告，并附必要的文件、图纸和证明材料，申请人还应将上述报告的副本同时提交给被申请人和监理人。</w:t>
      </w:r>
    </w:p>
    <w:p w14:paraId="740FFAF4">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24.3.3 被申请人在收到申请人评审申请报告副本后的28 天内，向争议评审组提交一份答辩报告，并附证明材料。被申请人应将答辩报告的副本同时提交给申请人和监理人。</w:t>
      </w:r>
    </w:p>
    <w:p w14:paraId="113FA4B5">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24.3.4 除专用合同条款另有约定外，争议评审组在收到合同双方报告后的14 天内，邀请双方代表和有关人员举行调查会，向双方调查争议细节；必要时争议评审组可要求双方进一步提供补充材料。</w:t>
      </w:r>
    </w:p>
    <w:p w14:paraId="201FEF6B">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24.3.5 除专用合同条款另有约定外，在调查会结束后的14 天内，争议评审组应在不受任何干扰的情况下进行独立、公正的评审，作出书面评审意见，并说明理由。在争议评审期间，争议双方暂按总监理工程师的确定执行。</w:t>
      </w:r>
    </w:p>
    <w:p w14:paraId="6F261E7C">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24.3.6 发包人和承包人接受评审意见的，由监理人根据评审意见拟定执行协议，经争议双方签字后作为合同的补充文件，并遵照执行。</w:t>
      </w:r>
    </w:p>
    <w:p w14:paraId="721F44E5">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24.3.7 发包人或承包人不接受评审意见，并要求提交仲裁或提起诉讼的，应在收到评审意见后的14 天内将仲裁或起诉意向书面通知另一方，并抄送监理人，但在仲裁或诉讼结束前应暂按总监理工程师的确定执行。</w:t>
      </w:r>
    </w:p>
    <w:p w14:paraId="0A3C0634">
      <w:pPr>
        <w:pStyle w:val="87"/>
        <w:spacing w:line="400" w:lineRule="exact"/>
        <w:ind w:firstLine="360"/>
        <w:jc w:val="both"/>
        <w:rPr>
          <w:rFonts w:hAnsi="宋体"/>
          <w:b/>
          <w:color w:val="000000" w:themeColor="text1"/>
          <w14:textFill>
            <w14:solidFill>
              <w14:schemeClr w14:val="tx1"/>
            </w14:solidFill>
          </w14:textFill>
        </w:rPr>
      </w:pPr>
      <w:r>
        <w:rPr>
          <w:rFonts w:hint="eastAsia" w:hAnsi="宋体"/>
          <w:b/>
          <w:color w:val="000000" w:themeColor="text1"/>
          <w14:textFill>
            <w14:solidFill>
              <w14:schemeClr w14:val="tx1"/>
            </w14:solidFill>
          </w14:textFill>
        </w:rPr>
        <w:t>24.4 仲裁</w:t>
      </w:r>
    </w:p>
    <w:p w14:paraId="417ECE02">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24.4.1 若合同双方商定直接向仲裁机构申请仲裁，应签订仲裁协议并约定仲裁机构。</w:t>
      </w:r>
    </w:p>
    <w:p w14:paraId="18A7A5BB">
      <w:pPr>
        <w:pStyle w:val="87"/>
        <w:spacing w:line="400" w:lineRule="exact"/>
        <w:ind w:firstLine="616" w:firstLineChars="257"/>
        <w:jc w:val="both"/>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24.4.2 若合同双方未能达成仲裁协议，则本合同的仲裁条款无效，任一方均有权向人民法院提起诉讼。</w:t>
      </w:r>
    </w:p>
    <w:p w14:paraId="27160804">
      <w:pPr>
        <w:spacing w:before="312" w:beforeLines="100" w:line="400" w:lineRule="exact"/>
        <w:ind w:firstLine="560"/>
        <w:jc w:val="center"/>
        <w:rPr>
          <w:rFonts w:cs="宋体"/>
          <w:color w:val="000000" w:themeColor="text1"/>
          <w:sz w:val="36"/>
          <w:szCs w:val="36"/>
          <w14:textFill>
            <w14:solidFill>
              <w14:schemeClr w14:val="tx1"/>
            </w14:solidFill>
          </w14:textFill>
        </w:rPr>
      </w:pPr>
      <w:r>
        <w:rPr>
          <w:rFonts w:hint="eastAsia" w:cs="宋体"/>
          <w:color w:val="000000" w:themeColor="text1"/>
          <w14:textFill>
            <w14:solidFill>
              <w14:schemeClr w14:val="tx1"/>
            </w14:solidFill>
          </w14:textFill>
        </w:rPr>
        <w:br w:type="page"/>
      </w:r>
      <w:bookmarkStart w:id="1446" w:name="_Toc458599293"/>
      <w:bookmarkStart w:id="1447" w:name="_Toc31186"/>
      <w:r>
        <w:rPr>
          <w:rFonts w:hint="eastAsia" w:cs="宋体"/>
          <w:color w:val="000000" w:themeColor="text1"/>
          <w:sz w:val="36"/>
          <w:szCs w:val="36"/>
          <w14:textFill>
            <w14:solidFill>
              <w14:schemeClr w14:val="tx1"/>
            </w14:solidFill>
          </w14:textFill>
        </w:rPr>
        <w:t>第二节专用合同条款</w:t>
      </w:r>
      <w:bookmarkEnd w:id="1446"/>
      <w:bookmarkEnd w:id="1447"/>
    </w:p>
    <w:p w14:paraId="478459FF">
      <w:pPr>
        <w:pStyle w:val="188"/>
        <w:ind w:right="100" w:firstLine="560"/>
        <w:jc w:val="both"/>
        <w:rPr>
          <w:rFonts w:hAnsi="宋体" w:cs="宋体"/>
          <w:color w:val="000000" w:themeColor="text1"/>
          <w14:textFill>
            <w14:solidFill>
              <w14:schemeClr w14:val="tx1"/>
            </w14:solidFill>
          </w14:textFill>
        </w:rPr>
      </w:pPr>
      <w:bookmarkStart w:id="1448" w:name="_Toc187846018"/>
      <w:bookmarkStart w:id="1449" w:name="_Toc189297960"/>
      <w:r>
        <w:rPr>
          <w:rFonts w:hint="eastAsia" w:hAnsi="宋体" w:cs="宋体"/>
          <w:color w:val="000000" w:themeColor="text1"/>
          <w14:textFill>
            <w14:solidFill>
              <w14:schemeClr w14:val="tx1"/>
            </w14:solidFill>
          </w14:textFill>
        </w:rPr>
        <w:t>专用合同条款中的各条款是补充和修改通用合同条款中条款号相同的条款或当需要时增加新的条款，两者应对照阅读，一旦出现矛盾或不一致，则以专用合同条款为准，通用合同条款中未补充和修改的部分仍有效。</w:t>
      </w:r>
    </w:p>
    <w:p w14:paraId="7BEA0601">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1450" w:name="_Toc222304218"/>
      <w:bookmarkStart w:id="1451" w:name="_Toc436998804"/>
      <w:bookmarkStart w:id="1452" w:name="_Toc436133254"/>
      <w:bookmarkStart w:id="1453" w:name="_Toc342034772"/>
      <w:bookmarkStart w:id="1454" w:name="_Toc224007969"/>
      <w:bookmarkStart w:id="1455" w:name="_Toc223755276"/>
      <w:bookmarkStart w:id="1456" w:name="_Toc230590174"/>
      <w:bookmarkStart w:id="1457" w:name="_Toc208637970"/>
      <w:bookmarkStart w:id="1458" w:name="_Toc274307431"/>
      <w:bookmarkStart w:id="1459" w:name="_Toc306620363"/>
      <w:bookmarkStart w:id="1460" w:name="_Toc345155358"/>
      <w:bookmarkStart w:id="1461" w:name="_Toc316471035"/>
      <w:bookmarkStart w:id="1462" w:name="_Toc199256757"/>
      <w:bookmarkStart w:id="1463" w:name="_Toc231027094"/>
      <w:bookmarkStart w:id="1464" w:name="_Toc445105553"/>
      <w:bookmarkStart w:id="1465" w:name="_Toc211678429"/>
      <w:bookmarkStart w:id="1466" w:name="_Toc217038018"/>
      <w:bookmarkStart w:id="1467" w:name="_Toc299349192"/>
      <w:bookmarkStart w:id="1468" w:name="_Toc41124486"/>
      <w:bookmarkStart w:id="1469" w:name="_Toc217297736"/>
      <w:bookmarkStart w:id="1470" w:name="_Toc229474549"/>
      <w:bookmarkStart w:id="1471" w:name="_Toc280710342"/>
      <w:bookmarkStart w:id="1472" w:name="_Toc217215141"/>
      <w:bookmarkStart w:id="1473" w:name="_Toc298940284"/>
      <w:bookmarkStart w:id="1474" w:name="_Toc345316756"/>
      <w:bookmarkStart w:id="1475" w:name="_Toc284248363"/>
      <w:bookmarkStart w:id="1476" w:name="_Toc222632682"/>
      <w:bookmarkStart w:id="1477" w:name="_Toc211744116"/>
      <w:bookmarkStart w:id="1478" w:name="_Toc274724458"/>
      <w:bookmarkStart w:id="1479" w:name="_Toc217277536"/>
      <w:bookmarkStart w:id="1480" w:name="_Toc373851222"/>
      <w:bookmarkStart w:id="1481" w:name="_Toc207789611"/>
      <w:bookmarkStart w:id="1482" w:name="_Toc439772717"/>
      <w:bookmarkStart w:id="1483" w:name="_Toc373850697"/>
      <w:bookmarkStart w:id="1484" w:name="_Toc208739061"/>
      <w:bookmarkStart w:id="1485" w:name="_Toc234656787"/>
      <w:bookmarkStart w:id="1486" w:name="_Toc281292245"/>
      <w:bookmarkStart w:id="1487" w:name="_Toc335832994"/>
      <w:bookmarkStart w:id="1488" w:name="_Toc217034867"/>
      <w:bookmarkStart w:id="1489" w:name="_Toc289938977"/>
      <w:bookmarkStart w:id="1490" w:name="_Toc436309963"/>
      <w:bookmarkStart w:id="1491" w:name="_Toc281740668"/>
      <w:bookmarkStart w:id="1492" w:name="_Toc208117574"/>
      <w:bookmarkStart w:id="1493" w:name="_Toc229474965"/>
      <w:bookmarkStart w:id="1494" w:name="_Toc436309611"/>
      <w:bookmarkStart w:id="1495" w:name="_Toc208550944"/>
      <w:r>
        <w:rPr>
          <w:rFonts w:hint="eastAsia" w:hAnsi="宋体" w:cs="宋体"/>
          <w:b/>
          <w:color w:val="000000" w:themeColor="text1"/>
          <w:sz w:val="32"/>
          <w:szCs w:val="32"/>
          <w14:textFill>
            <w14:solidFill>
              <w14:schemeClr w14:val="tx1"/>
            </w14:solidFill>
          </w14:textFill>
        </w:rPr>
        <w:t>1. 一般约定</w:t>
      </w:r>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p>
    <w:p w14:paraId="18429C15">
      <w:pPr>
        <w:pStyle w:val="199"/>
        <w:spacing w:line="400" w:lineRule="exact"/>
        <w:ind w:firstLine="542" w:firstLineChars="225"/>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1.1.2 合同当事人和人员</w:t>
      </w:r>
    </w:p>
    <w:p w14:paraId="323CCAD2">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1.1.2.2 发包人：</w:t>
      </w:r>
    </w:p>
    <w:p w14:paraId="3CC3BAEF">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1.1.2.3 承包人：（签约后填入承包人的名称）</w:t>
      </w:r>
    </w:p>
    <w:p w14:paraId="5D10CC0A">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1.1.2.6 监理人：招标人通过招标确定。</w:t>
      </w:r>
    </w:p>
    <w:p w14:paraId="15A8291E">
      <w:pPr>
        <w:pStyle w:val="199"/>
        <w:spacing w:line="400" w:lineRule="exact"/>
        <w:ind w:firstLine="542" w:firstLineChars="225"/>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1.1.3 工程和设备</w:t>
      </w:r>
    </w:p>
    <w:p w14:paraId="51F045BA">
      <w:pPr>
        <w:spacing w:line="400" w:lineRule="exact"/>
        <w:ind w:firstLine="630" w:firstLineChars="225"/>
        <w:rPr>
          <w:rFonts w:cs="宋体"/>
          <w:color w:val="000000" w:themeColor="text1"/>
          <w14:textFill>
            <w14:solidFill>
              <w14:schemeClr w14:val="tx1"/>
            </w14:solidFill>
          </w14:textFill>
        </w:rPr>
      </w:pPr>
      <w:r>
        <w:rPr>
          <w:rFonts w:hint="eastAsia" w:cs="宋体"/>
          <w:color w:val="000000" w:themeColor="text1"/>
          <w14:textFill>
            <w14:solidFill>
              <w14:schemeClr w14:val="tx1"/>
            </w14:solidFill>
          </w14:textFill>
        </w:rPr>
        <w:t xml:space="preserve">1.1.3.4 </w:t>
      </w:r>
      <w:r>
        <w:rPr>
          <w:rFonts w:hint="eastAsia" w:eastAsia="宋体" w:cs="宋体"/>
          <w:color w:val="000000" w:themeColor="text1"/>
          <w:sz w:val="21"/>
          <w:szCs w:val="24"/>
          <w14:textFill>
            <w14:solidFill>
              <w14:schemeClr w14:val="tx1"/>
            </w14:solidFill>
          </w14:textFill>
        </w:rPr>
        <w:t>单位工程：由发包人委托监理人，根据本合同工程内容按《水利水电工程施工质量评定规程》及有关规定，进行工程质量评定项目划分并报本工程质量监督部门认定的单位工程。</w:t>
      </w:r>
    </w:p>
    <w:p w14:paraId="1112456A">
      <w:pPr>
        <w:pStyle w:val="199"/>
        <w:spacing w:line="400" w:lineRule="exact"/>
        <w:ind w:firstLine="542" w:firstLineChars="225"/>
        <w:jc w:val="both"/>
        <w:rPr>
          <w:rFonts w:hAnsi="宋体" w:cs="宋体"/>
          <w:b/>
          <w:color w:val="000000" w:themeColor="text1"/>
          <w14:textFill>
            <w14:solidFill>
              <w14:schemeClr w14:val="tx1"/>
            </w14:solidFill>
          </w14:textFill>
        </w:rPr>
      </w:pPr>
      <w:bookmarkStart w:id="1496" w:name="_Toc234656788"/>
      <w:bookmarkStart w:id="1497" w:name="_Toc224007970"/>
      <w:bookmarkStart w:id="1498" w:name="_Toc231027095"/>
      <w:bookmarkStart w:id="1499" w:name="_Toc229474550"/>
      <w:bookmarkStart w:id="1500" w:name="_Toc223755277"/>
      <w:bookmarkStart w:id="1501" w:name="_Toc230590175"/>
      <w:bookmarkStart w:id="1502" w:name="_Toc229474966"/>
      <w:bookmarkStart w:id="1503" w:name="_Toc222304219"/>
      <w:bookmarkStart w:id="1504" w:name="_Toc222632683"/>
      <w:r>
        <w:rPr>
          <w:rFonts w:hint="eastAsia" w:hAnsi="宋体" w:cs="宋体"/>
          <w:b/>
          <w:color w:val="000000" w:themeColor="text1"/>
          <w14:textFill>
            <w14:solidFill>
              <w14:schemeClr w14:val="tx1"/>
            </w14:solidFill>
          </w14:textFill>
        </w:rPr>
        <w:t>1.1.4 日期</w:t>
      </w:r>
    </w:p>
    <w:p w14:paraId="6402E96C">
      <w:pPr>
        <w:spacing w:line="400" w:lineRule="exact"/>
        <w:ind w:firstLine="562"/>
        <w:rPr>
          <w:rFonts w:cs="宋体"/>
          <w:color w:val="000000" w:themeColor="text1"/>
          <w:szCs w:val="21"/>
          <w14:textFill>
            <w14:solidFill>
              <w14:schemeClr w14:val="tx1"/>
            </w14:solidFill>
          </w14:textFill>
        </w:rPr>
      </w:pPr>
      <w:r>
        <w:rPr>
          <w:rFonts w:hint="eastAsia" w:cs="宋体"/>
          <w:b/>
          <w:color w:val="000000" w:themeColor="text1"/>
          <w14:textFill>
            <w14:solidFill>
              <w14:schemeClr w14:val="tx1"/>
            </w14:solidFill>
          </w14:textFill>
        </w:rPr>
        <w:t>1.1.4.1 工期：</w:t>
      </w:r>
      <w:bookmarkStart w:id="1505" w:name="_Toc436133255"/>
      <w:bookmarkStart w:id="1506" w:name="_Toc274307432"/>
      <w:bookmarkStart w:id="1507" w:name="_Toc289938978"/>
      <w:bookmarkStart w:id="1508" w:name="_Toc316471036"/>
      <w:bookmarkStart w:id="1509" w:name="_Toc342034773"/>
      <w:bookmarkStart w:id="1510" w:name="_Toc373851223"/>
      <w:bookmarkStart w:id="1511" w:name="_Toc299349193"/>
      <w:bookmarkStart w:id="1512" w:name="_Toc281292246"/>
      <w:bookmarkStart w:id="1513" w:name="_Toc439772718"/>
      <w:bookmarkStart w:id="1514" w:name="_Toc373850698"/>
      <w:bookmarkStart w:id="1515" w:name="_Toc280710343"/>
      <w:bookmarkStart w:id="1516" w:name="_Toc445105554"/>
      <w:bookmarkStart w:id="1517" w:name="_Toc298940285"/>
      <w:bookmarkStart w:id="1518" w:name="_Toc436998805"/>
      <w:bookmarkStart w:id="1519" w:name="_Toc284248364"/>
      <w:bookmarkStart w:id="1520" w:name="_Toc281740669"/>
      <w:bookmarkStart w:id="1521" w:name="_Toc345155359"/>
      <w:bookmarkStart w:id="1522" w:name="_Toc306620364"/>
      <w:bookmarkStart w:id="1523" w:name="_Toc345316757"/>
      <w:bookmarkStart w:id="1524" w:name="_Toc436309612"/>
      <w:bookmarkStart w:id="1525" w:name="_Toc274724459"/>
      <w:bookmarkStart w:id="1526" w:name="_Toc436309964"/>
      <w:bookmarkStart w:id="1527" w:name="_Toc335832995"/>
      <w:r>
        <w:rPr>
          <w:rFonts w:hint="eastAsia" w:cs="宋体"/>
          <w:color w:val="000000" w:themeColor="text1"/>
          <w:szCs w:val="21"/>
          <w14:textFill>
            <w14:solidFill>
              <w14:schemeClr w14:val="tx1"/>
            </w14:solidFill>
          </w14:textFill>
        </w:rPr>
        <w:t>工期：天</w:t>
      </w:r>
    </w:p>
    <w:p w14:paraId="64D99AD5">
      <w:pPr>
        <w:spacing w:line="400" w:lineRule="exact"/>
        <w:ind w:firstLine="1960" w:firstLineChars="700"/>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计划开工日期：年月日</w:t>
      </w:r>
    </w:p>
    <w:p w14:paraId="490C3B16">
      <w:pPr>
        <w:spacing w:line="400" w:lineRule="exact"/>
        <w:ind w:firstLine="1960" w:firstLineChars="700"/>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计划竣工日期：年月日</w:t>
      </w:r>
    </w:p>
    <w:p w14:paraId="0BF50BC0">
      <w:pPr>
        <w:widowControl/>
        <w:spacing w:line="400" w:lineRule="exact"/>
        <w:ind w:firstLine="703" w:firstLineChars="250"/>
        <w:rPr>
          <w:rFonts w:cs="宋体"/>
          <w:b/>
          <w:color w:val="000000" w:themeColor="text1"/>
          <w14:textFill>
            <w14:solidFill>
              <w14:schemeClr w14:val="tx1"/>
            </w14:solidFill>
          </w14:textFill>
        </w:rPr>
      </w:pPr>
    </w:p>
    <w:p w14:paraId="4C994049">
      <w:pPr>
        <w:widowControl/>
        <w:spacing w:line="400" w:lineRule="exact"/>
        <w:ind w:firstLine="703" w:firstLineChars="250"/>
        <w:rPr>
          <w:rFonts w:cs="宋体"/>
          <w:b/>
          <w:color w:val="000000" w:themeColor="text1"/>
          <w14:textFill>
            <w14:solidFill>
              <w14:schemeClr w14:val="tx1"/>
            </w14:solidFill>
          </w14:textFill>
        </w:rPr>
      </w:pPr>
      <w:r>
        <w:rPr>
          <w:rFonts w:hint="eastAsia" w:cs="宋体"/>
          <w:b/>
          <w:color w:val="000000" w:themeColor="text1"/>
          <w14:textFill>
            <w14:solidFill>
              <w14:schemeClr w14:val="tx1"/>
            </w14:solidFill>
          </w14:textFill>
        </w:rPr>
        <w:t>1.1.4.2 缺陷责任期（工程质量保修期）：</w:t>
      </w:r>
      <w:r>
        <w:rPr>
          <w:rFonts w:hint="eastAsia" w:cs="宋体"/>
          <w:b/>
          <w:color w:val="000000" w:themeColor="text1"/>
          <w:u w:val="single"/>
          <w:lang w:val="en-US" w:eastAsia="zh-CN"/>
          <w14:textFill>
            <w14:solidFill>
              <w14:schemeClr w14:val="tx1"/>
            </w14:solidFill>
          </w14:textFill>
        </w:rPr>
        <w:t>1</w:t>
      </w:r>
      <w:r>
        <w:rPr>
          <w:rFonts w:hint="eastAsia" w:cs="宋体"/>
          <w:b/>
          <w:color w:val="000000" w:themeColor="text1"/>
          <w:u w:val="single"/>
          <w14:textFill>
            <w14:solidFill>
              <w14:schemeClr w14:val="tx1"/>
            </w14:solidFill>
          </w14:textFill>
        </w:rPr>
        <w:t>年</w:t>
      </w:r>
      <w:r>
        <w:rPr>
          <w:rFonts w:hint="eastAsia" w:cs="宋体"/>
          <w:b/>
          <w:color w:val="000000" w:themeColor="text1"/>
          <w14:textFill>
            <w14:solidFill>
              <w14:schemeClr w14:val="tx1"/>
            </w14:solidFill>
          </w14:textFill>
        </w:rPr>
        <w:t>。</w:t>
      </w:r>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p>
    <w:bookmarkEnd w:id="1496"/>
    <w:bookmarkEnd w:id="1497"/>
    <w:bookmarkEnd w:id="1498"/>
    <w:bookmarkEnd w:id="1499"/>
    <w:bookmarkEnd w:id="1500"/>
    <w:bookmarkEnd w:id="1501"/>
    <w:bookmarkEnd w:id="1502"/>
    <w:bookmarkEnd w:id="1503"/>
    <w:bookmarkEnd w:id="1504"/>
    <w:p w14:paraId="0787C65B">
      <w:pPr>
        <w:pStyle w:val="180"/>
        <w:spacing w:after="0" w:line="400" w:lineRule="exact"/>
        <w:ind w:firstLine="562"/>
        <w:jc w:val="both"/>
        <w:rPr>
          <w:rFonts w:hAnsi="宋体" w:cs="宋体"/>
          <w:b/>
          <w:color w:val="000000" w:themeColor="text1"/>
          <w14:textFill>
            <w14:solidFill>
              <w14:schemeClr w14:val="tx1"/>
            </w14:solidFill>
          </w14:textFill>
        </w:rPr>
      </w:pPr>
      <w:bookmarkStart w:id="1528" w:name="_Toc316471037"/>
      <w:bookmarkStart w:id="1529" w:name="_Toc436133256"/>
      <w:bookmarkStart w:id="1530" w:name="_Toc436309613"/>
      <w:bookmarkStart w:id="1531" w:name="_Toc345155360"/>
      <w:bookmarkStart w:id="1532" w:name="_Toc269117534"/>
      <w:bookmarkStart w:id="1533" w:name="_Toc373850700"/>
      <w:bookmarkStart w:id="1534" w:name="_Toc281740670"/>
      <w:bookmarkStart w:id="1535" w:name="_Toc439772719"/>
      <w:bookmarkStart w:id="1536" w:name="_Toc373851225"/>
      <w:bookmarkStart w:id="1537" w:name="_Toc262655470"/>
      <w:bookmarkStart w:id="1538" w:name="_Toc345316758"/>
      <w:bookmarkStart w:id="1539" w:name="_Toc265480192"/>
      <w:bookmarkStart w:id="1540" w:name="_Toc284248365"/>
      <w:bookmarkStart w:id="1541" w:name="_Toc298940286"/>
      <w:bookmarkStart w:id="1542" w:name="_Toc436998806"/>
      <w:bookmarkStart w:id="1543" w:name="_Toc335832996"/>
      <w:bookmarkStart w:id="1544" w:name="_Toc299349194"/>
      <w:bookmarkStart w:id="1545" w:name="_Toc436309965"/>
      <w:bookmarkStart w:id="1546" w:name="_Toc280710344"/>
      <w:bookmarkStart w:id="1547" w:name="_Toc274307433"/>
      <w:bookmarkStart w:id="1548" w:name="_Toc274724460"/>
      <w:bookmarkStart w:id="1549" w:name="_Toc342034774"/>
      <w:bookmarkStart w:id="1550" w:name="_Toc262655997"/>
      <w:bookmarkStart w:id="1551" w:name="_Toc445105555"/>
      <w:bookmarkStart w:id="1552" w:name="_Toc289938979"/>
      <w:bookmarkStart w:id="1553" w:name="_Toc306620365"/>
      <w:bookmarkStart w:id="1554" w:name="_Toc281292247"/>
      <w:bookmarkStart w:id="1555" w:name="_Toc211175355"/>
      <w:bookmarkStart w:id="1556" w:name="_Toc222804547"/>
      <w:bookmarkStart w:id="1557" w:name="_Toc200183058"/>
      <w:bookmarkStart w:id="1558" w:name="_Toc245110761"/>
      <w:bookmarkStart w:id="1559" w:name="_Toc208734431"/>
      <w:bookmarkStart w:id="1560" w:name="_Toc215556213"/>
      <w:bookmarkStart w:id="1561" w:name="_Toc248294444"/>
      <w:bookmarkStart w:id="1562" w:name="_Toc227658521"/>
      <w:bookmarkStart w:id="1563" w:name="_Toc254774432"/>
      <w:bookmarkStart w:id="1564" w:name="_Toc215805074"/>
      <w:bookmarkStart w:id="1565" w:name="_Toc214355694"/>
      <w:bookmarkStart w:id="1566" w:name="_Toc206485092"/>
      <w:bookmarkStart w:id="1567" w:name="_Toc257202856"/>
      <w:bookmarkStart w:id="1568" w:name="_Toc215561231"/>
      <w:bookmarkStart w:id="1569" w:name="_Toc255470065"/>
      <w:bookmarkStart w:id="1570" w:name="_Toc255741952"/>
      <w:bookmarkStart w:id="1571" w:name="_Toc219172360"/>
      <w:bookmarkStart w:id="1572" w:name="_Toc206830044"/>
      <w:bookmarkStart w:id="1573" w:name="_Toc249848973"/>
      <w:bookmarkStart w:id="1574" w:name="_Toc206384863"/>
      <w:bookmarkStart w:id="1575" w:name="_Toc209862353"/>
      <w:bookmarkStart w:id="1576" w:name="_Toc255470288"/>
      <w:r>
        <w:rPr>
          <w:rFonts w:hint="eastAsia" w:hAnsi="宋体" w:cs="宋体"/>
          <w:b/>
          <w:color w:val="000000" w:themeColor="text1"/>
          <w14:textFill>
            <w14:solidFill>
              <w14:schemeClr w14:val="tx1"/>
            </w14:solidFill>
          </w14:textFill>
        </w:rPr>
        <w:t>1.7 联络</w:t>
      </w:r>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p>
    <w:p w14:paraId="10E3672B">
      <w:pPr>
        <w:pStyle w:val="180"/>
        <w:spacing w:after="0" w:line="400" w:lineRule="exact"/>
        <w:ind w:firstLine="540" w:firstLineChars="224"/>
        <w:jc w:val="both"/>
        <w:rPr>
          <w:rFonts w:ascii="Times New Roman" w:cs="宋体"/>
          <w:color w:val="000000" w:themeColor="text1"/>
          <w:kern w:val="2"/>
          <w:sz w:val="21"/>
          <w14:textFill>
            <w14:solidFill>
              <w14:schemeClr w14:val="tx1"/>
            </w14:solidFill>
          </w14:textFill>
        </w:rPr>
      </w:pPr>
      <w:bookmarkStart w:id="1577" w:name="_Toc260649047"/>
      <w:bookmarkStart w:id="1578" w:name="_Toc335832997"/>
      <w:bookmarkStart w:id="1579" w:name="_Toc445105556"/>
      <w:bookmarkStart w:id="1580" w:name="_Toc281740671"/>
      <w:bookmarkStart w:id="1581" w:name="_Toc439772720"/>
      <w:bookmarkStart w:id="1582" w:name="_Toc260229992"/>
      <w:bookmarkStart w:id="1583" w:name="_Toc345316759"/>
      <w:bookmarkStart w:id="1584" w:name="_Toc284248366"/>
      <w:bookmarkStart w:id="1585" w:name="_Toc289938980"/>
      <w:bookmarkStart w:id="1586" w:name="_Toc306620366"/>
      <w:bookmarkStart w:id="1587" w:name="_Toc436309614"/>
      <w:bookmarkStart w:id="1588" w:name="_Toc280710345"/>
      <w:bookmarkStart w:id="1589" w:name="_Toc269117535"/>
      <w:bookmarkStart w:id="1590" w:name="_Toc345155361"/>
      <w:bookmarkStart w:id="1591" w:name="_Toc299349195"/>
      <w:bookmarkStart w:id="1592" w:name="_Toc281292248"/>
      <w:bookmarkStart w:id="1593" w:name="_Toc262655998"/>
      <w:bookmarkStart w:id="1594" w:name="_Toc342034775"/>
      <w:bookmarkStart w:id="1595" w:name="_Toc373850701"/>
      <w:bookmarkStart w:id="1596" w:name="_Toc316471038"/>
      <w:bookmarkStart w:id="1597" w:name="_Toc274724461"/>
      <w:bookmarkStart w:id="1598" w:name="_Toc274307434"/>
      <w:bookmarkStart w:id="1599" w:name="_Toc265480193"/>
      <w:bookmarkStart w:id="1600" w:name="_Toc436309966"/>
      <w:bookmarkStart w:id="1601" w:name="_Toc262655471"/>
      <w:bookmarkStart w:id="1602" w:name="_Toc260230319"/>
      <w:bookmarkStart w:id="1603" w:name="_Toc260994471"/>
      <w:bookmarkStart w:id="1604" w:name="_Toc373851226"/>
      <w:bookmarkStart w:id="1605" w:name="_Toc436133257"/>
      <w:bookmarkStart w:id="1606" w:name="_Toc436998807"/>
      <w:bookmarkStart w:id="1607" w:name="_Toc298940287"/>
      <w:r>
        <w:rPr>
          <w:rFonts w:hint="eastAsia" w:hAnsi="宋体" w:cs="宋体"/>
          <w:b/>
          <w:color w:val="000000" w:themeColor="text1"/>
          <w14:textFill>
            <w14:solidFill>
              <w14:schemeClr w14:val="tx1"/>
            </w14:solidFill>
          </w14:textFill>
        </w:rPr>
        <w:t xml:space="preserve">1.7.2 </w:t>
      </w:r>
      <w:r>
        <w:rPr>
          <w:rFonts w:hint="eastAsia" w:ascii="Times New Roman" w:cs="宋体"/>
          <w:color w:val="000000" w:themeColor="text1"/>
          <w:kern w:val="2"/>
          <w:sz w:val="21"/>
          <w14:textFill>
            <w14:solidFill>
              <w14:schemeClr w14:val="tx1"/>
            </w14:solidFill>
          </w14:textFill>
        </w:rPr>
        <w:t>来往函件均应按技术标准和要求(合同技术条款)约定的期限送达工地监理机构驻地。</w:t>
      </w:r>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p>
    <w:p w14:paraId="0AD9D071">
      <w:pPr>
        <w:pStyle w:val="180"/>
        <w:spacing w:after="0" w:line="400" w:lineRule="exact"/>
        <w:ind w:firstLine="562"/>
        <w:jc w:val="both"/>
        <w:rPr>
          <w:rFonts w:hAnsi="宋体" w:cs="宋体"/>
          <w:b/>
          <w:color w:val="000000" w:themeColor="text1"/>
          <w14:textFill>
            <w14:solidFill>
              <w14:schemeClr w14:val="tx1"/>
            </w14:solidFill>
          </w14:textFill>
        </w:rPr>
      </w:pPr>
      <w:bookmarkStart w:id="1608" w:name="_Toc345316760"/>
      <w:bookmarkStart w:id="1609" w:name="_Toc260229993"/>
      <w:bookmarkStart w:id="1610" w:name="_Toc342034776"/>
      <w:bookmarkStart w:id="1611" w:name="_Toc436133258"/>
      <w:bookmarkStart w:id="1612" w:name="_Toc306620367"/>
      <w:bookmarkStart w:id="1613" w:name="_Toc280710346"/>
      <w:bookmarkStart w:id="1614" w:name="_Toc269117536"/>
      <w:bookmarkStart w:id="1615" w:name="_Toc445105557"/>
      <w:bookmarkStart w:id="1616" w:name="_Toc373850702"/>
      <w:bookmarkStart w:id="1617" w:name="_Toc345155362"/>
      <w:bookmarkStart w:id="1618" w:name="_Toc316471039"/>
      <w:bookmarkStart w:id="1619" w:name="_Toc260994472"/>
      <w:bookmarkStart w:id="1620" w:name="_Toc436998808"/>
      <w:bookmarkStart w:id="1621" w:name="_Toc274307435"/>
      <w:bookmarkStart w:id="1622" w:name="_Toc262655999"/>
      <w:bookmarkStart w:id="1623" w:name="_Toc281292249"/>
      <w:bookmarkStart w:id="1624" w:name="_Toc289938981"/>
      <w:bookmarkStart w:id="1625" w:name="_Toc265480194"/>
      <w:bookmarkStart w:id="1626" w:name="_Toc260230320"/>
      <w:bookmarkStart w:id="1627" w:name="_Toc284248367"/>
      <w:bookmarkStart w:id="1628" w:name="_Toc298940288"/>
      <w:bookmarkStart w:id="1629" w:name="_Toc436309967"/>
      <w:bookmarkStart w:id="1630" w:name="_Toc262655472"/>
      <w:bookmarkStart w:id="1631" w:name="_Toc335832998"/>
      <w:bookmarkStart w:id="1632" w:name="_Toc299349196"/>
      <w:bookmarkStart w:id="1633" w:name="_Toc436309615"/>
      <w:bookmarkStart w:id="1634" w:name="_Toc274724462"/>
      <w:bookmarkStart w:id="1635" w:name="_Toc260649048"/>
      <w:bookmarkStart w:id="1636" w:name="_Toc281740672"/>
      <w:bookmarkStart w:id="1637" w:name="_Toc439772721"/>
      <w:bookmarkStart w:id="1638" w:name="_Toc373851227"/>
      <w:r>
        <w:rPr>
          <w:rFonts w:hint="eastAsia" w:hAnsi="宋体" w:cs="宋体"/>
          <w:b/>
          <w:color w:val="000000" w:themeColor="text1"/>
          <w14:textFill>
            <w14:solidFill>
              <w14:schemeClr w14:val="tx1"/>
            </w14:solidFill>
          </w14:textFill>
        </w:rPr>
        <w:t>1.8 转让</w:t>
      </w:r>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p>
    <w:p w14:paraId="030ADB96">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未经发包人批准，不允许全部或部分转移合同义务。</w:t>
      </w:r>
    </w:p>
    <w:p w14:paraId="5135D94B">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1639" w:name="_Toc436998809"/>
      <w:bookmarkStart w:id="1640" w:name="_Toc439772722"/>
      <w:bookmarkStart w:id="1641" w:name="_Toc260230321"/>
      <w:bookmarkStart w:id="1642" w:name="_Toc436133259"/>
      <w:bookmarkStart w:id="1643" w:name="_Toc265480195"/>
      <w:bookmarkStart w:id="1644" w:name="_Toc284248368"/>
      <w:bookmarkStart w:id="1645" w:name="_Toc255470066"/>
      <w:bookmarkStart w:id="1646" w:name="_Toc269117538"/>
      <w:bookmarkStart w:id="1647" w:name="_Toc289938982"/>
      <w:bookmarkStart w:id="1648" w:name="_Toc255470289"/>
      <w:bookmarkStart w:id="1649" w:name="_Toc262656000"/>
      <w:bookmarkStart w:id="1650" w:name="_Toc335832999"/>
      <w:bookmarkStart w:id="1651" w:name="_Toc257202857"/>
      <w:bookmarkStart w:id="1652" w:name="_Toc281740673"/>
      <w:bookmarkStart w:id="1653" w:name="_Toc436309968"/>
      <w:bookmarkStart w:id="1654" w:name="_Toc373851228"/>
      <w:bookmarkStart w:id="1655" w:name="_Toc299349197"/>
      <w:bookmarkStart w:id="1656" w:name="_Toc274724463"/>
      <w:bookmarkStart w:id="1657" w:name="_Toc274307436"/>
      <w:bookmarkStart w:id="1658" w:name="_Toc316471040"/>
      <w:bookmarkStart w:id="1659" w:name="_Toc260994473"/>
      <w:bookmarkStart w:id="1660" w:name="_Toc255741953"/>
      <w:bookmarkStart w:id="1661" w:name="_Toc373850703"/>
      <w:bookmarkStart w:id="1662" w:name="_Toc298940289"/>
      <w:bookmarkStart w:id="1663" w:name="_Toc260649049"/>
      <w:bookmarkStart w:id="1664" w:name="_Toc445105558"/>
      <w:bookmarkStart w:id="1665" w:name="_Toc262655473"/>
      <w:bookmarkStart w:id="1666" w:name="_Toc260229994"/>
      <w:bookmarkStart w:id="1667" w:name="_Toc342034777"/>
      <w:bookmarkStart w:id="1668" w:name="_Toc345155363"/>
      <w:bookmarkStart w:id="1669" w:name="_Toc345316761"/>
      <w:bookmarkStart w:id="1670" w:name="_Toc281292250"/>
      <w:bookmarkStart w:id="1671" w:name="_Toc436309616"/>
      <w:bookmarkStart w:id="1672" w:name="_Toc280710347"/>
      <w:bookmarkStart w:id="1673" w:name="_Toc306620368"/>
      <w:bookmarkStart w:id="1674" w:name="_Toc187846019"/>
      <w:bookmarkStart w:id="1675" w:name="_Toc189297961"/>
      <w:r>
        <w:rPr>
          <w:rFonts w:hint="eastAsia" w:hAnsi="宋体" w:cs="宋体"/>
          <w:b/>
          <w:color w:val="000000" w:themeColor="text1"/>
          <w:sz w:val="32"/>
          <w:szCs w:val="32"/>
          <w14:textFill>
            <w14:solidFill>
              <w14:schemeClr w14:val="tx1"/>
            </w14:solidFill>
          </w14:textFill>
        </w:rPr>
        <w:t>2 发包人义务</w:t>
      </w:r>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p>
    <w:p w14:paraId="7714A7E4">
      <w:pPr>
        <w:pStyle w:val="180"/>
        <w:spacing w:after="0" w:line="400" w:lineRule="exact"/>
        <w:ind w:firstLine="562"/>
        <w:jc w:val="both"/>
        <w:rPr>
          <w:rFonts w:hAnsi="宋体" w:cs="宋体"/>
          <w:b/>
          <w:color w:val="000000" w:themeColor="text1"/>
          <w14:textFill>
            <w14:solidFill>
              <w14:schemeClr w14:val="tx1"/>
            </w14:solidFill>
          </w14:textFill>
        </w:rPr>
      </w:pPr>
      <w:bookmarkStart w:id="1676" w:name="_Toc281292251"/>
      <w:bookmarkStart w:id="1677" w:name="_Toc299349198"/>
      <w:bookmarkStart w:id="1678" w:name="_Toc260994474"/>
      <w:bookmarkStart w:id="1679" w:name="_Toc342034778"/>
      <w:bookmarkStart w:id="1680" w:name="_Toc436309617"/>
      <w:bookmarkStart w:id="1681" w:name="_Toc298940290"/>
      <w:bookmarkStart w:id="1682" w:name="_Toc373850704"/>
      <w:bookmarkStart w:id="1683" w:name="_Toc260229995"/>
      <w:bookmarkStart w:id="1684" w:name="_Toc436309969"/>
      <w:bookmarkStart w:id="1685" w:name="_Toc289938983"/>
      <w:bookmarkStart w:id="1686" w:name="_Toc257202858"/>
      <w:bookmarkStart w:id="1687" w:name="_Toc316471041"/>
      <w:bookmarkStart w:id="1688" w:name="_Toc335833000"/>
      <w:bookmarkStart w:id="1689" w:name="_Toc274724464"/>
      <w:bookmarkStart w:id="1690" w:name="_Toc284248369"/>
      <w:bookmarkStart w:id="1691" w:name="_Toc436998810"/>
      <w:bookmarkStart w:id="1692" w:name="_Toc260649050"/>
      <w:bookmarkStart w:id="1693" w:name="_Toc280710348"/>
      <w:bookmarkStart w:id="1694" w:name="_Toc260230322"/>
      <w:bookmarkStart w:id="1695" w:name="_Toc255741954"/>
      <w:bookmarkStart w:id="1696" w:name="_Toc439772723"/>
      <w:bookmarkStart w:id="1697" w:name="_Toc262655474"/>
      <w:bookmarkStart w:id="1698" w:name="_Toc345316762"/>
      <w:bookmarkStart w:id="1699" w:name="_Toc306620369"/>
      <w:bookmarkStart w:id="1700" w:name="_Toc255470290"/>
      <w:bookmarkStart w:id="1701" w:name="_Toc262656001"/>
      <w:bookmarkStart w:id="1702" w:name="_Toc345155364"/>
      <w:bookmarkStart w:id="1703" w:name="_Toc255470067"/>
      <w:bookmarkStart w:id="1704" w:name="_Toc281740674"/>
      <w:bookmarkStart w:id="1705" w:name="_Toc274307437"/>
      <w:bookmarkStart w:id="1706" w:name="_Toc373851229"/>
      <w:bookmarkStart w:id="1707" w:name="_Toc265480196"/>
      <w:bookmarkStart w:id="1708" w:name="_Toc269117539"/>
      <w:bookmarkStart w:id="1709" w:name="_Toc445105559"/>
      <w:bookmarkStart w:id="1710" w:name="_Toc436133260"/>
      <w:r>
        <w:rPr>
          <w:rFonts w:hint="eastAsia" w:hAnsi="宋体" w:cs="宋体"/>
          <w:b/>
          <w:color w:val="000000" w:themeColor="text1"/>
          <w14:textFill>
            <w14:solidFill>
              <w14:schemeClr w14:val="tx1"/>
            </w14:solidFill>
          </w14:textFill>
        </w:rPr>
        <w:t>2.3 提供施工场地</w:t>
      </w:r>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p>
    <w:p w14:paraId="5C5FD9FF">
      <w:pPr>
        <w:spacing w:line="400" w:lineRule="exact"/>
        <w:ind w:firstLine="562"/>
        <w:rPr>
          <w:rFonts w:cs="宋体"/>
          <w:color w:val="000000" w:themeColor="text1"/>
          <w14:textFill>
            <w14:solidFill>
              <w14:schemeClr w14:val="tx1"/>
            </w14:solidFill>
          </w14:textFill>
        </w:rPr>
      </w:pPr>
      <w:r>
        <w:rPr>
          <w:rFonts w:hint="eastAsia" w:cs="宋体"/>
          <w:b/>
          <w:color w:val="000000" w:themeColor="text1"/>
          <w14:textFill>
            <w14:solidFill>
              <w14:schemeClr w14:val="tx1"/>
            </w14:solidFill>
          </w14:textFill>
        </w:rPr>
        <w:t>2.3.2</w:t>
      </w:r>
      <w:r>
        <w:rPr>
          <w:rFonts w:hint="eastAsia" w:eastAsia="宋体" w:cs="宋体"/>
          <w:color w:val="000000" w:themeColor="text1"/>
          <w:sz w:val="21"/>
          <w:szCs w:val="24"/>
          <w14:textFill>
            <w14:solidFill>
              <w14:schemeClr w14:val="tx1"/>
            </w14:solidFill>
          </w14:textFill>
        </w:rPr>
        <w:t>发包人提供的施工场地范围为：</w:t>
      </w:r>
    </w:p>
    <w:p w14:paraId="37175E44">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（1）发包人提供工程范围内永久和临时用地。</w:t>
      </w:r>
    </w:p>
    <w:p w14:paraId="1D4AA9ED">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2）临时工程用地范围包括承包人驻地的办公室、食堂、宿舍、道路和机械设备停放场、材料堆放场地、弃土场、预制场、拌和场、仓库、进场临时道路、临时便道、便桥等。如承包人在发包人提供的用地范围之外另需临时用地，由承包人自行向当地政府土地管理部门申请，并办理租用手续，承包人按有关规定直接支付其费用。</w:t>
      </w:r>
    </w:p>
    <w:p w14:paraId="26D15DA6">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3）承包人在发包人提供的用地范围布置施工临时工程，原有设施的拆除、清理及所需的费用，由承包人自行解决，所需相关费用均应含入工程量清单的报价中，不再另行支付。在此范围以外以及因承包人原因导致工期延长而增加的临时用地费用，由承包人负责办理有关手续并承担相关费用，发包人给予协助。发包人有权对施工用地范围作适当的调整。</w:t>
      </w:r>
    </w:p>
    <w:p w14:paraId="4EFCEE62">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1711" w:name="_Toc262655475"/>
      <w:bookmarkStart w:id="1712" w:name="_Toc284248370"/>
      <w:bookmarkStart w:id="1713" w:name="_Toc445105560"/>
      <w:bookmarkStart w:id="1714" w:name="_Toc280710349"/>
      <w:bookmarkStart w:id="1715" w:name="_Toc274724465"/>
      <w:bookmarkStart w:id="1716" w:name="_Toc436309618"/>
      <w:bookmarkStart w:id="1717" w:name="_Toc260230323"/>
      <w:bookmarkStart w:id="1718" w:name="_Toc260649051"/>
      <w:bookmarkStart w:id="1719" w:name="_Toc257202859"/>
      <w:bookmarkStart w:id="1720" w:name="_Toc345155365"/>
      <w:bookmarkStart w:id="1721" w:name="_Toc316471042"/>
      <w:bookmarkStart w:id="1722" w:name="_Toc289938984"/>
      <w:bookmarkStart w:id="1723" w:name="_Toc281292252"/>
      <w:bookmarkStart w:id="1724" w:name="_Toc373850705"/>
      <w:bookmarkStart w:id="1725" w:name="_Toc436133261"/>
      <w:bookmarkStart w:id="1726" w:name="_Toc345316763"/>
      <w:bookmarkStart w:id="1727" w:name="_Toc281740675"/>
      <w:bookmarkStart w:id="1728" w:name="_Toc298940291"/>
      <w:bookmarkStart w:id="1729" w:name="_Toc439772724"/>
      <w:bookmarkStart w:id="1730" w:name="_Toc299349199"/>
      <w:bookmarkStart w:id="1731" w:name="_Toc306620370"/>
      <w:bookmarkStart w:id="1732" w:name="_Toc269117540"/>
      <w:bookmarkStart w:id="1733" w:name="_Toc436998811"/>
      <w:bookmarkStart w:id="1734" w:name="_Toc260229996"/>
      <w:bookmarkStart w:id="1735" w:name="_Toc260994475"/>
      <w:bookmarkStart w:id="1736" w:name="_Toc373851230"/>
      <w:bookmarkStart w:id="1737" w:name="_Toc436309970"/>
      <w:bookmarkStart w:id="1738" w:name="_Toc265480197"/>
      <w:bookmarkStart w:id="1739" w:name="_Toc335833001"/>
      <w:bookmarkStart w:id="1740" w:name="_Toc342034779"/>
      <w:bookmarkStart w:id="1741" w:name="_Toc262656002"/>
      <w:bookmarkStart w:id="1742" w:name="_Toc274307438"/>
      <w:r>
        <w:rPr>
          <w:rFonts w:hint="eastAsia" w:hAnsi="宋体" w:cs="宋体"/>
          <w:b/>
          <w:color w:val="000000" w:themeColor="text1"/>
          <w:sz w:val="32"/>
          <w:szCs w:val="32"/>
          <w14:textFill>
            <w14:solidFill>
              <w14:schemeClr w14:val="tx1"/>
            </w14:solidFill>
          </w14:textFill>
        </w:rPr>
        <w:t>4. 承包人</w:t>
      </w:r>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p>
    <w:p w14:paraId="0C524D02">
      <w:pPr>
        <w:pStyle w:val="180"/>
        <w:spacing w:after="0" w:line="400" w:lineRule="exact"/>
        <w:ind w:firstLine="562"/>
        <w:jc w:val="both"/>
        <w:rPr>
          <w:rFonts w:hAnsi="宋体" w:cs="宋体"/>
          <w:b/>
          <w:color w:val="000000" w:themeColor="text1"/>
          <w14:textFill>
            <w14:solidFill>
              <w14:schemeClr w14:val="tx1"/>
            </w14:solidFill>
          </w14:textFill>
        </w:rPr>
      </w:pPr>
      <w:bookmarkStart w:id="1743" w:name="_Toc335833002"/>
      <w:bookmarkStart w:id="1744" w:name="_Toc274724466"/>
      <w:bookmarkStart w:id="1745" w:name="_Toc445105561"/>
      <w:bookmarkStart w:id="1746" w:name="_Toc280710350"/>
      <w:bookmarkStart w:id="1747" w:name="_Toc316471043"/>
      <w:bookmarkStart w:id="1748" w:name="_Toc436309971"/>
      <w:bookmarkStart w:id="1749" w:name="_Toc299349200"/>
      <w:bookmarkStart w:id="1750" w:name="_Toc206830046"/>
      <w:bookmarkStart w:id="1751" w:name="_Toc222804549"/>
      <w:bookmarkStart w:id="1752" w:name="_Toc260230324"/>
      <w:bookmarkStart w:id="1753" w:name="_Toc248294446"/>
      <w:bookmarkStart w:id="1754" w:name="_Toc206384865"/>
      <w:bookmarkStart w:id="1755" w:name="_Toc269117541"/>
      <w:bookmarkStart w:id="1756" w:name="_Toc260649052"/>
      <w:bookmarkStart w:id="1757" w:name="_Toc373851231"/>
      <w:bookmarkStart w:id="1758" w:name="_Toc439772725"/>
      <w:bookmarkStart w:id="1759" w:name="_Toc298940292"/>
      <w:bookmarkStart w:id="1760" w:name="_Toc265480198"/>
      <w:bookmarkStart w:id="1761" w:name="_Toc436998812"/>
      <w:bookmarkStart w:id="1762" w:name="_Toc342034780"/>
      <w:bookmarkStart w:id="1763" w:name="_Toc255470069"/>
      <w:bookmarkStart w:id="1764" w:name="_Toc373850706"/>
      <w:bookmarkStart w:id="1765" w:name="_Toc255741956"/>
      <w:bookmarkStart w:id="1766" w:name="_Toc227658523"/>
      <w:bookmarkStart w:id="1767" w:name="_Toc208734433"/>
      <w:bookmarkStart w:id="1768" w:name="_Toc200183060"/>
      <w:bookmarkStart w:id="1769" w:name="_Toc262656003"/>
      <w:bookmarkStart w:id="1770" w:name="_Toc215805076"/>
      <w:bookmarkStart w:id="1771" w:name="_Toc436133262"/>
      <w:bookmarkStart w:id="1772" w:name="_Toc249848975"/>
      <w:bookmarkStart w:id="1773" w:name="_Toc215556215"/>
      <w:bookmarkStart w:id="1774" w:name="_Toc284248371"/>
      <w:bookmarkStart w:id="1775" w:name="_Toc211175357"/>
      <w:bookmarkStart w:id="1776" w:name="_Toc245110763"/>
      <w:bookmarkStart w:id="1777" w:name="_Toc289938985"/>
      <w:bookmarkStart w:id="1778" w:name="_Toc257202860"/>
      <w:bookmarkStart w:id="1779" w:name="_Toc260229997"/>
      <w:bookmarkStart w:id="1780" w:name="_Toc219172362"/>
      <w:bookmarkStart w:id="1781" w:name="_Toc274307439"/>
      <w:bookmarkStart w:id="1782" w:name="_Toc345155366"/>
      <w:bookmarkStart w:id="1783" w:name="_Toc306620371"/>
      <w:bookmarkStart w:id="1784" w:name="_Toc215561233"/>
      <w:bookmarkStart w:id="1785" w:name="_Toc345316764"/>
      <w:bookmarkStart w:id="1786" w:name="_Toc255470292"/>
      <w:bookmarkStart w:id="1787" w:name="_Toc209862355"/>
      <w:bookmarkStart w:id="1788" w:name="_Toc206485094"/>
      <w:bookmarkStart w:id="1789" w:name="_Toc214355696"/>
      <w:bookmarkStart w:id="1790" w:name="_Toc281740676"/>
      <w:bookmarkStart w:id="1791" w:name="_Toc254774434"/>
      <w:bookmarkStart w:id="1792" w:name="_Toc281292253"/>
      <w:bookmarkStart w:id="1793" w:name="_Toc262655476"/>
      <w:bookmarkStart w:id="1794" w:name="_Toc260994476"/>
      <w:bookmarkStart w:id="1795" w:name="_Toc436309619"/>
      <w:r>
        <w:rPr>
          <w:rFonts w:hint="eastAsia" w:hAnsi="宋体" w:cs="宋体"/>
          <w:b/>
          <w:color w:val="000000" w:themeColor="text1"/>
          <w14:textFill>
            <w14:solidFill>
              <w14:schemeClr w14:val="tx1"/>
            </w14:solidFill>
          </w14:textFill>
        </w:rPr>
        <w:t>4.1 承包人的一般义务</w:t>
      </w:r>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p>
    <w:p w14:paraId="2D03C184">
      <w:pPr>
        <w:pStyle w:val="180"/>
        <w:spacing w:after="0" w:line="400" w:lineRule="exact"/>
        <w:ind w:firstLine="542" w:firstLineChars="225"/>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4.1.10 其他义务</w:t>
      </w:r>
    </w:p>
    <w:p w14:paraId="72E89414">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bookmarkStart w:id="1796" w:name="_Toc445105568"/>
      <w:bookmarkStart w:id="1797" w:name="_Toc214355697"/>
      <w:bookmarkStart w:id="1798" w:name="_Toc289938986"/>
      <w:bookmarkStart w:id="1799" w:name="_Toc345155372"/>
      <w:bookmarkStart w:id="1800" w:name="_Toc255741959"/>
      <w:bookmarkStart w:id="1801" w:name="_Toc209862356"/>
      <w:bookmarkStart w:id="1802" w:name="_Toc342034786"/>
      <w:bookmarkStart w:id="1803" w:name="_Toc255470295"/>
      <w:bookmarkStart w:id="1804" w:name="_Toc206485095"/>
      <w:bookmarkStart w:id="1805" w:name="_Toc249848976"/>
      <w:bookmarkStart w:id="1806" w:name="_Toc219172363"/>
      <w:bookmarkStart w:id="1807" w:name="_Toc345316770"/>
      <w:bookmarkStart w:id="1808" w:name="_Toc215561234"/>
      <w:bookmarkStart w:id="1809" w:name="_Toc335833008"/>
      <w:bookmarkStart w:id="1810" w:name="_Toc269117542"/>
      <w:bookmarkStart w:id="1811" w:name="_Toc316471049"/>
      <w:bookmarkStart w:id="1812" w:name="_Toc298940293"/>
      <w:bookmarkStart w:id="1813" w:name="_Toc306620377"/>
      <w:bookmarkStart w:id="1814" w:name="_Toc215805077"/>
      <w:bookmarkStart w:id="1815" w:name="_Toc299349201"/>
      <w:bookmarkStart w:id="1816" w:name="_Toc215556216"/>
      <w:bookmarkStart w:id="1817" w:name="_Toc439772732"/>
      <w:bookmarkStart w:id="1818" w:name="_Toc248294447"/>
      <w:bookmarkStart w:id="1819" w:name="_Toc262655477"/>
      <w:bookmarkStart w:id="1820" w:name="_Toc260649053"/>
      <w:bookmarkStart w:id="1821" w:name="_Toc206830047"/>
      <w:bookmarkStart w:id="1822" w:name="_Toc436998819"/>
      <w:bookmarkStart w:id="1823" w:name="_Toc373851237"/>
      <w:bookmarkStart w:id="1824" w:name="_Toc281740677"/>
      <w:bookmarkStart w:id="1825" w:name="_Toc200183061"/>
      <w:bookmarkStart w:id="1826" w:name="_Toc436309977"/>
      <w:bookmarkStart w:id="1827" w:name="_Toc436309625"/>
      <w:bookmarkStart w:id="1828" w:name="_Toc255470072"/>
      <w:bookmarkStart w:id="1829" w:name="_Toc227658524"/>
      <w:bookmarkStart w:id="1830" w:name="_Toc260994477"/>
      <w:bookmarkStart w:id="1831" w:name="_Toc254774435"/>
      <w:bookmarkStart w:id="1832" w:name="_Toc436133268"/>
      <w:bookmarkStart w:id="1833" w:name="_Toc211175358"/>
      <w:bookmarkStart w:id="1834" w:name="_Toc262656004"/>
      <w:bookmarkStart w:id="1835" w:name="_Toc274724467"/>
      <w:bookmarkStart w:id="1836" w:name="_Toc281292254"/>
      <w:bookmarkStart w:id="1837" w:name="_Toc257202863"/>
      <w:bookmarkStart w:id="1838" w:name="_Toc222804550"/>
      <w:bookmarkStart w:id="1839" w:name="_Toc260229998"/>
      <w:bookmarkStart w:id="1840" w:name="_Toc284248372"/>
      <w:bookmarkStart w:id="1841" w:name="_Toc373850712"/>
      <w:bookmarkStart w:id="1842" w:name="_Toc208734434"/>
      <w:bookmarkStart w:id="1843" w:name="_Toc245110764"/>
      <w:bookmarkStart w:id="1844" w:name="_Toc280710351"/>
      <w:bookmarkStart w:id="1845" w:name="_Toc260230325"/>
      <w:bookmarkStart w:id="1846" w:name="_Toc274307440"/>
      <w:bookmarkStart w:id="1847" w:name="_Toc265480199"/>
      <w:bookmarkStart w:id="1848" w:name="_Toc206384866"/>
      <w:r>
        <w:rPr>
          <w:rFonts w:hint="eastAsia" w:ascii="Times New Roman"/>
          <w:color w:val="000000" w:themeColor="text1"/>
          <w:kern w:val="2"/>
          <w:sz w:val="21"/>
          <w14:textFill>
            <w14:solidFill>
              <w14:schemeClr w14:val="tx1"/>
            </w14:solidFill>
          </w14:textFill>
        </w:rPr>
        <w:t>本项细化为：</w:t>
      </w:r>
    </w:p>
    <w:p w14:paraId="4A4EA035">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1）承包人应严格遵守国家有关解决拖欠工程款和民工工资的法律、法规，及时支付工程中的材料、设备货款及民工工资等费用。承包人不得以任何借口拖欠材料、设备货款及民工工资等费用，如果出现此种现象，经查实后，一律通报批评并责令承包人自行组织资金迅速偿还欠款，在必要时，发包人有权从应付给承包人的工程款中代为支付其拖欠的材料、设备货款及民工工资。</w:t>
      </w:r>
    </w:p>
    <w:p w14:paraId="4C1D4C8D">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bookmarkStart w:id="1849" w:name="_Toc390438800"/>
      <w:bookmarkStart w:id="1850" w:name="_Toc439669246"/>
      <w:bookmarkStart w:id="1851" w:name="_Toc408910407"/>
      <w:bookmarkStart w:id="1852" w:name="_Toc373315711"/>
      <w:bookmarkStart w:id="1853" w:name="_Toc439158006"/>
      <w:bookmarkStart w:id="1854" w:name="_Toc23173"/>
      <w:bookmarkStart w:id="1855" w:name="_Toc382481892"/>
      <w:bookmarkStart w:id="1856" w:name="_Toc406059257"/>
      <w:bookmarkStart w:id="1857" w:name="_Toc412640844"/>
      <w:bookmarkStart w:id="1858" w:name="_Toc408910098"/>
      <w:r>
        <w:rPr>
          <w:rFonts w:hint="eastAsia" w:ascii="Times New Roman"/>
          <w:color w:val="000000" w:themeColor="text1"/>
          <w:kern w:val="2"/>
          <w:sz w:val="21"/>
          <w14:textFill>
            <w14:solidFill>
              <w14:schemeClr w14:val="tx1"/>
            </w14:solidFill>
          </w14:textFill>
        </w:rPr>
        <w:t>（2）承包人必须设计好施工材料卸货地点，承包人应负责施工材料的场内二次倒运等工作。</w:t>
      </w:r>
      <w:bookmarkEnd w:id="1849"/>
      <w:bookmarkEnd w:id="1850"/>
      <w:bookmarkEnd w:id="1851"/>
      <w:bookmarkEnd w:id="1852"/>
      <w:bookmarkEnd w:id="1853"/>
      <w:bookmarkEnd w:id="1854"/>
      <w:bookmarkEnd w:id="1855"/>
      <w:bookmarkEnd w:id="1856"/>
      <w:bookmarkEnd w:id="1857"/>
      <w:bookmarkEnd w:id="1858"/>
    </w:p>
    <w:p w14:paraId="1BD74C06">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bookmarkStart w:id="1859" w:name="_Toc439158007"/>
      <w:bookmarkStart w:id="1860" w:name="_Toc439669247"/>
      <w:bookmarkStart w:id="1861" w:name="_Toc412640845"/>
      <w:r>
        <w:rPr>
          <w:rFonts w:hint="eastAsia" w:ascii="Times New Roman"/>
          <w:color w:val="000000" w:themeColor="text1"/>
          <w:kern w:val="2"/>
          <w:sz w:val="21"/>
          <w14:textFill>
            <w14:solidFill>
              <w14:schemeClr w14:val="tx1"/>
            </w14:solidFill>
          </w14:textFill>
        </w:rPr>
        <w:t>（3）承包人在重要设备采购时应会同发包人和监理人共同考察确定供应商。</w:t>
      </w:r>
      <w:bookmarkEnd w:id="1859"/>
      <w:bookmarkEnd w:id="1860"/>
      <w:bookmarkEnd w:id="1861"/>
    </w:p>
    <w:p w14:paraId="7659295B">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4.3 分包</w:t>
      </w:r>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p>
    <w:p w14:paraId="3C826A95">
      <w:pPr>
        <w:pStyle w:val="87"/>
        <w:spacing w:line="400" w:lineRule="exact"/>
        <w:ind w:firstLine="539" w:firstLineChars="257"/>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4.3.2 未经发包人同意，承包人不得将工程的其他部分或工作分包给第三人。</w:t>
      </w:r>
    </w:p>
    <w:p w14:paraId="6AFC46FF">
      <w:pPr>
        <w:pStyle w:val="180"/>
        <w:spacing w:after="0" w:line="400" w:lineRule="exact"/>
        <w:ind w:firstLine="562"/>
        <w:jc w:val="both"/>
        <w:rPr>
          <w:rFonts w:hAnsi="宋体" w:cs="宋体"/>
          <w:b/>
          <w:color w:val="000000" w:themeColor="text1"/>
          <w14:textFill>
            <w14:solidFill>
              <w14:schemeClr w14:val="tx1"/>
            </w14:solidFill>
          </w14:textFill>
        </w:rPr>
      </w:pPr>
      <w:bookmarkStart w:id="1862" w:name="_Toc219172364"/>
      <w:bookmarkStart w:id="1863" w:name="_Toc211175359"/>
      <w:bookmarkStart w:id="1864" w:name="_Toc260994478"/>
      <w:bookmarkStart w:id="1865" w:name="_Toc245110765"/>
      <w:bookmarkStart w:id="1866" w:name="_Toc373851238"/>
      <w:bookmarkStart w:id="1867" w:name="_Toc255470073"/>
      <w:bookmarkStart w:id="1868" w:name="_Toc260230326"/>
      <w:bookmarkStart w:id="1869" w:name="_Toc298940294"/>
      <w:bookmarkStart w:id="1870" w:name="_Toc222804551"/>
      <w:bookmarkStart w:id="1871" w:name="_Toc299349202"/>
      <w:bookmarkStart w:id="1872" w:name="_Toc255470296"/>
      <w:bookmarkStart w:id="1873" w:name="_Toc281292255"/>
      <w:bookmarkStart w:id="1874" w:name="_Toc284248373"/>
      <w:bookmarkStart w:id="1875" w:name="_Toc206384867"/>
      <w:bookmarkStart w:id="1876" w:name="_Toc260649054"/>
      <w:bookmarkStart w:id="1877" w:name="_Toc289938987"/>
      <w:bookmarkStart w:id="1878" w:name="_Toc260229999"/>
      <w:bookmarkStart w:id="1879" w:name="_Toc274307441"/>
      <w:bookmarkStart w:id="1880" w:name="_Toc436998820"/>
      <w:bookmarkStart w:id="1881" w:name="_Toc254774436"/>
      <w:bookmarkStart w:id="1882" w:name="_Toc345316771"/>
      <w:bookmarkStart w:id="1883" w:name="_Toc208734435"/>
      <w:bookmarkStart w:id="1884" w:name="_Toc265480200"/>
      <w:bookmarkStart w:id="1885" w:name="_Toc373850713"/>
      <w:bookmarkStart w:id="1886" w:name="_Toc249848977"/>
      <w:bookmarkStart w:id="1887" w:name="_Toc269117543"/>
      <w:bookmarkStart w:id="1888" w:name="_Toc206830048"/>
      <w:bookmarkStart w:id="1889" w:name="_Toc209862357"/>
      <w:bookmarkStart w:id="1890" w:name="_Toc439772733"/>
      <w:bookmarkStart w:id="1891" w:name="_Toc262656005"/>
      <w:bookmarkStart w:id="1892" w:name="_Toc257202864"/>
      <w:bookmarkStart w:id="1893" w:name="_Toc214355698"/>
      <w:bookmarkStart w:id="1894" w:name="_Toc281740678"/>
      <w:bookmarkStart w:id="1895" w:name="_Toc306620378"/>
      <w:bookmarkStart w:id="1896" w:name="_Toc200183062"/>
      <w:bookmarkStart w:id="1897" w:name="_Toc215805078"/>
      <w:bookmarkStart w:id="1898" w:name="_Toc262655478"/>
      <w:bookmarkStart w:id="1899" w:name="_Toc274724468"/>
      <w:bookmarkStart w:id="1900" w:name="_Toc436309978"/>
      <w:bookmarkStart w:id="1901" w:name="_Toc436309626"/>
      <w:bookmarkStart w:id="1902" w:name="_Toc206485096"/>
      <w:bookmarkStart w:id="1903" w:name="_Toc255741960"/>
      <w:bookmarkStart w:id="1904" w:name="_Toc215561235"/>
      <w:bookmarkStart w:id="1905" w:name="_Toc335833009"/>
      <w:bookmarkStart w:id="1906" w:name="_Toc280710352"/>
      <w:bookmarkStart w:id="1907" w:name="_Toc316471050"/>
      <w:bookmarkStart w:id="1908" w:name="_Toc345155373"/>
      <w:bookmarkStart w:id="1909" w:name="_Toc248294448"/>
      <w:bookmarkStart w:id="1910" w:name="_Toc436133269"/>
      <w:bookmarkStart w:id="1911" w:name="_Toc445105569"/>
      <w:bookmarkStart w:id="1912" w:name="_Toc227658525"/>
      <w:bookmarkStart w:id="1913" w:name="_Toc342034787"/>
      <w:bookmarkStart w:id="1914" w:name="_Toc215556217"/>
      <w:r>
        <w:rPr>
          <w:rFonts w:hint="eastAsia" w:hAnsi="宋体" w:cs="宋体"/>
          <w:b/>
          <w:color w:val="000000" w:themeColor="text1"/>
          <w14:textFill>
            <w14:solidFill>
              <w14:schemeClr w14:val="tx1"/>
            </w14:solidFill>
          </w14:textFill>
        </w:rPr>
        <w:t>4.4 联合体</w:t>
      </w:r>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p>
    <w:p w14:paraId="5FA0AC81">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删去本款全文。</w:t>
      </w:r>
    </w:p>
    <w:p w14:paraId="6CAF1F82">
      <w:pPr>
        <w:pStyle w:val="180"/>
        <w:spacing w:after="0" w:line="400" w:lineRule="exact"/>
        <w:ind w:firstLine="562"/>
        <w:jc w:val="both"/>
        <w:rPr>
          <w:rFonts w:hAnsi="宋体" w:cs="宋体"/>
          <w:b/>
          <w:color w:val="000000" w:themeColor="text1"/>
          <w14:textFill>
            <w14:solidFill>
              <w14:schemeClr w14:val="tx1"/>
            </w14:solidFill>
          </w14:textFill>
        </w:rPr>
      </w:pPr>
      <w:bookmarkStart w:id="1915" w:name="_Toc248294449"/>
      <w:bookmarkStart w:id="1916" w:name="_Toc255470074"/>
      <w:bookmarkStart w:id="1917" w:name="_Toc281292256"/>
      <w:bookmarkStart w:id="1918" w:name="_Toc245110766"/>
      <w:bookmarkStart w:id="1919" w:name="_Toc214355699"/>
      <w:bookmarkStart w:id="1920" w:name="_Toc436998821"/>
      <w:bookmarkStart w:id="1921" w:name="_Toc274724469"/>
      <w:bookmarkStart w:id="1922" w:name="_Toc249848978"/>
      <w:bookmarkStart w:id="1923" w:name="_Toc260994479"/>
      <w:bookmarkStart w:id="1924" w:name="_Toc445105570"/>
      <w:bookmarkStart w:id="1925" w:name="_Toc200183063"/>
      <w:bookmarkStart w:id="1926" w:name="_Toc257202865"/>
      <w:bookmarkStart w:id="1927" w:name="_Toc289938988"/>
      <w:bookmarkStart w:id="1928" w:name="_Toc215561236"/>
      <w:bookmarkStart w:id="1929" w:name="_Toc255470297"/>
      <w:bookmarkStart w:id="1930" w:name="_Toc299349203"/>
      <w:bookmarkStart w:id="1931" w:name="_Toc265480201"/>
      <w:bookmarkStart w:id="1932" w:name="_Toc227658526"/>
      <w:bookmarkStart w:id="1933" w:name="_Toc284248374"/>
      <w:bookmarkStart w:id="1934" w:name="_Toc345155374"/>
      <w:bookmarkStart w:id="1935" w:name="_Toc260230000"/>
      <w:bookmarkStart w:id="1936" w:name="_Toc298940295"/>
      <w:bookmarkStart w:id="1937" w:name="_Toc262655479"/>
      <w:bookmarkStart w:id="1938" w:name="_Toc206485097"/>
      <w:bookmarkStart w:id="1939" w:name="_Toc206384868"/>
      <w:bookmarkStart w:id="1940" w:name="_Toc281740679"/>
      <w:bookmarkStart w:id="1941" w:name="_Toc436309979"/>
      <w:bookmarkStart w:id="1942" w:name="_Toc219172365"/>
      <w:bookmarkStart w:id="1943" w:name="_Toc254774437"/>
      <w:bookmarkStart w:id="1944" w:name="_Toc208734436"/>
      <w:bookmarkStart w:id="1945" w:name="_Toc306620379"/>
      <w:bookmarkStart w:id="1946" w:name="_Toc342034788"/>
      <w:bookmarkStart w:id="1947" w:name="_Toc262656006"/>
      <w:bookmarkStart w:id="1948" w:name="_Toc436133270"/>
      <w:bookmarkStart w:id="1949" w:name="_Toc280710353"/>
      <w:bookmarkStart w:id="1950" w:name="_Toc274307442"/>
      <w:bookmarkStart w:id="1951" w:name="_Toc436309627"/>
      <w:bookmarkStart w:id="1952" w:name="_Toc269117544"/>
      <w:bookmarkStart w:id="1953" w:name="_Toc211175360"/>
      <w:bookmarkStart w:id="1954" w:name="_Toc206830049"/>
      <w:bookmarkStart w:id="1955" w:name="_Toc215805079"/>
      <w:bookmarkStart w:id="1956" w:name="_Toc373850714"/>
      <w:bookmarkStart w:id="1957" w:name="_Toc316471051"/>
      <w:bookmarkStart w:id="1958" w:name="_Toc222804552"/>
      <w:bookmarkStart w:id="1959" w:name="_Toc373851239"/>
      <w:bookmarkStart w:id="1960" w:name="_Toc260230327"/>
      <w:bookmarkStart w:id="1961" w:name="_Toc209862358"/>
      <w:bookmarkStart w:id="1962" w:name="_Toc335833010"/>
      <w:bookmarkStart w:id="1963" w:name="_Toc260649055"/>
      <w:bookmarkStart w:id="1964" w:name="_Toc345316772"/>
      <w:bookmarkStart w:id="1965" w:name="_Toc439772734"/>
      <w:bookmarkStart w:id="1966" w:name="_Toc215556218"/>
      <w:bookmarkStart w:id="1967" w:name="_Toc255741961"/>
      <w:r>
        <w:rPr>
          <w:rFonts w:hint="eastAsia" w:hAnsi="宋体" w:cs="宋体"/>
          <w:b/>
          <w:color w:val="000000" w:themeColor="text1"/>
          <w14:textFill>
            <w14:solidFill>
              <w14:schemeClr w14:val="tx1"/>
            </w14:solidFill>
          </w14:textFill>
        </w:rPr>
        <w:t>4.5 承包人项目经理</w:t>
      </w:r>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p>
    <w:p w14:paraId="22A4C1C8">
      <w:pPr>
        <w:pStyle w:val="87"/>
        <w:spacing w:line="400" w:lineRule="exact"/>
        <w:ind w:firstLine="472" w:firstLineChars="225"/>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补充下述条款：</w:t>
      </w:r>
    </w:p>
    <w:bookmarkEnd w:id="1674"/>
    <w:bookmarkEnd w:id="1675"/>
    <w:p w14:paraId="7819D3C3">
      <w:pPr>
        <w:pStyle w:val="87"/>
        <w:spacing w:line="400" w:lineRule="exact"/>
        <w:ind w:firstLine="422"/>
        <w:jc w:val="both"/>
        <w:rPr>
          <w:rFonts w:ascii="Times New Roman"/>
          <w:color w:val="000000" w:themeColor="text1"/>
          <w:kern w:val="2"/>
          <w:sz w:val="21"/>
          <w14:textFill>
            <w14:solidFill>
              <w14:schemeClr w14:val="tx1"/>
            </w14:solidFill>
          </w14:textFill>
        </w:rPr>
      </w:pPr>
      <w:bookmarkStart w:id="1968" w:name="_Toc187846020"/>
      <w:bookmarkStart w:id="1969" w:name="_Toc249848979"/>
      <w:bookmarkStart w:id="1970" w:name="_Toc436133271"/>
      <w:bookmarkStart w:id="1971" w:name="_Toc436309980"/>
      <w:bookmarkStart w:id="1972" w:name="_Toc255470298"/>
      <w:bookmarkStart w:id="1973" w:name="_Toc436309628"/>
      <w:bookmarkStart w:id="1974" w:name="_Toc262656007"/>
      <w:bookmarkStart w:id="1975" w:name="_Toc262655480"/>
      <w:bookmarkStart w:id="1976" w:name="_Toc206830050"/>
      <w:bookmarkStart w:id="1977" w:name="_Toc260649056"/>
      <w:bookmarkStart w:id="1978" w:name="_Toc306620380"/>
      <w:bookmarkStart w:id="1979" w:name="_Toc245110767"/>
      <w:bookmarkStart w:id="1980" w:name="_Toc265480202"/>
      <w:bookmarkStart w:id="1981" w:name="_Toc255741962"/>
      <w:bookmarkStart w:id="1982" w:name="_Toc200183064"/>
      <w:bookmarkStart w:id="1983" w:name="_Toc284248375"/>
      <w:bookmarkStart w:id="1984" w:name="_Toc215561237"/>
      <w:bookmarkStart w:id="1985" w:name="_Toc289938989"/>
      <w:bookmarkStart w:id="1986" w:name="_Toc208734437"/>
      <w:bookmarkStart w:id="1987" w:name="_Toc269117545"/>
      <w:bookmarkStart w:id="1988" w:name="_Toc345155375"/>
      <w:bookmarkStart w:id="1989" w:name="_Toc274724470"/>
      <w:bookmarkStart w:id="1990" w:name="_Toc215556219"/>
      <w:bookmarkStart w:id="1991" w:name="_Toc373851240"/>
      <w:bookmarkStart w:id="1992" w:name="_Toc257202866"/>
      <w:bookmarkStart w:id="1993" w:name="_Toc219172366"/>
      <w:bookmarkStart w:id="1994" w:name="_Toc280710354"/>
      <w:bookmarkStart w:id="1995" w:name="_Toc214355700"/>
      <w:bookmarkStart w:id="1996" w:name="_Toc222804553"/>
      <w:bookmarkStart w:id="1997" w:name="_Toc206485098"/>
      <w:bookmarkStart w:id="1998" w:name="_Toc248294450"/>
      <w:bookmarkStart w:id="1999" w:name="_Toc211175361"/>
      <w:bookmarkStart w:id="2000" w:name="_Toc260994480"/>
      <w:bookmarkStart w:id="2001" w:name="_Toc274307443"/>
      <w:bookmarkStart w:id="2002" w:name="_Toc260230328"/>
      <w:bookmarkStart w:id="2003" w:name="_Toc299349204"/>
      <w:bookmarkStart w:id="2004" w:name="_Toc436998822"/>
      <w:bookmarkStart w:id="2005" w:name="_Toc199733036"/>
      <w:bookmarkStart w:id="2006" w:name="_Toc335833011"/>
      <w:bookmarkStart w:id="2007" w:name="_Toc342034789"/>
      <w:bookmarkStart w:id="2008" w:name="_Toc298940296"/>
      <w:bookmarkStart w:id="2009" w:name="_Toc227658527"/>
      <w:bookmarkStart w:id="2010" w:name="_Toc209862359"/>
      <w:bookmarkStart w:id="2011" w:name="_Toc373850715"/>
      <w:bookmarkStart w:id="2012" w:name="_Toc255470075"/>
      <w:bookmarkStart w:id="2013" w:name="_Toc199842019"/>
      <w:bookmarkStart w:id="2014" w:name="_Toc281740680"/>
      <w:bookmarkStart w:id="2015" w:name="_Toc281292257"/>
      <w:bookmarkStart w:id="2016" w:name="_Toc345316773"/>
      <w:bookmarkStart w:id="2017" w:name="_Toc254774438"/>
      <w:bookmarkStart w:id="2018" w:name="_Toc189297962"/>
      <w:bookmarkStart w:id="2019" w:name="_Toc260230001"/>
      <w:bookmarkStart w:id="2020" w:name="_Toc215805080"/>
      <w:bookmarkStart w:id="2021" w:name="_Toc206384869"/>
      <w:bookmarkStart w:id="2022" w:name="_Toc316471052"/>
      <w:r>
        <w:rPr>
          <w:rFonts w:hint="eastAsia" w:ascii="Times New Roman"/>
          <w:color w:val="000000" w:themeColor="text1"/>
          <w:kern w:val="2"/>
          <w:sz w:val="21"/>
          <w14:textFill>
            <w14:solidFill>
              <w14:schemeClr w14:val="tx1"/>
            </w14:solidFill>
          </w14:textFill>
        </w:rPr>
        <w:t>4.5.5 开工后项目经理和技术负责人每月至少应在工地工作21日，其离开工地应经发包人及监理工程师同意，其他主要人员应确保工程施工期间90%的时间在工地现场工作。每月每人在工地的时间少于上述规定的时间一天，发包人扣罚违约金￥2000.00元整。</w:t>
      </w:r>
    </w:p>
    <w:p w14:paraId="199F8035">
      <w:pPr>
        <w:pStyle w:val="87"/>
        <w:spacing w:line="400" w:lineRule="exact"/>
        <w:ind w:firstLine="422"/>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4.5.6 投标文件中拟定的项目经理和技术负责人一经发包人确认，将不得更换，必须按计划准时进场。确有特殊原因需更换时，若更换项目经理或技术负责人，应以文件的形式上报发包人批准，项目经理和技术负责人每更换一人次缴纳违约金￥50000.00元整。</w:t>
      </w:r>
    </w:p>
    <w:p w14:paraId="73BE0048">
      <w:pPr>
        <w:pStyle w:val="87"/>
        <w:spacing w:line="400" w:lineRule="exact"/>
        <w:ind w:firstLine="422"/>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4.5.7 如发包人认为现场项目经理或技术负责人不能胜任本工作，发包人有权提出更换，承包人应积极配合，提供新的合适人选，15天内新人选及时进场，每拖延一天交纳违约金10000元。</w:t>
      </w:r>
    </w:p>
    <w:p w14:paraId="45B19E09">
      <w:pPr>
        <w:pStyle w:val="87"/>
        <w:spacing w:line="400" w:lineRule="exact"/>
        <w:ind w:firstLine="422"/>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4.5.8投标文件中拟定的项目经理的注册建造师证、技术负责人职称证和专职安全员的安全考核合格证等相关证件在签订合同时交由发包人，待本标段工程完工前一个月再返还。</w:t>
      </w:r>
    </w:p>
    <w:p w14:paraId="49A585FA">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2023" w:name="_Toc439772735"/>
      <w:bookmarkStart w:id="2024" w:name="_Toc445105571"/>
      <w:r>
        <w:rPr>
          <w:rFonts w:hint="eastAsia" w:hAnsi="宋体" w:cs="宋体"/>
          <w:b/>
          <w:color w:val="000000" w:themeColor="text1"/>
          <w:sz w:val="32"/>
          <w:szCs w:val="32"/>
          <w14:textFill>
            <w14:solidFill>
              <w14:schemeClr w14:val="tx1"/>
            </w14:solidFill>
          </w14:textFill>
        </w:rPr>
        <w:t>5. 材料和工程设备</w:t>
      </w:r>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p>
    <w:p w14:paraId="0F9059F6">
      <w:pPr>
        <w:pStyle w:val="180"/>
        <w:spacing w:after="0" w:line="400" w:lineRule="exact"/>
        <w:ind w:firstLine="562"/>
        <w:jc w:val="both"/>
        <w:rPr>
          <w:rFonts w:hAnsi="宋体" w:cs="宋体"/>
          <w:b/>
          <w:color w:val="000000" w:themeColor="text1"/>
          <w14:textFill>
            <w14:solidFill>
              <w14:schemeClr w14:val="tx1"/>
            </w14:solidFill>
          </w14:textFill>
        </w:rPr>
      </w:pPr>
      <w:bookmarkStart w:id="2025" w:name="_Toc219172367"/>
      <w:bookmarkStart w:id="2026" w:name="_Toc260994481"/>
      <w:bookmarkStart w:id="2027" w:name="_Toc284248376"/>
      <w:bookmarkStart w:id="2028" w:name="_Toc248294451"/>
      <w:bookmarkStart w:id="2029" w:name="_Toc260230002"/>
      <w:bookmarkStart w:id="2030" w:name="_Toc265480203"/>
      <w:bookmarkStart w:id="2031" w:name="_Toc206830051"/>
      <w:bookmarkStart w:id="2032" w:name="_Toc298940297"/>
      <w:bookmarkStart w:id="2033" w:name="_Toc436998823"/>
      <w:bookmarkStart w:id="2034" w:name="_Toc260649057"/>
      <w:bookmarkStart w:id="2035" w:name="_Toc262655481"/>
      <w:bookmarkStart w:id="2036" w:name="_Toc227658528"/>
      <w:bookmarkStart w:id="2037" w:name="_Toc215805081"/>
      <w:bookmarkStart w:id="2038" w:name="_Toc249848980"/>
      <w:bookmarkStart w:id="2039" w:name="_Toc214355701"/>
      <w:bookmarkStart w:id="2040" w:name="_Toc345316774"/>
      <w:bookmarkStart w:id="2041" w:name="_Toc260230329"/>
      <w:bookmarkStart w:id="2042" w:name="_Toc436309629"/>
      <w:bookmarkStart w:id="2043" w:name="_Toc281740681"/>
      <w:bookmarkStart w:id="2044" w:name="_Toc206384870"/>
      <w:bookmarkStart w:id="2045" w:name="_Toc208734438"/>
      <w:bookmarkStart w:id="2046" w:name="_Toc255470076"/>
      <w:bookmarkStart w:id="2047" w:name="_Toc436133272"/>
      <w:bookmarkStart w:id="2048" w:name="_Toc255470299"/>
      <w:bookmarkStart w:id="2049" w:name="_Toc436309981"/>
      <w:bookmarkStart w:id="2050" w:name="_Toc254774439"/>
      <w:bookmarkStart w:id="2051" w:name="_Toc335833012"/>
      <w:bookmarkStart w:id="2052" w:name="_Toc345155376"/>
      <w:bookmarkStart w:id="2053" w:name="_Toc257202867"/>
      <w:bookmarkStart w:id="2054" w:name="_Toc222804554"/>
      <w:bookmarkStart w:id="2055" w:name="_Toc445105572"/>
      <w:bookmarkStart w:id="2056" w:name="_Toc209862360"/>
      <w:bookmarkStart w:id="2057" w:name="_Toc280710355"/>
      <w:bookmarkStart w:id="2058" w:name="_Toc211175362"/>
      <w:bookmarkStart w:id="2059" w:name="_Toc274307444"/>
      <w:bookmarkStart w:id="2060" w:name="_Toc281292258"/>
      <w:bookmarkStart w:id="2061" w:name="_Toc269117546"/>
      <w:bookmarkStart w:id="2062" w:name="_Toc274724471"/>
      <w:bookmarkStart w:id="2063" w:name="_Toc262656008"/>
      <w:bookmarkStart w:id="2064" w:name="_Toc245110768"/>
      <w:bookmarkStart w:id="2065" w:name="_Toc373851241"/>
      <w:bookmarkStart w:id="2066" w:name="_Toc255741963"/>
      <w:bookmarkStart w:id="2067" w:name="_Toc215556220"/>
      <w:bookmarkStart w:id="2068" w:name="_Toc342034790"/>
      <w:bookmarkStart w:id="2069" w:name="_Toc439772736"/>
      <w:bookmarkStart w:id="2070" w:name="_Toc289938990"/>
      <w:bookmarkStart w:id="2071" w:name="_Toc373850716"/>
      <w:bookmarkStart w:id="2072" w:name="_Toc316471053"/>
      <w:bookmarkStart w:id="2073" w:name="_Toc299349205"/>
      <w:bookmarkStart w:id="2074" w:name="_Toc306620381"/>
      <w:bookmarkStart w:id="2075" w:name="_Toc215561238"/>
      <w:bookmarkStart w:id="2076" w:name="_Toc206485099"/>
      <w:r>
        <w:rPr>
          <w:rFonts w:hint="eastAsia" w:hAnsi="宋体" w:cs="宋体"/>
          <w:b/>
          <w:color w:val="000000" w:themeColor="text1"/>
          <w14:textFill>
            <w14:solidFill>
              <w14:schemeClr w14:val="tx1"/>
            </w14:solidFill>
          </w14:textFill>
        </w:rPr>
        <w:t>5.1 承包人提供的材料和工程设备</w:t>
      </w:r>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p>
    <w:p w14:paraId="46E90B11">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bookmarkStart w:id="2077" w:name="_Toc445105573"/>
      <w:bookmarkStart w:id="2078" w:name="_Toc281740682"/>
      <w:bookmarkStart w:id="2079" w:name="_Toc299349206"/>
      <w:bookmarkStart w:id="2080" w:name="_Toc345316775"/>
      <w:bookmarkStart w:id="2081" w:name="_Toc316471054"/>
      <w:bookmarkStart w:id="2082" w:name="_Toc281292259"/>
      <w:bookmarkStart w:id="2083" w:name="_Toc298940298"/>
      <w:bookmarkStart w:id="2084" w:name="_Toc274724472"/>
      <w:bookmarkStart w:id="2085" w:name="_Toc284248377"/>
      <w:bookmarkStart w:id="2086" w:name="_Toc436309630"/>
      <w:bookmarkStart w:id="2087" w:name="_Toc436309982"/>
      <w:bookmarkStart w:id="2088" w:name="_Toc373851242"/>
      <w:bookmarkStart w:id="2089" w:name="_Toc274307445"/>
      <w:bookmarkStart w:id="2090" w:name="_Toc306620382"/>
      <w:bookmarkStart w:id="2091" w:name="_Toc269117547"/>
      <w:bookmarkStart w:id="2092" w:name="_Toc262655482"/>
      <w:bookmarkStart w:id="2093" w:name="_Toc262656009"/>
      <w:bookmarkStart w:id="2094" w:name="_Toc342034791"/>
      <w:bookmarkStart w:id="2095" w:name="_Toc439772737"/>
      <w:bookmarkStart w:id="2096" w:name="_Toc373850717"/>
      <w:bookmarkStart w:id="2097" w:name="_Toc280710356"/>
      <w:bookmarkStart w:id="2098" w:name="_Toc335833013"/>
      <w:bookmarkStart w:id="2099" w:name="_Toc436998824"/>
      <w:bookmarkStart w:id="2100" w:name="_Toc436133273"/>
      <w:bookmarkStart w:id="2101" w:name="_Toc265480204"/>
      <w:bookmarkStart w:id="2102" w:name="_Toc289938991"/>
      <w:bookmarkStart w:id="2103" w:name="_Toc345155377"/>
      <w:r>
        <w:rPr>
          <w:rFonts w:hint="eastAsia" w:ascii="Times New Roman"/>
          <w:color w:val="000000" w:themeColor="text1"/>
          <w:kern w:val="2"/>
          <w:sz w:val="21"/>
          <w14:textFill>
            <w14:solidFill>
              <w14:schemeClr w14:val="tx1"/>
            </w14:solidFill>
          </w14:textFill>
        </w:rPr>
        <w:t>5.1.1 承包人应负责本合同所需其他材料、设备的采购。</w:t>
      </w:r>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p>
    <w:p w14:paraId="2125E0FC">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承包人应将其提供的各项材料和工程设备的供货人及品种、规格、数量和供货时间等报送监理人审批，并向监理人提交一份供货协议副本。承包人应向监理人提交其负责提供的材料和工程设备的质量证明文件，并满足合同约定的质量标准。承包人应按合同进度计划和本技术条款的要求制订材料采购计划报送监理人审批。若施工过程中发生变更或需要修订合同进度时，则应相应调整材料的采购计划报送监理人审批。</w:t>
      </w:r>
    </w:p>
    <w:p w14:paraId="75DD4D7B">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补充下述条款：</w:t>
      </w:r>
    </w:p>
    <w:p w14:paraId="7ECE81D7">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5.1.4材料交货验收</w:t>
      </w:r>
    </w:p>
    <w:p w14:paraId="3C9CA439">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承包人提供的材料应按规定进行检查和验收，其材料交货验收的内容包括：</w:t>
      </w:r>
    </w:p>
    <w:p w14:paraId="060CC6B4">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(1)查验证件：承包人应按供货合同的要求查验每批材料的发货单、计量单、装箱单、材料合格证书、化验单、图纸或其它有关证件，并应将这些证件的复印件提交监理人。</w:t>
      </w:r>
    </w:p>
    <w:p w14:paraId="5BA45143">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(2)抽样检验：承包人应会同监理人按技术条款各章的有关规定进行材料抽样检验，并将检验结果报送监理人。监理人认为有必要时，可进行随机抽样检验。</w:t>
      </w:r>
    </w:p>
    <w:p w14:paraId="7119F7E6">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(3)承包人应对每批材料是否合格作出鉴定，并将鉴定意见书提交监理人复查。</w:t>
      </w:r>
    </w:p>
    <w:p w14:paraId="7FD6144F">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(4)材料验收：经鉴定合格的材料方可验收入库，承包人应派专人负责核对材料品名、规格、数量、包装以及封记的完整性，并作好记录。</w:t>
      </w:r>
    </w:p>
    <w:p w14:paraId="0A3E6856">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5.1.5不合格材料的处理</w:t>
      </w:r>
    </w:p>
    <w:p w14:paraId="5A8CA364">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严禁将不合格的材料运往现场，经监理人查库发现的不合格材料，应禁止使用。承包人违约使用了不合格材料，应按本合同《通用合同条款》第5.4条的规定处理。</w:t>
      </w:r>
    </w:p>
    <w:p w14:paraId="0B05F5F7">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5.1.6 材料的代用</w:t>
      </w:r>
    </w:p>
    <w:p w14:paraId="3B943CDF">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承包人申请代用材料，应提供代用材料的技术标准、质量证明书和试验报告。只有在证明其材料不降低工程质量和不影响施工进度的前提下，经监理人批准后，才能采用代用材料。</w:t>
      </w:r>
    </w:p>
    <w:p w14:paraId="7C4EA306">
      <w:pPr>
        <w:pStyle w:val="180"/>
        <w:spacing w:after="0" w:line="400" w:lineRule="exact"/>
        <w:ind w:firstLine="562"/>
        <w:jc w:val="both"/>
        <w:rPr>
          <w:rFonts w:hAnsi="宋体" w:cs="宋体"/>
          <w:b/>
          <w:color w:val="000000" w:themeColor="text1"/>
          <w14:textFill>
            <w14:solidFill>
              <w14:schemeClr w14:val="tx1"/>
            </w14:solidFill>
          </w14:textFill>
        </w:rPr>
      </w:pPr>
      <w:bookmarkStart w:id="2104" w:name="_Toc345155378"/>
      <w:bookmarkStart w:id="2105" w:name="_Toc254774440"/>
      <w:bookmarkStart w:id="2106" w:name="_Toc335833014"/>
      <w:bookmarkStart w:id="2107" w:name="_Toc262655483"/>
      <w:bookmarkStart w:id="2108" w:name="_Toc289938992"/>
      <w:bookmarkStart w:id="2109" w:name="_Toc215556221"/>
      <w:bookmarkStart w:id="2110" w:name="_Toc262656010"/>
      <w:bookmarkStart w:id="2111" w:name="_Toc227658529"/>
      <w:bookmarkStart w:id="2112" w:name="_Toc274724473"/>
      <w:bookmarkStart w:id="2113" w:name="_Toc215561239"/>
      <w:bookmarkStart w:id="2114" w:name="_Toc260230003"/>
      <w:bookmarkStart w:id="2115" w:name="_Toc260230330"/>
      <w:bookmarkStart w:id="2116" w:name="_Toc299349207"/>
      <w:bookmarkStart w:id="2117" w:name="_Toc269117548"/>
      <w:bookmarkStart w:id="2118" w:name="_Toc274307446"/>
      <w:bookmarkStart w:id="2119" w:name="_Toc436309631"/>
      <w:bookmarkStart w:id="2120" w:name="_Toc245110769"/>
      <w:bookmarkStart w:id="2121" w:name="_Toc281292260"/>
      <w:bookmarkStart w:id="2122" w:name="_Toc445105574"/>
      <w:bookmarkStart w:id="2123" w:name="_Toc436998825"/>
      <w:bookmarkStart w:id="2124" w:name="_Toc284248378"/>
      <w:bookmarkStart w:id="2125" w:name="_Toc206830052"/>
      <w:bookmarkStart w:id="2126" w:name="_Toc206485100"/>
      <w:bookmarkStart w:id="2127" w:name="_Toc255470077"/>
      <w:bookmarkStart w:id="2128" w:name="_Toc280710357"/>
      <w:bookmarkStart w:id="2129" w:name="_Toc206384871"/>
      <w:bookmarkStart w:id="2130" w:name="_Toc265480205"/>
      <w:bookmarkStart w:id="2131" w:name="_Toc257202868"/>
      <w:bookmarkStart w:id="2132" w:name="_Toc373851250"/>
      <w:bookmarkStart w:id="2133" w:name="_Toc215805082"/>
      <w:bookmarkStart w:id="2134" w:name="_Toc373850725"/>
      <w:bookmarkStart w:id="2135" w:name="_Toc222804555"/>
      <w:bookmarkStart w:id="2136" w:name="_Toc211175363"/>
      <w:bookmarkStart w:id="2137" w:name="_Toc208734439"/>
      <w:bookmarkStart w:id="2138" w:name="_Toc439772738"/>
      <w:bookmarkStart w:id="2139" w:name="_Toc345316783"/>
      <w:bookmarkStart w:id="2140" w:name="_Toc248294452"/>
      <w:bookmarkStart w:id="2141" w:name="_Toc436309983"/>
      <w:bookmarkStart w:id="2142" w:name="_Toc255741964"/>
      <w:bookmarkStart w:id="2143" w:name="_Toc281740683"/>
      <w:bookmarkStart w:id="2144" w:name="_Toc316471055"/>
      <w:bookmarkStart w:id="2145" w:name="_Toc219172368"/>
      <w:bookmarkStart w:id="2146" w:name="_Toc214355702"/>
      <w:bookmarkStart w:id="2147" w:name="_Toc306620383"/>
      <w:bookmarkStart w:id="2148" w:name="_Toc209862361"/>
      <w:bookmarkStart w:id="2149" w:name="_Toc249848981"/>
      <w:bookmarkStart w:id="2150" w:name="_Toc260649058"/>
      <w:bookmarkStart w:id="2151" w:name="_Toc255470300"/>
      <w:bookmarkStart w:id="2152" w:name="_Toc260994482"/>
      <w:bookmarkStart w:id="2153" w:name="_Toc342034792"/>
      <w:bookmarkStart w:id="2154" w:name="_Toc298940299"/>
      <w:bookmarkStart w:id="2155" w:name="_Toc436133274"/>
      <w:r>
        <w:rPr>
          <w:rFonts w:hint="eastAsia" w:hAnsi="宋体" w:cs="宋体"/>
          <w:b/>
          <w:color w:val="000000" w:themeColor="text1"/>
          <w14:textFill>
            <w14:solidFill>
              <w14:schemeClr w14:val="tx1"/>
            </w14:solidFill>
          </w14:textFill>
        </w:rPr>
        <w:t>5.2 发包人提供的材料和工程设备</w:t>
      </w:r>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p>
    <w:p w14:paraId="3F62873F">
      <w:pPr>
        <w:pStyle w:val="87"/>
        <w:spacing w:line="400" w:lineRule="exact"/>
        <w:ind w:firstLine="360"/>
        <w:jc w:val="both"/>
        <w:rPr>
          <w:rFonts w:hAnsi="宋体"/>
          <w:b/>
          <w:color w:val="000000" w:themeColor="text1"/>
          <w14:textFill>
            <w14:solidFill>
              <w14:schemeClr w14:val="tx1"/>
            </w14:solidFill>
          </w14:textFill>
        </w:rPr>
      </w:pPr>
      <w:bookmarkStart w:id="2156" w:name="_Toc316471056"/>
      <w:bookmarkStart w:id="2157" w:name="_Toc373850726"/>
      <w:bookmarkStart w:id="2158" w:name="_Toc436309984"/>
      <w:bookmarkStart w:id="2159" w:name="_Toc373851251"/>
      <w:bookmarkStart w:id="2160" w:name="_Toc335833015"/>
      <w:bookmarkStart w:id="2161" w:name="_Toc345316784"/>
      <w:bookmarkStart w:id="2162" w:name="_Toc436998826"/>
      <w:bookmarkStart w:id="2163" w:name="_Toc345155379"/>
      <w:bookmarkStart w:id="2164" w:name="_Toc436133275"/>
      <w:bookmarkStart w:id="2165" w:name="_Toc342034793"/>
      <w:bookmarkStart w:id="2166" w:name="_Toc436309632"/>
      <w:bookmarkStart w:id="2167" w:name="_Toc306620384"/>
      <w:r>
        <w:rPr>
          <w:rFonts w:hint="eastAsia" w:hAnsi="宋体"/>
          <w:b/>
          <w:color w:val="000000" w:themeColor="text1"/>
          <w14:textFill>
            <w14:solidFill>
              <w14:schemeClr w14:val="tx1"/>
            </w14:solidFill>
          </w14:textFill>
        </w:rPr>
        <w:t>发包人不提供材料和工程设备。</w:t>
      </w:r>
    </w:p>
    <w:p w14:paraId="0596CE79">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2168" w:name="_Toc439772739"/>
      <w:bookmarkStart w:id="2169" w:name="_Toc445105575"/>
      <w:r>
        <w:rPr>
          <w:rFonts w:hint="eastAsia" w:hAnsi="宋体" w:cs="宋体"/>
          <w:b/>
          <w:color w:val="000000" w:themeColor="text1"/>
          <w:sz w:val="32"/>
          <w:szCs w:val="32"/>
          <w14:textFill>
            <w14:solidFill>
              <w14:schemeClr w14:val="tx1"/>
            </w14:solidFill>
          </w14:textFill>
        </w:rPr>
        <w:t>7. 交通运输</w:t>
      </w:r>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p>
    <w:p w14:paraId="0B4B58A6">
      <w:pPr>
        <w:pStyle w:val="180"/>
        <w:spacing w:after="0" w:line="400" w:lineRule="exact"/>
        <w:ind w:firstLine="562"/>
        <w:jc w:val="both"/>
        <w:rPr>
          <w:rFonts w:hAnsi="宋体" w:cs="宋体"/>
          <w:b/>
          <w:color w:val="000000" w:themeColor="text1"/>
          <w14:textFill>
            <w14:solidFill>
              <w14:schemeClr w14:val="tx1"/>
            </w14:solidFill>
          </w14:textFill>
        </w:rPr>
      </w:pPr>
      <w:bookmarkStart w:id="2170" w:name="_Toc342034794"/>
      <w:bookmarkStart w:id="2171" w:name="_Toc373851252"/>
      <w:bookmarkStart w:id="2172" w:name="_Toc436998827"/>
      <w:bookmarkStart w:id="2173" w:name="_Toc373850727"/>
      <w:bookmarkStart w:id="2174" w:name="_Toc345316785"/>
      <w:bookmarkStart w:id="2175" w:name="_Toc436309633"/>
      <w:bookmarkStart w:id="2176" w:name="_Toc436133276"/>
      <w:bookmarkStart w:id="2177" w:name="_Toc445105576"/>
      <w:bookmarkStart w:id="2178" w:name="_Toc316471057"/>
      <w:bookmarkStart w:id="2179" w:name="_Toc439772740"/>
      <w:bookmarkStart w:id="2180" w:name="_Toc335833016"/>
      <w:bookmarkStart w:id="2181" w:name="_Toc345155380"/>
      <w:bookmarkStart w:id="2182" w:name="_Toc436309985"/>
      <w:bookmarkStart w:id="2183" w:name="_Toc306620385"/>
      <w:r>
        <w:rPr>
          <w:rFonts w:hint="eastAsia" w:hAnsi="宋体" w:cs="宋体"/>
          <w:b/>
          <w:color w:val="000000" w:themeColor="text1"/>
          <w14:textFill>
            <w14:solidFill>
              <w14:schemeClr w14:val="tx1"/>
            </w14:solidFill>
          </w14:textFill>
        </w:rPr>
        <w:t>7.7 补充以下条款：</w:t>
      </w:r>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p>
    <w:p w14:paraId="6907A971">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bookmarkStart w:id="2184" w:name="_Toc436133277"/>
      <w:bookmarkStart w:id="2185" w:name="_Toc280710358"/>
      <w:bookmarkStart w:id="2186" w:name="_Toc373850728"/>
      <w:bookmarkStart w:id="2187" w:name="_Toc316471058"/>
      <w:bookmarkStart w:id="2188" w:name="_Toc289938993"/>
      <w:bookmarkStart w:id="2189" w:name="_Toc260994483"/>
      <w:bookmarkStart w:id="2190" w:name="_Toc274307447"/>
      <w:bookmarkStart w:id="2191" w:name="_Toc255470301"/>
      <w:bookmarkStart w:id="2192" w:name="_Toc299349208"/>
      <w:bookmarkStart w:id="2193" w:name="_Toc260230331"/>
      <w:bookmarkStart w:id="2194" w:name="_Toc436309634"/>
      <w:bookmarkStart w:id="2195" w:name="_Toc262656011"/>
      <w:bookmarkStart w:id="2196" w:name="_Toc342034795"/>
      <w:bookmarkStart w:id="2197" w:name="_Toc269117549"/>
      <w:bookmarkStart w:id="2198" w:name="_Toc265480206"/>
      <w:bookmarkStart w:id="2199" w:name="_Toc335833017"/>
      <w:bookmarkStart w:id="2200" w:name="_Toc284248379"/>
      <w:bookmarkStart w:id="2201" w:name="_Toc345155381"/>
      <w:bookmarkStart w:id="2202" w:name="_Toc298940300"/>
      <w:bookmarkStart w:id="2203" w:name="_Toc255741965"/>
      <w:bookmarkStart w:id="2204" w:name="_Toc260649059"/>
      <w:bookmarkStart w:id="2205" w:name="_Toc345316786"/>
      <w:bookmarkStart w:id="2206" w:name="_Toc274724474"/>
      <w:bookmarkStart w:id="2207" w:name="_Toc255470078"/>
      <w:bookmarkStart w:id="2208" w:name="_Toc281292261"/>
      <w:bookmarkStart w:id="2209" w:name="_Toc373851253"/>
      <w:bookmarkStart w:id="2210" w:name="_Toc436309986"/>
      <w:bookmarkStart w:id="2211" w:name="_Toc260230004"/>
      <w:bookmarkStart w:id="2212" w:name="_Toc257202869"/>
      <w:bookmarkStart w:id="2213" w:name="_Toc306620386"/>
      <w:bookmarkStart w:id="2214" w:name="_Toc281740684"/>
      <w:bookmarkStart w:id="2215" w:name="_Toc262655484"/>
      <w:r>
        <w:rPr>
          <w:rFonts w:hint="eastAsia" w:ascii="Times New Roman"/>
          <w:color w:val="000000" w:themeColor="text1"/>
          <w:kern w:val="2"/>
          <w:sz w:val="21"/>
          <w14:textFill>
            <w14:solidFill>
              <w14:schemeClr w14:val="tx1"/>
            </w14:solidFill>
          </w14:textFill>
        </w:rPr>
        <w:t>（1）土方运输车辆需符合国家相关规定并办齐各类保险；</w:t>
      </w:r>
    </w:p>
    <w:p w14:paraId="11280FB6">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2）承包人应采取各种合理的措施，防止承包人的运输损坏连接现场的或通往现场的道路和桥梁。承包人特别应该选择运输路线，挑选使用的车辆，限制和分散运载重量，以便使来往于现场的材料、永久设备、承包人设备或临时工程运输所不可避免的特殊运输受到尽可能合理的限制，从而避免对这些道路和桥梁造成不必要的破坏和损伤。承包人为便于搬运设备或临时设施应负责并自费加固任何桥梁或重修或改进任何与施工现场连接或通往现场的任何道路。</w:t>
      </w:r>
    </w:p>
    <w:p w14:paraId="2D73F34E">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2216" w:name="_Toc436998828"/>
      <w:bookmarkStart w:id="2217" w:name="_Toc445105577"/>
      <w:bookmarkStart w:id="2218" w:name="_Toc439772741"/>
      <w:r>
        <w:rPr>
          <w:rFonts w:hint="eastAsia" w:hAnsi="宋体" w:cs="宋体"/>
          <w:b/>
          <w:color w:val="000000" w:themeColor="text1"/>
          <w:sz w:val="32"/>
          <w:szCs w:val="32"/>
          <w14:textFill>
            <w14:solidFill>
              <w14:schemeClr w14:val="tx1"/>
            </w14:solidFill>
          </w14:textFill>
        </w:rPr>
        <w:t>8. 测量放线</w:t>
      </w:r>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p>
    <w:p w14:paraId="0129790C">
      <w:pPr>
        <w:pStyle w:val="180"/>
        <w:spacing w:after="0" w:line="400" w:lineRule="exact"/>
        <w:ind w:firstLine="562"/>
        <w:jc w:val="both"/>
        <w:rPr>
          <w:rFonts w:hAnsi="宋体" w:cs="宋体"/>
          <w:b/>
          <w:color w:val="000000" w:themeColor="text1"/>
          <w14:textFill>
            <w14:solidFill>
              <w14:schemeClr w14:val="tx1"/>
            </w14:solidFill>
          </w14:textFill>
        </w:rPr>
      </w:pPr>
      <w:bookmarkStart w:id="2219" w:name="_Toc439772742"/>
      <w:bookmarkStart w:id="2220" w:name="_Toc280710359"/>
      <w:bookmarkStart w:id="2221" w:name="_Toc345155382"/>
      <w:bookmarkStart w:id="2222" w:name="_Toc289938994"/>
      <w:bookmarkStart w:id="2223" w:name="_Toc206830054"/>
      <w:bookmarkStart w:id="2224" w:name="_Toc215805084"/>
      <w:bookmarkStart w:id="2225" w:name="_Toc260230332"/>
      <w:bookmarkStart w:id="2226" w:name="_Toc269117550"/>
      <w:bookmarkStart w:id="2227" w:name="_Toc206384873"/>
      <w:bookmarkStart w:id="2228" w:name="_Toc306620387"/>
      <w:bookmarkStart w:id="2229" w:name="_Toc208734441"/>
      <w:bookmarkStart w:id="2230" w:name="_Toc436309635"/>
      <w:bookmarkStart w:id="2231" w:name="_Toc262655485"/>
      <w:bookmarkStart w:id="2232" w:name="_Toc373851254"/>
      <w:bookmarkStart w:id="2233" w:name="_Toc255470079"/>
      <w:bookmarkStart w:id="2234" w:name="_Toc299349209"/>
      <w:bookmarkStart w:id="2235" w:name="_Toc245110771"/>
      <w:bookmarkStart w:id="2236" w:name="_Toc254774442"/>
      <w:bookmarkStart w:id="2237" w:name="_Toc249848983"/>
      <w:bookmarkStart w:id="2238" w:name="_Toc445105578"/>
      <w:bookmarkStart w:id="2239" w:name="_Toc284248380"/>
      <w:bookmarkStart w:id="2240" w:name="_Toc265480207"/>
      <w:bookmarkStart w:id="2241" w:name="_Toc436309987"/>
      <w:bookmarkStart w:id="2242" w:name="_Toc215556223"/>
      <w:bookmarkStart w:id="2243" w:name="_Toc206485102"/>
      <w:bookmarkStart w:id="2244" w:name="_Toc248294454"/>
      <w:bookmarkStart w:id="2245" w:name="_Toc215561241"/>
      <w:bookmarkStart w:id="2246" w:name="_Toc345316787"/>
      <w:bookmarkStart w:id="2247" w:name="_Toc281292262"/>
      <w:bookmarkStart w:id="2248" w:name="_Toc274724475"/>
      <w:bookmarkStart w:id="2249" w:name="_Toc316471059"/>
      <w:bookmarkStart w:id="2250" w:name="_Toc335833018"/>
      <w:bookmarkStart w:id="2251" w:name="_Toc255470302"/>
      <w:bookmarkStart w:id="2252" w:name="_Toc257202870"/>
      <w:bookmarkStart w:id="2253" w:name="_Toc373850729"/>
      <w:bookmarkStart w:id="2254" w:name="_Toc219172370"/>
      <w:bookmarkStart w:id="2255" w:name="_Toc436998829"/>
      <w:bookmarkStart w:id="2256" w:name="_Toc227658531"/>
      <w:bookmarkStart w:id="2257" w:name="_Toc211175365"/>
      <w:bookmarkStart w:id="2258" w:name="_Toc260649060"/>
      <w:bookmarkStart w:id="2259" w:name="_Toc255741966"/>
      <w:bookmarkStart w:id="2260" w:name="_Toc342034796"/>
      <w:bookmarkStart w:id="2261" w:name="_Toc274307448"/>
      <w:bookmarkStart w:id="2262" w:name="_Toc260994484"/>
      <w:bookmarkStart w:id="2263" w:name="_Toc200183068"/>
      <w:bookmarkStart w:id="2264" w:name="_Toc260230005"/>
      <w:bookmarkStart w:id="2265" w:name="_Toc436133278"/>
      <w:bookmarkStart w:id="2266" w:name="_Toc222804557"/>
      <w:bookmarkStart w:id="2267" w:name="_Toc262656012"/>
      <w:bookmarkStart w:id="2268" w:name="_Toc298940301"/>
      <w:bookmarkStart w:id="2269" w:name="_Toc209862363"/>
      <w:bookmarkStart w:id="2270" w:name="_Toc214355704"/>
      <w:bookmarkStart w:id="2271" w:name="_Toc281740685"/>
      <w:r>
        <w:rPr>
          <w:rFonts w:hint="eastAsia" w:hAnsi="宋体" w:cs="宋体"/>
          <w:b/>
          <w:color w:val="000000" w:themeColor="text1"/>
          <w14:textFill>
            <w14:solidFill>
              <w14:schemeClr w14:val="tx1"/>
            </w14:solidFill>
          </w14:textFill>
        </w:rPr>
        <w:t>8.1 施工控制网</w:t>
      </w:r>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p>
    <w:p w14:paraId="2A67C731">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bookmarkStart w:id="2272" w:name="_Toc199842021"/>
      <w:bookmarkStart w:id="2273" w:name="_Toc199733038"/>
      <w:bookmarkStart w:id="2274" w:name="_Toc200183069"/>
      <w:r>
        <w:rPr>
          <w:rFonts w:hint="eastAsia" w:ascii="Times New Roman"/>
          <w:color w:val="000000" w:themeColor="text1"/>
          <w:kern w:val="2"/>
          <w:sz w:val="21"/>
          <w14:textFill>
            <w14:solidFill>
              <w14:schemeClr w14:val="tx1"/>
            </w14:solidFill>
          </w14:textFill>
        </w:rPr>
        <w:t>8.1.1 发包人应在工程开工3天前，通过监理人向承包人提供测量基准点、基准线和水准点及其书面资料。承包人接收监理人提供的测量基准后，应与监理人共同校测其基准点(线)的测量精度，并复核其资料和数据的准确性。承包人应以监理人提供的测量基准点(线)为基准，按国家测绘标准和本工程施工精度要求，测设用于工程施工的控制网，并应在收到开工通知后3天内，将施工控制网资料报送监理人审批。</w:t>
      </w:r>
    </w:p>
    <w:p w14:paraId="7D411C29">
      <w:pPr>
        <w:pStyle w:val="180"/>
        <w:spacing w:after="0" w:line="400" w:lineRule="exact"/>
        <w:ind w:firstLine="562"/>
        <w:jc w:val="both"/>
        <w:rPr>
          <w:rFonts w:hAnsi="宋体" w:cs="宋体"/>
          <w:b/>
          <w:color w:val="000000" w:themeColor="text1"/>
          <w14:textFill>
            <w14:solidFill>
              <w14:schemeClr w14:val="tx1"/>
            </w14:solidFill>
          </w14:textFill>
        </w:rPr>
      </w:pPr>
      <w:bookmarkStart w:id="2275" w:name="_Toc262656013"/>
      <w:bookmarkStart w:id="2276" w:name="_Toc436309636"/>
      <w:bookmarkStart w:id="2277" w:name="_Toc255470080"/>
      <w:bookmarkStart w:id="2278" w:name="_Toc245110772"/>
      <w:bookmarkStart w:id="2279" w:name="_Toc342034797"/>
      <w:bookmarkStart w:id="2280" w:name="_Toc222804558"/>
      <w:bookmarkStart w:id="2281" w:name="_Toc254774443"/>
      <w:bookmarkStart w:id="2282" w:name="_Toc274724476"/>
      <w:bookmarkStart w:id="2283" w:name="_Toc284248381"/>
      <w:bookmarkStart w:id="2284" w:name="_Toc345155383"/>
      <w:bookmarkStart w:id="2285" w:name="_Toc248294455"/>
      <w:bookmarkStart w:id="2286" w:name="_Toc257202871"/>
      <w:bookmarkStart w:id="2287" w:name="_Toc373850730"/>
      <w:bookmarkStart w:id="2288" w:name="_Toc206485103"/>
      <w:bookmarkStart w:id="2289" w:name="_Toc280710360"/>
      <w:bookmarkStart w:id="2290" w:name="_Toc214355705"/>
      <w:bookmarkStart w:id="2291" w:name="_Toc345316788"/>
      <w:bookmarkStart w:id="2292" w:name="_Toc436309988"/>
      <w:bookmarkStart w:id="2293" w:name="_Toc335833019"/>
      <w:bookmarkStart w:id="2294" w:name="_Toc274307449"/>
      <w:bookmarkStart w:id="2295" w:name="_Toc206830055"/>
      <w:bookmarkStart w:id="2296" w:name="_Toc249848984"/>
      <w:bookmarkStart w:id="2297" w:name="_Toc436133279"/>
      <w:bookmarkStart w:id="2298" w:name="_Toc269117551"/>
      <w:bookmarkStart w:id="2299" w:name="_Toc255741967"/>
      <w:bookmarkStart w:id="2300" w:name="_Toc219172371"/>
      <w:bookmarkStart w:id="2301" w:name="_Toc306620388"/>
      <w:bookmarkStart w:id="2302" w:name="_Toc445105579"/>
      <w:bookmarkStart w:id="2303" w:name="_Toc373851255"/>
      <w:bookmarkStart w:id="2304" w:name="_Toc316471060"/>
      <w:bookmarkStart w:id="2305" w:name="_Toc255470303"/>
      <w:bookmarkStart w:id="2306" w:name="_Toc439772743"/>
      <w:bookmarkStart w:id="2307" w:name="_Toc298940302"/>
      <w:bookmarkStart w:id="2308" w:name="_Toc215561242"/>
      <w:bookmarkStart w:id="2309" w:name="_Toc215805085"/>
      <w:bookmarkStart w:id="2310" w:name="_Toc208734442"/>
      <w:bookmarkStart w:id="2311" w:name="_Toc289938995"/>
      <w:bookmarkStart w:id="2312" w:name="_Toc299349210"/>
      <w:bookmarkStart w:id="2313" w:name="_Toc227658532"/>
      <w:bookmarkStart w:id="2314" w:name="_Toc260230333"/>
      <w:bookmarkStart w:id="2315" w:name="_Toc281740686"/>
      <w:bookmarkStart w:id="2316" w:name="_Toc209862364"/>
      <w:bookmarkStart w:id="2317" w:name="_Toc206384874"/>
      <w:bookmarkStart w:id="2318" w:name="_Toc281292263"/>
      <w:bookmarkStart w:id="2319" w:name="_Toc260994485"/>
      <w:bookmarkStart w:id="2320" w:name="_Toc436998830"/>
      <w:bookmarkStart w:id="2321" w:name="_Toc260649061"/>
      <w:bookmarkStart w:id="2322" w:name="_Toc215556224"/>
      <w:bookmarkStart w:id="2323" w:name="_Toc265480208"/>
      <w:bookmarkStart w:id="2324" w:name="_Toc262655486"/>
      <w:bookmarkStart w:id="2325" w:name="_Toc260230006"/>
      <w:bookmarkStart w:id="2326" w:name="_Toc211175366"/>
      <w:r>
        <w:rPr>
          <w:rFonts w:hint="eastAsia" w:hAnsi="宋体" w:cs="宋体"/>
          <w:b/>
          <w:color w:val="000000" w:themeColor="text1"/>
          <w14:textFill>
            <w14:solidFill>
              <w14:schemeClr w14:val="tx1"/>
            </w14:solidFill>
          </w14:textFill>
        </w:rPr>
        <w:t>8.2 施工测量</w:t>
      </w:r>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p>
    <w:p w14:paraId="4E50DBE3">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bookmarkStart w:id="2327" w:name="_Toc211175367"/>
      <w:bookmarkStart w:id="2328" w:name="_Toc214355706"/>
      <w:bookmarkStart w:id="2329" w:name="_Toc209862365"/>
      <w:bookmarkStart w:id="2330" w:name="_Toc206485104"/>
      <w:bookmarkStart w:id="2331" w:name="_Toc227658533"/>
      <w:bookmarkStart w:id="2332" w:name="_Toc215561243"/>
      <w:bookmarkStart w:id="2333" w:name="_Toc222804559"/>
      <w:bookmarkStart w:id="2334" w:name="_Toc215805086"/>
      <w:bookmarkStart w:id="2335" w:name="_Toc206830056"/>
      <w:bookmarkStart w:id="2336" w:name="_Toc206384875"/>
      <w:bookmarkStart w:id="2337" w:name="_Toc219172372"/>
      <w:bookmarkStart w:id="2338" w:name="_Toc249848985"/>
      <w:bookmarkStart w:id="2339" w:name="_Toc208734443"/>
      <w:bookmarkStart w:id="2340" w:name="_Toc248294456"/>
      <w:bookmarkStart w:id="2341" w:name="_Toc245110773"/>
      <w:bookmarkStart w:id="2342" w:name="_Toc215556225"/>
      <w:r>
        <w:rPr>
          <w:rFonts w:hint="eastAsia" w:ascii="Times New Roman"/>
          <w:color w:val="000000" w:themeColor="text1"/>
          <w:kern w:val="2"/>
          <w:sz w:val="21"/>
          <w14:textFill>
            <w14:solidFill>
              <w14:schemeClr w14:val="tx1"/>
            </w14:solidFill>
          </w14:textFill>
        </w:rPr>
        <w:t>本款补充如下内容：</w:t>
      </w:r>
    </w:p>
    <w:p w14:paraId="5938A194">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8.2.3承包人进场后应测量开挖区横断面图，用于计量土石方开挖工程量。若经双方协商同意，承包人可邀请监理人的测量人员联合进行计量测量，经双方核签的测量成果，在经发包人审核批准后，可直接用于计量付款。</w:t>
      </w:r>
    </w:p>
    <w:p w14:paraId="35BFC52C">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8.2.4承包人应负责保护好测量基准点、基准线和水准点及自行增设的控制网点，并提供通向网点的道路和防护栏杆。测量网点的缺失和损坏应由承包人负责修复。</w:t>
      </w:r>
    </w:p>
    <w:p w14:paraId="4AB36B96">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2343" w:name="_Toc373850731"/>
      <w:bookmarkStart w:id="2344" w:name="_Toc284248382"/>
      <w:bookmarkStart w:id="2345" w:name="_Toc281740687"/>
      <w:bookmarkStart w:id="2346" w:name="_Toc436309989"/>
      <w:bookmarkStart w:id="2347" w:name="_Toc260994486"/>
      <w:bookmarkStart w:id="2348" w:name="_Toc281292264"/>
      <w:bookmarkStart w:id="2349" w:name="_Toc260230334"/>
      <w:bookmarkStart w:id="2350" w:name="_Toc269117552"/>
      <w:bookmarkStart w:id="2351" w:name="_Toc316471061"/>
      <w:bookmarkStart w:id="2352" w:name="_Toc257202872"/>
      <w:bookmarkStart w:id="2353" w:name="_Toc262656014"/>
      <w:bookmarkStart w:id="2354" w:name="_Toc260649062"/>
      <w:bookmarkStart w:id="2355" w:name="_Toc260230007"/>
      <w:bookmarkStart w:id="2356" w:name="_Toc298940303"/>
      <w:bookmarkStart w:id="2357" w:name="_Toc345155384"/>
      <w:bookmarkStart w:id="2358" w:name="_Toc306620389"/>
      <w:bookmarkStart w:id="2359" w:name="_Toc299349211"/>
      <w:bookmarkStart w:id="2360" w:name="_Toc262655487"/>
      <w:bookmarkStart w:id="2361" w:name="_Toc255741968"/>
      <w:bookmarkStart w:id="2362" w:name="_Toc445105580"/>
      <w:bookmarkStart w:id="2363" w:name="_Toc255470081"/>
      <w:bookmarkStart w:id="2364" w:name="_Toc436133280"/>
      <w:bookmarkStart w:id="2365" w:name="_Toc265480209"/>
      <w:bookmarkStart w:id="2366" w:name="_Toc345316789"/>
      <w:bookmarkStart w:id="2367" w:name="_Toc254774444"/>
      <w:bookmarkStart w:id="2368" w:name="_Toc436309637"/>
      <w:bookmarkStart w:id="2369" w:name="_Toc274724477"/>
      <w:bookmarkStart w:id="2370" w:name="_Toc280710361"/>
      <w:bookmarkStart w:id="2371" w:name="_Toc342034798"/>
      <w:bookmarkStart w:id="2372" w:name="_Toc274307450"/>
      <w:bookmarkStart w:id="2373" w:name="_Toc436998831"/>
      <w:bookmarkStart w:id="2374" w:name="_Toc289938996"/>
      <w:bookmarkStart w:id="2375" w:name="_Toc373851256"/>
      <w:bookmarkStart w:id="2376" w:name="_Toc335833020"/>
      <w:bookmarkStart w:id="2377" w:name="_Toc439772744"/>
      <w:bookmarkStart w:id="2378" w:name="_Toc255470304"/>
      <w:r>
        <w:rPr>
          <w:rFonts w:hint="eastAsia" w:hAnsi="宋体" w:cs="宋体"/>
          <w:b/>
          <w:color w:val="000000" w:themeColor="text1"/>
          <w:sz w:val="32"/>
          <w:szCs w:val="32"/>
          <w14:textFill>
            <w14:solidFill>
              <w14:schemeClr w14:val="tx1"/>
            </w14:solidFill>
          </w14:textFill>
        </w:rPr>
        <w:t>9.施工安全、治安保卫和环境保护</w:t>
      </w:r>
      <w:bookmarkEnd w:id="2272"/>
      <w:bookmarkEnd w:id="2273"/>
      <w:bookmarkEnd w:id="2274"/>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p>
    <w:p w14:paraId="0AFDAE37">
      <w:pPr>
        <w:pStyle w:val="180"/>
        <w:spacing w:after="0" w:line="400" w:lineRule="exact"/>
        <w:ind w:firstLine="562"/>
        <w:jc w:val="both"/>
        <w:rPr>
          <w:rFonts w:hAnsi="宋体" w:cs="宋体"/>
          <w:b/>
          <w:color w:val="000000" w:themeColor="text1"/>
          <w14:textFill>
            <w14:solidFill>
              <w14:schemeClr w14:val="tx1"/>
            </w14:solidFill>
          </w14:textFill>
        </w:rPr>
      </w:pPr>
      <w:bookmarkStart w:id="2379" w:name="_Toc436133281"/>
      <w:bookmarkStart w:id="2380" w:name="_Toc445105581"/>
      <w:bookmarkStart w:id="2381" w:name="_Toc260230008"/>
      <w:bookmarkStart w:id="2382" w:name="_Toc281292265"/>
      <w:bookmarkStart w:id="2383" w:name="_Toc298940304"/>
      <w:bookmarkStart w:id="2384" w:name="_Toc306620390"/>
      <w:bookmarkStart w:id="2385" w:name="_Toc373850732"/>
      <w:bookmarkStart w:id="2386" w:name="_Toc281740688"/>
      <w:bookmarkStart w:id="2387" w:name="_Toc316471062"/>
      <w:bookmarkStart w:id="2388" w:name="_Toc439772745"/>
      <w:bookmarkStart w:id="2389" w:name="_Toc269117553"/>
      <w:bookmarkStart w:id="2390" w:name="_Toc299349212"/>
      <w:bookmarkStart w:id="2391" w:name="_Toc262656015"/>
      <w:bookmarkStart w:id="2392" w:name="_Toc262655488"/>
      <w:bookmarkStart w:id="2393" w:name="_Toc280710362"/>
      <w:bookmarkStart w:id="2394" w:name="_Toc342034799"/>
      <w:bookmarkStart w:id="2395" w:name="_Toc436998832"/>
      <w:bookmarkStart w:id="2396" w:name="_Toc436309990"/>
      <w:bookmarkStart w:id="2397" w:name="_Toc436309638"/>
      <w:bookmarkStart w:id="2398" w:name="_Toc345316790"/>
      <w:bookmarkStart w:id="2399" w:name="_Toc265480210"/>
      <w:bookmarkStart w:id="2400" w:name="_Toc345155385"/>
      <w:bookmarkStart w:id="2401" w:name="_Toc373851257"/>
      <w:bookmarkStart w:id="2402" w:name="_Toc289938997"/>
      <w:bookmarkStart w:id="2403" w:name="_Toc274724478"/>
      <w:bookmarkStart w:id="2404" w:name="_Toc260994487"/>
      <w:bookmarkStart w:id="2405" w:name="_Toc260230335"/>
      <w:bookmarkStart w:id="2406" w:name="_Toc260649063"/>
      <w:bookmarkStart w:id="2407" w:name="_Toc335833021"/>
      <w:bookmarkStart w:id="2408" w:name="_Toc284248383"/>
      <w:bookmarkStart w:id="2409" w:name="_Toc248294457"/>
      <w:bookmarkStart w:id="2410" w:name="_Toc255470305"/>
      <w:bookmarkStart w:id="2411" w:name="_Toc227658534"/>
      <w:bookmarkStart w:id="2412" w:name="_Toc219172373"/>
      <w:bookmarkStart w:id="2413" w:name="_Toc211175368"/>
      <w:bookmarkStart w:id="2414" w:name="_Toc206384876"/>
      <w:bookmarkStart w:id="2415" w:name="_Toc208734444"/>
      <w:bookmarkStart w:id="2416" w:name="_Toc255470082"/>
      <w:bookmarkStart w:id="2417" w:name="_Toc200183070"/>
      <w:bookmarkStart w:id="2418" w:name="_Toc255741969"/>
      <w:bookmarkStart w:id="2419" w:name="_Toc209862366"/>
      <w:bookmarkStart w:id="2420" w:name="_Toc257202873"/>
      <w:bookmarkStart w:id="2421" w:name="_Toc215556226"/>
      <w:bookmarkStart w:id="2422" w:name="_Toc245110774"/>
      <w:bookmarkStart w:id="2423" w:name="_Toc206830057"/>
      <w:bookmarkStart w:id="2424" w:name="_Toc254774445"/>
      <w:bookmarkStart w:id="2425" w:name="_Toc206485105"/>
      <w:bookmarkStart w:id="2426" w:name="_Toc215561244"/>
      <w:bookmarkStart w:id="2427" w:name="_Toc214355707"/>
      <w:bookmarkStart w:id="2428" w:name="_Toc222804560"/>
      <w:bookmarkStart w:id="2429" w:name="_Toc215805087"/>
      <w:bookmarkStart w:id="2430" w:name="_Toc249848986"/>
      <w:r>
        <w:rPr>
          <w:rFonts w:hint="eastAsia" w:hAnsi="宋体" w:cs="宋体"/>
          <w:b/>
          <w:color w:val="000000" w:themeColor="text1"/>
          <w14:textFill>
            <w14:solidFill>
              <w14:schemeClr w14:val="tx1"/>
            </w14:solidFill>
          </w14:textFill>
        </w:rPr>
        <w:t>9.1 发包人的施工安全责任</w:t>
      </w:r>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p>
    <w:p w14:paraId="75045F07">
      <w:pPr>
        <w:pStyle w:val="180"/>
        <w:spacing w:after="0" w:line="400" w:lineRule="exact"/>
        <w:ind w:firstLine="540" w:firstLineChars="224"/>
        <w:jc w:val="both"/>
        <w:rPr>
          <w:rFonts w:ascii="Times New Roman" w:cs="宋体"/>
          <w:color w:val="000000" w:themeColor="text1"/>
          <w:kern w:val="2"/>
          <w:sz w:val="21"/>
          <w14:textFill>
            <w14:solidFill>
              <w14:schemeClr w14:val="tx1"/>
            </w14:solidFill>
          </w14:textFill>
        </w:rPr>
      </w:pPr>
      <w:bookmarkStart w:id="2431" w:name="_Toc345316791"/>
      <w:bookmarkStart w:id="2432" w:name="_Toc274724479"/>
      <w:bookmarkStart w:id="2433" w:name="_Toc260230336"/>
      <w:bookmarkStart w:id="2434" w:name="_Toc260230009"/>
      <w:bookmarkStart w:id="2435" w:name="_Toc298940305"/>
      <w:bookmarkStart w:id="2436" w:name="_Toc260994488"/>
      <w:bookmarkStart w:id="2437" w:name="_Toc280710363"/>
      <w:bookmarkStart w:id="2438" w:name="_Toc281740689"/>
      <w:bookmarkStart w:id="2439" w:name="_Toc306620391"/>
      <w:bookmarkStart w:id="2440" w:name="_Toc436133282"/>
      <w:bookmarkStart w:id="2441" w:name="_Toc269117554"/>
      <w:bookmarkStart w:id="2442" w:name="_Toc345155386"/>
      <w:bookmarkStart w:id="2443" w:name="_Toc316471063"/>
      <w:bookmarkStart w:id="2444" w:name="_Toc439772746"/>
      <w:bookmarkStart w:id="2445" w:name="_Toc342034800"/>
      <w:bookmarkStart w:id="2446" w:name="_Toc373850733"/>
      <w:bookmarkStart w:id="2447" w:name="_Toc436309639"/>
      <w:bookmarkStart w:id="2448" w:name="_Toc445105582"/>
      <w:bookmarkStart w:id="2449" w:name="_Toc299349213"/>
      <w:bookmarkStart w:id="2450" w:name="_Toc436998833"/>
      <w:bookmarkStart w:id="2451" w:name="_Toc262655489"/>
      <w:bookmarkStart w:id="2452" w:name="_Toc265480211"/>
      <w:bookmarkStart w:id="2453" w:name="_Toc281292266"/>
      <w:bookmarkStart w:id="2454" w:name="_Toc373851258"/>
      <w:bookmarkStart w:id="2455" w:name="_Toc289938998"/>
      <w:bookmarkStart w:id="2456" w:name="_Toc260649064"/>
      <w:bookmarkStart w:id="2457" w:name="_Toc262656016"/>
      <w:bookmarkStart w:id="2458" w:name="_Toc335833022"/>
      <w:bookmarkStart w:id="2459" w:name="_Toc436309991"/>
      <w:bookmarkStart w:id="2460" w:name="_Toc284248384"/>
      <w:r>
        <w:rPr>
          <w:rFonts w:hint="eastAsia" w:hAnsi="宋体" w:cs="宋体"/>
          <w:b/>
          <w:color w:val="000000" w:themeColor="text1"/>
          <w14:textFill>
            <w14:solidFill>
              <w14:schemeClr w14:val="tx1"/>
            </w14:solidFill>
          </w14:textFill>
        </w:rPr>
        <w:t xml:space="preserve">9.1.4 </w:t>
      </w:r>
      <w:r>
        <w:rPr>
          <w:rFonts w:hint="eastAsia" w:ascii="Times New Roman" w:cs="宋体"/>
          <w:color w:val="000000" w:themeColor="text1"/>
          <w:kern w:val="2"/>
          <w:sz w:val="21"/>
          <w14:textFill>
            <w14:solidFill>
              <w14:schemeClr w14:val="tx1"/>
            </w14:solidFill>
          </w14:textFill>
        </w:rPr>
        <w:t>发包人提供的资料仅限于平面布置图、条带图中注明的内容，其它施工中需要的资料由承包人负责收集。</w:t>
      </w:r>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p>
    <w:p w14:paraId="63B12BF8">
      <w:pPr>
        <w:pStyle w:val="180"/>
        <w:spacing w:after="0" w:line="400" w:lineRule="exact"/>
        <w:ind w:firstLine="562"/>
        <w:jc w:val="both"/>
        <w:rPr>
          <w:rFonts w:hAnsi="宋体" w:cs="宋体"/>
          <w:b/>
          <w:color w:val="000000" w:themeColor="text1"/>
          <w14:textFill>
            <w14:solidFill>
              <w14:schemeClr w14:val="tx1"/>
            </w14:solidFill>
          </w14:textFill>
        </w:rPr>
      </w:pPr>
      <w:bookmarkStart w:id="2461" w:name="_Toc281292267"/>
      <w:bookmarkStart w:id="2462" w:name="_Toc345316792"/>
      <w:bookmarkStart w:id="2463" w:name="_Toc373850734"/>
      <w:bookmarkStart w:id="2464" w:name="_Toc316471064"/>
      <w:bookmarkStart w:id="2465" w:name="_Toc289938999"/>
      <w:bookmarkStart w:id="2466" w:name="_Toc436133283"/>
      <w:bookmarkStart w:id="2467" w:name="_Toc439772747"/>
      <w:bookmarkStart w:id="2468" w:name="_Toc345155387"/>
      <w:bookmarkStart w:id="2469" w:name="_Toc274724480"/>
      <w:bookmarkStart w:id="2470" w:name="_Toc436309992"/>
      <w:bookmarkStart w:id="2471" w:name="_Toc335833023"/>
      <w:bookmarkStart w:id="2472" w:name="_Toc260649065"/>
      <w:bookmarkStart w:id="2473" w:name="_Toc445105583"/>
      <w:bookmarkStart w:id="2474" w:name="_Toc299349214"/>
      <w:bookmarkStart w:id="2475" w:name="_Toc260230337"/>
      <w:bookmarkStart w:id="2476" w:name="_Toc262656017"/>
      <w:bookmarkStart w:id="2477" w:name="_Toc298940306"/>
      <w:bookmarkStart w:id="2478" w:name="_Toc436309640"/>
      <w:bookmarkStart w:id="2479" w:name="_Toc280710364"/>
      <w:bookmarkStart w:id="2480" w:name="_Toc281740690"/>
      <w:bookmarkStart w:id="2481" w:name="_Toc260230010"/>
      <w:bookmarkStart w:id="2482" w:name="_Toc284248385"/>
      <w:bookmarkStart w:id="2483" w:name="_Toc306620392"/>
      <w:bookmarkStart w:id="2484" w:name="_Toc373851259"/>
      <w:bookmarkStart w:id="2485" w:name="_Toc436998834"/>
      <w:bookmarkStart w:id="2486" w:name="_Toc260994489"/>
      <w:bookmarkStart w:id="2487" w:name="_Toc262655490"/>
      <w:bookmarkStart w:id="2488" w:name="_Toc265480212"/>
      <w:bookmarkStart w:id="2489" w:name="_Toc269117555"/>
      <w:bookmarkStart w:id="2490" w:name="_Toc342034801"/>
      <w:r>
        <w:rPr>
          <w:rFonts w:hint="eastAsia" w:hAnsi="宋体" w:cs="宋体"/>
          <w:b/>
          <w:color w:val="000000" w:themeColor="text1"/>
          <w14:textFill>
            <w14:solidFill>
              <w14:schemeClr w14:val="tx1"/>
            </w14:solidFill>
          </w14:textFill>
        </w:rPr>
        <w:t>9.2 承包人的施工安全责任</w:t>
      </w:r>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p>
    <w:p w14:paraId="318B84A6">
      <w:pPr>
        <w:pStyle w:val="87"/>
        <w:spacing w:line="400" w:lineRule="exact"/>
        <w:ind w:firstLine="723" w:firstLineChars="300"/>
        <w:jc w:val="both"/>
        <w:rPr>
          <w:rFonts w:ascii="Times New Roman"/>
          <w:color w:val="000000" w:themeColor="text1"/>
          <w:kern w:val="2"/>
          <w:sz w:val="21"/>
          <w14:textFill>
            <w14:solidFill>
              <w14:schemeClr w14:val="tx1"/>
            </w14:solidFill>
          </w14:textFill>
        </w:rPr>
      </w:pPr>
      <w:r>
        <w:rPr>
          <w:rFonts w:hint="eastAsia" w:hAnsi="宋体"/>
          <w:b/>
          <w:color w:val="000000" w:themeColor="text1"/>
          <w14:textFill>
            <w14:solidFill>
              <w14:schemeClr w14:val="tx1"/>
            </w14:solidFill>
          </w14:textFill>
        </w:rPr>
        <w:t xml:space="preserve">9.2.5 </w:t>
      </w:r>
      <w:r>
        <w:rPr>
          <w:rFonts w:hint="eastAsia" w:ascii="Times New Roman"/>
          <w:color w:val="000000" w:themeColor="text1"/>
          <w:kern w:val="2"/>
          <w:sz w:val="21"/>
          <w14:textFill>
            <w14:solidFill>
              <w14:schemeClr w14:val="tx1"/>
            </w14:solidFill>
          </w14:textFill>
        </w:rPr>
        <w:t>本款补充：承包人应按照《中华人民共和国安全生产法》和其他有关安全生产的法律、法规，加强安全生产管理，在工地建立安全生产管理机构，并建立、健全安全生产责任制度与规章，认真履行其安全生产管理职责，完善安全生产条件创造良好的安全作业环境，确保安全生产。由于承包方的违约、疏忽等原因所造成的安全事故由承包人承担责任并负责赔偿，与发包人无关。</w:t>
      </w:r>
    </w:p>
    <w:p w14:paraId="10E4BE21">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安全作业环境及安全施工措施所需费用”单独列支必须专款专用以确保本工程安全施工。发包人和监理人可按国家有关规定及《技术规范》要求，随时对承包人责任区进行安全检查，并将检查结果通报所有承包人；对存在的安全隐患应限期整改，对拒不整改或整改不力的，发包人有权要求承包人停工整改，且工期不予延长。</w:t>
      </w:r>
    </w:p>
    <w:p w14:paraId="149D61CB">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9.2.12 承包人在施工现场采取爆破等施工作业应编制专项施工方案，除应按国家有关法律法规办理爆破安全许可证书及采取安全措施外，还应提前与当地政府和周围群众进行沟通协商，采取措施防止影响周围群众正常的生产生活，由此带来的系列问题由承包人自行解决。</w:t>
      </w:r>
    </w:p>
    <w:p w14:paraId="63747A7F">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9.2.13承包人应根据招标文件和有关水文地质资料，充分考虑施工期洪水问题，编制切实可行的施工安全及度汛方案，合理地调整施工进度，并考虑到雨季的影响，施工安全及度汛方案由承包人通过实地调查后自行确定，由此带来的系列费用及问题由承包人自行解决。</w:t>
      </w:r>
    </w:p>
    <w:p w14:paraId="4AA56A8F">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9.3.1本款补充：发包人协助承包人与当地公安部门联系、协商，由承包人和当地公安部门共同建立或由承包人委托当地公安部门，建立一个现场治安管理机构，统一管理全工地的治安保卫事宜，负责履行本工程的治安保卫职责。工地的治安保卫事宜由承包人自行承担。</w:t>
      </w:r>
    </w:p>
    <w:p w14:paraId="0A43D8C7">
      <w:pPr>
        <w:pStyle w:val="180"/>
        <w:spacing w:after="0" w:line="400" w:lineRule="exact"/>
        <w:ind w:firstLine="562"/>
        <w:jc w:val="both"/>
        <w:rPr>
          <w:rFonts w:hAnsi="宋体" w:cs="宋体"/>
          <w:b/>
          <w:color w:val="000000" w:themeColor="text1"/>
          <w14:textFill>
            <w14:solidFill>
              <w14:schemeClr w14:val="tx1"/>
            </w14:solidFill>
          </w14:textFill>
        </w:rPr>
      </w:pPr>
      <w:bookmarkStart w:id="2491" w:name="_Toc260994490"/>
      <w:bookmarkStart w:id="2492" w:name="_Toc214355708"/>
      <w:bookmarkStart w:id="2493" w:name="_Toc265480213"/>
      <w:bookmarkStart w:id="2494" w:name="_Toc260230011"/>
      <w:bookmarkStart w:id="2495" w:name="_Toc299349215"/>
      <w:bookmarkStart w:id="2496" w:name="_Toc373850735"/>
      <w:bookmarkStart w:id="2497" w:name="_Toc206384877"/>
      <w:bookmarkStart w:id="2498" w:name="_Toc255470083"/>
      <w:bookmarkStart w:id="2499" w:name="_Toc215805088"/>
      <w:bookmarkStart w:id="2500" w:name="_Toc306620393"/>
      <w:bookmarkStart w:id="2501" w:name="_Toc342034802"/>
      <w:bookmarkStart w:id="2502" w:name="_Toc281740691"/>
      <w:bookmarkStart w:id="2503" w:name="_Toc211175369"/>
      <w:bookmarkStart w:id="2504" w:name="_Toc436133284"/>
      <w:bookmarkStart w:id="2505" w:name="_Toc215556227"/>
      <w:bookmarkStart w:id="2506" w:name="_Toc257202874"/>
      <w:bookmarkStart w:id="2507" w:name="_Toc445105584"/>
      <w:bookmarkStart w:id="2508" w:name="_Toc248294458"/>
      <w:bookmarkStart w:id="2509" w:name="_Toc245110775"/>
      <w:bookmarkStart w:id="2510" w:name="_Toc249848987"/>
      <w:bookmarkStart w:id="2511" w:name="_Toc345316793"/>
      <w:bookmarkStart w:id="2512" w:name="_Toc436309993"/>
      <w:bookmarkStart w:id="2513" w:name="_Toc260230338"/>
      <w:bookmarkStart w:id="2514" w:name="_Toc262656018"/>
      <w:bookmarkStart w:id="2515" w:name="_Toc335833024"/>
      <w:bookmarkStart w:id="2516" w:name="_Toc215561245"/>
      <w:bookmarkStart w:id="2517" w:name="_Toc439772748"/>
      <w:bookmarkStart w:id="2518" w:name="_Toc227658535"/>
      <w:bookmarkStart w:id="2519" w:name="_Toc274724481"/>
      <w:bookmarkStart w:id="2520" w:name="_Toc255470306"/>
      <w:bookmarkStart w:id="2521" w:name="_Toc289939000"/>
      <w:bookmarkStart w:id="2522" w:name="_Toc436998835"/>
      <w:bookmarkStart w:id="2523" w:name="_Toc269117556"/>
      <w:bookmarkStart w:id="2524" w:name="_Toc209862367"/>
      <w:bookmarkStart w:id="2525" w:name="_Toc284248386"/>
      <w:bookmarkStart w:id="2526" w:name="_Toc316471065"/>
      <w:bookmarkStart w:id="2527" w:name="_Toc222804561"/>
      <w:bookmarkStart w:id="2528" w:name="_Toc208734445"/>
      <w:bookmarkStart w:id="2529" w:name="_Toc262655491"/>
      <w:bookmarkStart w:id="2530" w:name="_Toc280710365"/>
      <w:bookmarkStart w:id="2531" w:name="_Toc255741970"/>
      <w:bookmarkStart w:id="2532" w:name="_Toc345155388"/>
      <w:bookmarkStart w:id="2533" w:name="_Toc436309641"/>
      <w:bookmarkStart w:id="2534" w:name="_Toc260649066"/>
      <w:bookmarkStart w:id="2535" w:name="_Toc298940307"/>
      <w:bookmarkStart w:id="2536" w:name="_Toc281292268"/>
      <w:bookmarkStart w:id="2537" w:name="_Toc254774446"/>
      <w:bookmarkStart w:id="2538" w:name="_Toc206485106"/>
      <w:bookmarkStart w:id="2539" w:name="_Toc206830058"/>
      <w:bookmarkStart w:id="2540" w:name="_Toc219172374"/>
      <w:bookmarkStart w:id="2541" w:name="_Toc373851260"/>
      <w:r>
        <w:rPr>
          <w:rFonts w:hint="eastAsia" w:hAnsi="宋体" w:cs="宋体"/>
          <w:b/>
          <w:color w:val="000000" w:themeColor="text1"/>
          <w14:textFill>
            <w14:solidFill>
              <w14:schemeClr w14:val="tx1"/>
            </w14:solidFill>
          </w14:textFill>
        </w:rPr>
        <w:t>9.4 环境保护</w:t>
      </w:r>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p>
    <w:p w14:paraId="223DD4E1">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9.4.2环境保护措施计划</w:t>
      </w:r>
    </w:p>
    <w:p w14:paraId="71EBA6BA">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承包人应在编报施工总布置设计文件的同时，编制一份施工区和生活区的环境保护措施计划，报送监理人审批。其内容应包括：</w:t>
      </w:r>
    </w:p>
    <w:p w14:paraId="64212437">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(1)施工弃渣的利用和堆放；</w:t>
      </w:r>
    </w:p>
    <w:p w14:paraId="26F0E236">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(2)施工场地开挖的边坡保护和水土流失防治措施；</w:t>
      </w:r>
    </w:p>
    <w:p w14:paraId="3E89975B">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(3)防止饮用水污染措施；</w:t>
      </w:r>
    </w:p>
    <w:p w14:paraId="441737E6">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(4)施工活动中的噪声、粉尘、废气、废水和废油等的治理措施；</w:t>
      </w:r>
    </w:p>
    <w:p w14:paraId="3DA0DC32">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(5)施工区和生活区的卫生设施以及粪便、垃圾的治理措施；</w:t>
      </w:r>
    </w:p>
    <w:p w14:paraId="583B0F5F">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(6)完工后的场地清理。</w:t>
      </w:r>
    </w:p>
    <w:p w14:paraId="4A4095CA">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本款补充9.4.7条：</w:t>
      </w:r>
    </w:p>
    <w:p w14:paraId="7531D838">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9.4.7承包人应切实执行技术规范中有关环境保护方面的条款和规定。</w:t>
      </w:r>
    </w:p>
    <w:p w14:paraId="6B36A9C6">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1）对于来自施工机械和运输车辆的施工噪声，为保护施工人员的健康，应遵守《中华人民共和国环境噪声污染防治法》并依据《工业企业噪声卫生标准》合理安排工作人员轮流操作筑路机械，减少接触高噪声的时间，或间歇安排高噪声的工作。对距噪声源较近的施工人员，除采取使用防护耳塞或头盔等有效措施外，还应当缩短其劳动时间。同时，要注意对机械的经常性保养，尽量使其噪声降低到最低水平。为保护施工现场附近居民的夜间休息，对居民区150m以内的施工现场，施工时间应加以控制。</w:t>
      </w:r>
    </w:p>
    <w:p w14:paraId="70EEBA71">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（2）采取可靠措施保证原有交通的正常通行，维持沿线村镇的居民饮水、农田灌溉、生产生活用电及通讯等管线的正常使用。</w:t>
      </w:r>
    </w:p>
    <w:p w14:paraId="64D2A4D8">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2）在整个施工过程中对承包人采取的环境保护措施，发包人和监理人有权监督，并向承包人提出整改要求。如果由于承包人未能对其负责的上述事项采取各种必要的措施而导致或发生与此有关的人身伤亡、罚款、索赔、损失补偿、诉讼费用及其他一切责任应由承包人负责。</w:t>
      </w:r>
    </w:p>
    <w:p w14:paraId="1ADB0239">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2542" w:name="_Toc199733040"/>
      <w:bookmarkStart w:id="2543" w:name="_Toc187846023"/>
      <w:bookmarkStart w:id="2544" w:name="_Toc249848990"/>
      <w:bookmarkStart w:id="2545" w:name="_Toc257202877"/>
      <w:bookmarkStart w:id="2546" w:name="_Toc206830061"/>
      <w:bookmarkStart w:id="2547" w:name="_Toc199842023"/>
      <w:bookmarkStart w:id="2548" w:name="_Toc219172377"/>
      <w:bookmarkStart w:id="2549" w:name="_Toc200183073"/>
      <w:bookmarkStart w:id="2550" w:name="_Toc227658538"/>
      <w:bookmarkStart w:id="2551" w:name="_Toc215556230"/>
      <w:bookmarkStart w:id="2552" w:name="_Toc211175372"/>
      <w:bookmarkStart w:id="2553" w:name="_Toc209862370"/>
      <w:bookmarkStart w:id="2554" w:name="_Toc206384880"/>
      <w:bookmarkStart w:id="2555" w:name="_Toc255741973"/>
      <w:bookmarkStart w:id="2556" w:name="_Toc215805091"/>
      <w:bookmarkStart w:id="2557" w:name="_Toc215561248"/>
      <w:bookmarkStart w:id="2558" w:name="_Toc206485109"/>
      <w:bookmarkStart w:id="2559" w:name="_Toc222804564"/>
      <w:bookmarkStart w:id="2560" w:name="_Toc254774449"/>
      <w:bookmarkStart w:id="2561" w:name="_Toc214355711"/>
      <w:bookmarkStart w:id="2562" w:name="_Toc248294461"/>
      <w:bookmarkStart w:id="2563" w:name="_Toc245110778"/>
      <w:bookmarkStart w:id="2564" w:name="_Toc208734448"/>
      <w:bookmarkStart w:id="2565" w:name="_Toc255470086"/>
      <w:bookmarkStart w:id="2566" w:name="_Toc189297965"/>
      <w:bookmarkStart w:id="2567" w:name="_Toc255470309"/>
      <w:bookmarkStart w:id="2568" w:name="_Toc260994491"/>
      <w:bookmarkStart w:id="2569" w:name="_Toc345155389"/>
      <w:bookmarkStart w:id="2570" w:name="_Toc298940308"/>
      <w:bookmarkStart w:id="2571" w:name="_Toc280710366"/>
      <w:bookmarkStart w:id="2572" w:name="_Toc345316794"/>
      <w:bookmarkStart w:id="2573" w:name="_Toc335833025"/>
      <w:bookmarkStart w:id="2574" w:name="_Toc260230339"/>
      <w:bookmarkStart w:id="2575" w:name="_Toc269117557"/>
      <w:bookmarkStart w:id="2576" w:name="_Toc260230012"/>
      <w:bookmarkStart w:id="2577" w:name="_Toc436998836"/>
      <w:bookmarkStart w:id="2578" w:name="_Toc265480214"/>
      <w:bookmarkStart w:id="2579" w:name="_Toc373851261"/>
      <w:bookmarkStart w:id="2580" w:name="_Toc281740692"/>
      <w:bookmarkStart w:id="2581" w:name="_Toc316471066"/>
      <w:bookmarkStart w:id="2582" w:name="_Toc289939001"/>
      <w:bookmarkStart w:id="2583" w:name="_Toc373850736"/>
      <w:bookmarkStart w:id="2584" w:name="_Toc306620394"/>
      <w:bookmarkStart w:id="2585" w:name="_Toc260649067"/>
      <w:bookmarkStart w:id="2586" w:name="_Toc299349216"/>
      <w:bookmarkStart w:id="2587" w:name="_Toc439772749"/>
      <w:bookmarkStart w:id="2588" w:name="_Toc445105585"/>
      <w:bookmarkStart w:id="2589" w:name="_Toc262656019"/>
      <w:bookmarkStart w:id="2590" w:name="_Toc274724482"/>
      <w:bookmarkStart w:id="2591" w:name="_Toc281292269"/>
      <w:bookmarkStart w:id="2592" w:name="_Toc342034803"/>
      <w:bookmarkStart w:id="2593" w:name="_Toc262655492"/>
      <w:bookmarkStart w:id="2594" w:name="_Toc274307455"/>
      <w:bookmarkStart w:id="2595" w:name="_Toc436309642"/>
      <w:bookmarkStart w:id="2596" w:name="_Toc436309994"/>
      <w:bookmarkStart w:id="2597" w:name="_Toc284248387"/>
      <w:bookmarkStart w:id="2598" w:name="_Toc436133285"/>
      <w:r>
        <w:rPr>
          <w:rFonts w:hint="eastAsia" w:hAnsi="宋体" w:cs="宋体"/>
          <w:b/>
          <w:color w:val="000000" w:themeColor="text1"/>
          <w:sz w:val="32"/>
          <w:szCs w:val="32"/>
          <w14:textFill>
            <w14:solidFill>
              <w14:schemeClr w14:val="tx1"/>
            </w14:solidFill>
          </w14:textFill>
        </w:rPr>
        <w:t>11.</w:t>
      </w:r>
      <w:r>
        <w:rPr>
          <w:rFonts w:hint="eastAsia" w:hAnsi="宋体" w:cs="宋体"/>
          <w:b/>
          <w:color w:val="000000" w:themeColor="text1"/>
          <w:sz w:val="32"/>
          <w:szCs w:val="32"/>
          <w14:textFill>
            <w14:solidFill>
              <w14:schemeClr w14:val="tx1"/>
            </w14:solidFill>
          </w14:textFill>
        </w:rPr>
        <w:tab/>
      </w:r>
      <w:r>
        <w:rPr>
          <w:rFonts w:hint="eastAsia" w:hAnsi="宋体" w:cs="宋体"/>
          <w:b/>
          <w:color w:val="000000" w:themeColor="text1"/>
          <w:sz w:val="32"/>
          <w:szCs w:val="32"/>
          <w14:textFill>
            <w14:solidFill>
              <w14:schemeClr w14:val="tx1"/>
            </w14:solidFill>
          </w14:textFill>
        </w:rPr>
        <w:t>开工和竣工</w:t>
      </w:r>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r>
        <w:rPr>
          <w:rFonts w:hint="eastAsia" w:hAnsi="宋体" w:cs="宋体"/>
          <w:b/>
          <w:color w:val="000000" w:themeColor="text1"/>
          <w:sz w:val="32"/>
          <w:szCs w:val="32"/>
          <w14:textFill>
            <w14:solidFill>
              <w14:schemeClr w14:val="tx1"/>
            </w14:solidFill>
          </w14:textFill>
        </w:rPr>
        <w:t>（完工）</w:t>
      </w:r>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p>
    <w:p w14:paraId="39A0951E">
      <w:pPr>
        <w:pStyle w:val="180"/>
        <w:spacing w:after="0" w:line="400" w:lineRule="exact"/>
        <w:ind w:firstLine="562"/>
        <w:jc w:val="both"/>
        <w:rPr>
          <w:rFonts w:hAnsi="宋体" w:cs="宋体"/>
          <w:b/>
          <w:color w:val="000000" w:themeColor="text1"/>
          <w14:textFill>
            <w14:solidFill>
              <w14:schemeClr w14:val="tx1"/>
            </w14:solidFill>
          </w14:textFill>
        </w:rPr>
      </w:pPr>
      <w:bookmarkStart w:id="2599" w:name="_Toc445105586"/>
      <w:bookmarkStart w:id="2600" w:name="_Toc436998837"/>
      <w:bookmarkStart w:id="2601" w:name="_Toc439772750"/>
      <w:bookmarkStart w:id="2602" w:name="_Toc206830065"/>
      <w:bookmarkStart w:id="2603" w:name="_Toc306620398"/>
      <w:bookmarkStart w:id="2604" w:name="_Toc255470313"/>
      <w:bookmarkStart w:id="2605" w:name="_Toc209862374"/>
      <w:bookmarkStart w:id="2606" w:name="_Toc260230343"/>
      <w:bookmarkStart w:id="2607" w:name="_Toc345316798"/>
      <w:bookmarkStart w:id="2608" w:name="_Toc245110782"/>
      <w:bookmarkStart w:id="2609" w:name="_Toc265480218"/>
      <w:bookmarkStart w:id="2610" w:name="_Toc206384883"/>
      <w:bookmarkStart w:id="2611" w:name="_Toc214355715"/>
      <w:bookmarkStart w:id="2612" w:name="_Toc248294465"/>
      <w:bookmarkStart w:id="2613" w:name="_Toc255741977"/>
      <w:bookmarkStart w:id="2614" w:name="_Toc436133289"/>
      <w:bookmarkStart w:id="2615" w:name="_Toc222804568"/>
      <w:bookmarkStart w:id="2616" w:name="_Toc436309646"/>
      <w:bookmarkStart w:id="2617" w:name="_Toc316471070"/>
      <w:bookmarkStart w:id="2618" w:name="_Toc262656023"/>
      <w:bookmarkStart w:id="2619" w:name="_Toc206485112"/>
      <w:bookmarkStart w:id="2620" w:name="_Toc284248391"/>
      <w:bookmarkStart w:id="2621" w:name="_Toc219172381"/>
      <w:bookmarkStart w:id="2622" w:name="_Toc211175376"/>
      <w:bookmarkStart w:id="2623" w:name="_Toc281740696"/>
      <w:bookmarkStart w:id="2624" w:name="_Toc260649071"/>
      <w:bookmarkStart w:id="2625" w:name="_Toc373851265"/>
      <w:bookmarkStart w:id="2626" w:name="_Toc260994495"/>
      <w:bookmarkStart w:id="2627" w:name="_Toc436309998"/>
      <w:bookmarkStart w:id="2628" w:name="_Toc345155393"/>
      <w:bookmarkStart w:id="2629" w:name="_Toc298940312"/>
      <w:bookmarkStart w:id="2630" w:name="_Toc215805095"/>
      <w:bookmarkStart w:id="2631" w:name="_Toc299349220"/>
      <w:bookmarkStart w:id="2632" w:name="_Toc335833029"/>
      <w:bookmarkStart w:id="2633" w:name="_Toc269117561"/>
      <w:bookmarkStart w:id="2634" w:name="_Toc274724486"/>
      <w:bookmarkStart w:id="2635" w:name="_Toc262655496"/>
      <w:bookmarkStart w:id="2636" w:name="_Toc215561252"/>
      <w:bookmarkStart w:id="2637" w:name="_Toc280710370"/>
      <w:bookmarkStart w:id="2638" w:name="_Toc227658542"/>
      <w:bookmarkStart w:id="2639" w:name="_Toc281292273"/>
      <w:bookmarkStart w:id="2640" w:name="_Toc215556234"/>
      <w:bookmarkStart w:id="2641" w:name="_Toc249848994"/>
      <w:bookmarkStart w:id="2642" w:name="_Toc257202881"/>
      <w:bookmarkStart w:id="2643" w:name="_Toc274307459"/>
      <w:bookmarkStart w:id="2644" w:name="_Toc342034807"/>
      <w:bookmarkStart w:id="2645" w:name="_Toc200183076"/>
      <w:bookmarkStart w:id="2646" w:name="_Toc208734452"/>
      <w:bookmarkStart w:id="2647" w:name="_Toc260230016"/>
      <w:bookmarkStart w:id="2648" w:name="_Toc373850740"/>
      <w:bookmarkStart w:id="2649" w:name="_Toc255470090"/>
      <w:bookmarkStart w:id="2650" w:name="_Toc289939005"/>
      <w:bookmarkStart w:id="2651" w:name="_Toc254774453"/>
      <w:r>
        <w:rPr>
          <w:rFonts w:hint="eastAsia" w:hAnsi="宋体" w:cs="宋体"/>
          <w:b/>
          <w:color w:val="000000" w:themeColor="text1"/>
          <w14:textFill>
            <w14:solidFill>
              <w14:schemeClr w14:val="tx1"/>
            </w14:solidFill>
          </w14:textFill>
        </w:rPr>
        <w:t>11.3 发包人的工期延误</w:t>
      </w:r>
      <w:bookmarkEnd w:id="2599"/>
      <w:bookmarkEnd w:id="2600"/>
      <w:bookmarkEnd w:id="2601"/>
    </w:p>
    <w:p w14:paraId="4F58A9F4">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因发包人原因造成工期延误，只给与延长工期，不办理任何经济补偿签证。</w:t>
      </w:r>
    </w:p>
    <w:p w14:paraId="2D552B8C">
      <w:pPr>
        <w:pStyle w:val="180"/>
        <w:spacing w:after="0" w:line="400" w:lineRule="exact"/>
        <w:ind w:firstLine="562"/>
        <w:jc w:val="both"/>
        <w:rPr>
          <w:rFonts w:hAnsi="宋体" w:cs="宋体"/>
          <w:b/>
          <w:color w:val="000000" w:themeColor="text1"/>
          <w14:textFill>
            <w14:solidFill>
              <w14:schemeClr w14:val="tx1"/>
            </w14:solidFill>
          </w14:textFill>
        </w:rPr>
      </w:pPr>
      <w:bookmarkStart w:id="2652" w:name="_Toc436133287"/>
      <w:bookmarkStart w:id="2653" w:name="_Toc260230014"/>
      <w:bookmarkStart w:id="2654" w:name="_Toc345155391"/>
      <w:bookmarkStart w:id="2655" w:name="_Toc257202879"/>
      <w:bookmarkStart w:id="2656" w:name="_Toc254774451"/>
      <w:bookmarkStart w:id="2657" w:name="_Toc245110780"/>
      <w:bookmarkStart w:id="2658" w:name="_Toc260230341"/>
      <w:bookmarkStart w:id="2659" w:name="_Toc209862372"/>
      <w:bookmarkStart w:id="2660" w:name="_Toc206485111"/>
      <w:bookmarkStart w:id="2661" w:name="_Toc215805093"/>
      <w:bookmarkStart w:id="2662" w:name="_Toc274307457"/>
      <w:bookmarkStart w:id="2663" w:name="_Toc262655494"/>
      <w:bookmarkStart w:id="2664" w:name="_Toc255470088"/>
      <w:bookmarkStart w:id="2665" w:name="_Toc284248389"/>
      <w:bookmarkStart w:id="2666" w:name="_Toc262656021"/>
      <w:bookmarkStart w:id="2667" w:name="_Toc255741975"/>
      <w:bookmarkStart w:id="2668" w:name="_Toc206830063"/>
      <w:bookmarkStart w:id="2669" w:name="_Toc281292271"/>
      <w:bookmarkStart w:id="2670" w:name="_Toc260649069"/>
      <w:bookmarkStart w:id="2671" w:name="_Toc206384882"/>
      <w:bookmarkStart w:id="2672" w:name="_Toc345316796"/>
      <w:bookmarkStart w:id="2673" w:name="_Toc445105587"/>
      <w:bookmarkStart w:id="2674" w:name="_Toc439772751"/>
      <w:bookmarkStart w:id="2675" w:name="_Toc299349218"/>
      <w:bookmarkStart w:id="2676" w:name="_Toc436998838"/>
      <w:bookmarkStart w:id="2677" w:name="_Toc248294463"/>
      <w:bookmarkStart w:id="2678" w:name="_Toc227658540"/>
      <w:bookmarkStart w:id="2679" w:name="_Toc298940310"/>
      <w:bookmarkStart w:id="2680" w:name="_Toc335833027"/>
      <w:bookmarkStart w:id="2681" w:name="_Toc306620396"/>
      <w:bookmarkStart w:id="2682" w:name="_Toc316471068"/>
      <w:bookmarkStart w:id="2683" w:name="_Toc265480216"/>
      <w:bookmarkStart w:id="2684" w:name="_Toc274724484"/>
      <w:bookmarkStart w:id="2685" w:name="_Toc249848992"/>
      <w:bookmarkStart w:id="2686" w:name="_Toc373850738"/>
      <w:bookmarkStart w:id="2687" w:name="_Toc215556232"/>
      <w:bookmarkStart w:id="2688" w:name="_Toc214355713"/>
      <w:bookmarkStart w:id="2689" w:name="_Toc342034805"/>
      <w:bookmarkStart w:id="2690" w:name="_Toc280710368"/>
      <w:bookmarkStart w:id="2691" w:name="_Toc200183075"/>
      <w:bookmarkStart w:id="2692" w:name="_Toc222804566"/>
      <w:bookmarkStart w:id="2693" w:name="_Toc269117559"/>
      <w:bookmarkStart w:id="2694" w:name="_Toc211175374"/>
      <w:bookmarkStart w:id="2695" w:name="_Toc289939003"/>
      <w:bookmarkStart w:id="2696" w:name="_Toc281740694"/>
      <w:bookmarkStart w:id="2697" w:name="_Toc219172379"/>
      <w:bookmarkStart w:id="2698" w:name="_Toc373851263"/>
      <w:bookmarkStart w:id="2699" w:name="_Toc215561250"/>
      <w:bookmarkStart w:id="2700" w:name="_Toc255470311"/>
      <w:bookmarkStart w:id="2701" w:name="_Toc260994493"/>
      <w:bookmarkStart w:id="2702" w:name="_Toc208734450"/>
      <w:r>
        <w:rPr>
          <w:rFonts w:hint="eastAsia" w:hAnsi="宋体" w:cs="宋体"/>
          <w:b/>
          <w:color w:val="000000" w:themeColor="text1"/>
          <w14:textFill>
            <w14:solidFill>
              <w14:schemeClr w14:val="tx1"/>
            </w14:solidFill>
          </w14:textFill>
        </w:rPr>
        <w:t>11.4 异常恶劣的气候条件</w:t>
      </w:r>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p>
    <w:p w14:paraId="5AEB6C71">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属于不可抗力的超标准洪水，并导致连续3天以上无法正常施工，需经监理和发包人的确认，发包人同意延长工期。</w:t>
      </w:r>
    </w:p>
    <w:p w14:paraId="51A88B1A">
      <w:pPr>
        <w:pStyle w:val="180"/>
        <w:spacing w:after="0" w:line="400" w:lineRule="exact"/>
        <w:ind w:firstLine="562"/>
        <w:jc w:val="both"/>
        <w:rPr>
          <w:rFonts w:hAnsi="宋体" w:cs="宋体"/>
          <w:b/>
          <w:color w:val="000000" w:themeColor="text1"/>
          <w14:textFill>
            <w14:solidFill>
              <w14:schemeClr w14:val="tx1"/>
            </w14:solidFill>
          </w14:textFill>
        </w:rPr>
      </w:pPr>
      <w:bookmarkStart w:id="2703" w:name="_Toc215561251"/>
      <w:bookmarkStart w:id="2704" w:name="_Toc269117560"/>
      <w:bookmarkStart w:id="2705" w:name="_Toc265480217"/>
      <w:bookmarkStart w:id="2706" w:name="_Toc281740695"/>
      <w:bookmarkStart w:id="2707" w:name="_Toc255470089"/>
      <w:bookmarkStart w:id="2708" w:name="_Toc298940311"/>
      <w:bookmarkStart w:id="2709" w:name="_Toc255741976"/>
      <w:bookmarkStart w:id="2710" w:name="_Toc342034806"/>
      <w:bookmarkStart w:id="2711" w:name="_Toc248294464"/>
      <w:bookmarkStart w:id="2712" w:name="_Toc260649070"/>
      <w:bookmarkStart w:id="2713" w:name="_Toc245110781"/>
      <w:bookmarkStart w:id="2714" w:name="_Toc274724485"/>
      <w:bookmarkStart w:id="2715" w:name="_Toc206830064"/>
      <w:bookmarkStart w:id="2716" w:name="_Toc373850739"/>
      <w:bookmarkStart w:id="2717" w:name="_Toc306620397"/>
      <w:bookmarkStart w:id="2718" w:name="_Toc254774452"/>
      <w:bookmarkStart w:id="2719" w:name="_Toc260994494"/>
      <w:bookmarkStart w:id="2720" w:name="_Toc445105588"/>
      <w:bookmarkStart w:id="2721" w:name="_Toc257202880"/>
      <w:bookmarkStart w:id="2722" w:name="_Toc215805094"/>
      <w:bookmarkStart w:id="2723" w:name="_Toc249848993"/>
      <w:bookmarkStart w:id="2724" w:name="_Toc299349219"/>
      <w:bookmarkStart w:id="2725" w:name="_Toc316471069"/>
      <w:bookmarkStart w:id="2726" w:name="_Toc255470312"/>
      <w:bookmarkStart w:id="2727" w:name="_Toc219172380"/>
      <w:bookmarkStart w:id="2728" w:name="_Toc436133288"/>
      <w:bookmarkStart w:id="2729" w:name="_Toc439772752"/>
      <w:bookmarkStart w:id="2730" w:name="_Toc209862373"/>
      <w:bookmarkStart w:id="2731" w:name="_Toc335833028"/>
      <w:bookmarkStart w:id="2732" w:name="_Toc284248390"/>
      <w:bookmarkStart w:id="2733" w:name="_Toc214355714"/>
      <w:bookmarkStart w:id="2734" w:name="_Toc281292272"/>
      <w:bookmarkStart w:id="2735" w:name="_Toc215556233"/>
      <w:bookmarkStart w:id="2736" w:name="_Toc373851264"/>
      <w:bookmarkStart w:id="2737" w:name="_Toc436998839"/>
      <w:bookmarkStart w:id="2738" w:name="_Toc345316797"/>
      <w:bookmarkStart w:id="2739" w:name="_Toc211175375"/>
      <w:bookmarkStart w:id="2740" w:name="_Toc222804567"/>
      <w:bookmarkStart w:id="2741" w:name="_Toc227658541"/>
      <w:bookmarkStart w:id="2742" w:name="_Toc274307458"/>
      <w:bookmarkStart w:id="2743" w:name="_Toc289939004"/>
      <w:bookmarkStart w:id="2744" w:name="_Toc262655495"/>
      <w:bookmarkStart w:id="2745" w:name="_Toc280710369"/>
      <w:bookmarkStart w:id="2746" w:name="_Toc208734451"/>
      <w:bookmarkStart w:id="2747" w:name="_Toc345155392"/>
      <w:bookmarkStart w:id="2748" w:name="_Toc262656022"/>
      <w:bookmarkStart w:id="2749" w:name="_Toc260230015"/>
      <w:bookmarkStart w:id="2750" w:name="_Toc260230342"/>
      <w:r>
        <w:rPr>
          <w:rFonts w:hint="eastAsia" w:hAnsi="宋体" w:cs="宋体"/>
          <w:b/>
          <w:color w:val="000000" w:themeColor="text1"/>
          <w14:textFill>
            <w14:solidFill>
              <w14:schemeClr w14:val="tx1"/>
            </w14:solidFill>
          </w14:textFill>
        </w:rPr>
        <w:t>11.5 承包人工期延误</w:t>
      </w:r>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p>
    <w:p w14:paraId="3481F2DE">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由于承包人的原因造成工期延误的，承包人应向发包人支付逾期完工违约金人民币10000元/天；延期超过30天，甲方有权解除合同，已完工程量按照已完成合格工程合同价款的80%结算。</w:t>
      </w:r>
    </w:p>
    <w:p w14:paraId="6F5BA9BB">
      <w:pPr>
        <w:pStyle w:val="180"/>
        <w:spacing w:after="0" w:line="400" w:lineRule="exact"/>
        <w:ind w:firstLine="562"/>
        <w:jc w:val="both"/>
        <w:rPr>
          <w:rFonts w:hAnsi="宋体" w:cs="宋体"/>
          <w:b/>
          <w:color w:val="000000" w:themeColor="text1"/>
          <w14:textFill>
            <w14:solidFill>
              <w14:schemeClr w14:val="tx1"/>
            </w14:solidFill>
          </w14:textFill>
        </w:rPr>
      </w:pPr>
      <w:bookmarkStart w:id="2751" w:name="_Toc445105589"/>
      <w:bookmarkStart w:id="2752" w:name="_Toc439772753"/>
      <w:bookmarkStart w:id="2753" w:name="_Toc436998841"/>
      <w:r>
        <w:rPr>
          <w:rFonts w:hint="eastAsia" w:hAnsi="宋体" w:cs="宋体"/>
          <w:b/>
          <w:color w:val="000000" w:themeColor="text1"/>
          <w14:textFill>
            <w14:solidFill>
              <w14:schemeClr w14:val="tx1"/>
            </w14:solidFill>
          </w14:textFill>
        </w:rPr>
        <w:t>11.6 工期提前</w:t>
      </w:r>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751"/>
      <w:bookmarkEnd w:id="2752"/>
      <w:bookmarkEnd w:id="2753"/>
    </w:p>
    <w:p w14:paraId="54EFB37A">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发包人不对提前完工进行奖励。</w:t>
      </w:r>
    </w:p>
    <w:p w14:paraId="759B70BE">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2754" w:name="_Toc298940315"/>
      <w:bookmarkStart w:id="2755" w:name="_Toc274307462"/>
      <w:bookmarkStart w:id="2756" w:name="_Toc211175379"/>
      <w:bookmarkStart w:id="2757" w:name="_Toc269117564"/>
      <w:bookmarkStart w:id="2758" w:name="_Toc284248394"/>
      <w:bookmarkStart w:id="2759" w:name="_Toc206830068"/>
      <w:bookmarkStart w:id="2760" w:name="_Toc345316801"/>
      <w:bookmarkStart w:id="2761" w:name="_Toc255470093"/>
      <w:bookmarkStart w:id="2762" w:name="_Toc281740699"/>
      <w:bookmarkStart w:id="2763" w:name="_Toc199733042"/>
      <w:bookmarkStart w:id="2764" w:name="_Toc342034810"/>
      <w:bookmarkStart w:id="2765" w:name="_Toc280710373"/>
      <w:bookmarkStart w:id="2766" w:name="_Toc254774456"/>
      <w:bookmarkStart w:id="2767" w:name="_Toc227658545"/>
      <w:bookmarkStart w:id="2768" w:name="_Toc289939008"/>
      <w:bookmarkStart w:id="2769" w:name="_Toc249848997"/>
      <w:bookmarkStart w:id="2770" w:name="_Toc214355718"/>
      <w:bookmarkStart w:id="2771" w:name="_Toc215556237"/>
      <w:bookmarkStart w:id="2772" w:name="_Toc206384886"/>
      <w:bookmarkStart w:id="2773" w:name="_Toc436309649"/>
      <w:bookmarkStart w:id="2774" w:name="_Toc219172384"/>
      <w:bookmarkStart w:id="2775" w:name="_Toc215561255"/>
      <w:bookmarkStart w:id="2776" w:name="_Toc373851268"/>
      <w:bookmarkStart w:id="2777" w:name="_Toc206485115"/>
      <w:bookmarkStart w:id="2778" w:name="_Toc199842025"/>
      <w:bookmarkStart w:id="2779" w:name="_Toc265480221"/>
      <w:bookmarkStart w:id="2780" w:name="_Toc316471073"/>
      <w:bookmarkStart w:id="2781" w:name="_Toc245110785"/>
      <w:bookmarkStart w:id="2782" w:name="_Toc260994498"/>
      <w:bookmarkStart w:id="2783" w:name="_Toc306620401"/>
      <w:bookmarkStart w:id="2784" w:name="_Toc436133292"/>
      <w:bookmarkStart w:id="2785" w:name="_Toc299349223"/>
      <w:bookmarkStart w:id="2786" w:name="_Toc260649075"/>
      <w:bookmarkStart w:id="2787" w:name="_Toc257202884"/>
      <w:bookmarkStart w:id="2788" w:name="_Toc255470316"/>
      <w:bookmarkStart w:id="2789" w:name="_Toc439772756"/>
      <w:bookmarkStart w:id="2790" w:name="_Toc255741980"/>
      <w:bookmarkStart w:id="2791" w:name="_Toc262655499"/>
      <w:bookmarkStart w:id="2792" w:name="_Toc260230019"/>
      <w:bookmarkStart w:id="2793" w:name="_Toc436310001"/>
      <w:bookmarkStart w:id="2794" w:name="_Toc208734455"/>
      <w:bookmarkStart w:id="2795" w:name="_Toc262656026"/>
      <w:bookmarkStart w:id="2796" w:name="_Toc345155396"/>
      <w:bookmarkStart w:id="2797" w:name="_Toc260230346"/>
      <w:bookmarkStart w:id="2798" w:name="_Toc335833032"/>
      <w:bookmarkStart w:id="2799" w:name="_Toc200183079"/>
      <w:bookmarkStart w:id="2800" w:name="_Toc187846025"/>
      <w:bookmarkStart w:id="2801" w:name="_Toc222804571"/>
      <w:bookmarkStart w:id="2802" w:name="_Toc436998844"/>
      <w:bookmarkStart w:id="2803" w:name="_Toc189297967"/>
      <w:bookmarkStart w:id="2804" w:name="_Toc281292276"/>
      <w:bookmarkStart w:id="2805" w:name="_Toc215805098"/>
      <w:bookmarkStart w:id="2806" w:name="_Toc248294468"/>
      <w:bookmarkStart w:id="2807" w:name="_Toc209862377"/>
      <w:bookmarkStart w:id="2808" w:name="_Toc445105590"/>
      <w:bookmarkStart w:id="2809" w:name="_Toc373850743"/>
      <w:bookmarkStart w:id="2810" w:name="_Toc274724489"/>
      <w:r>
        <w:rPr>
          <w:rFonts w:hint="eastAsia" w:hAnsi="宋体" w:cs="宋体"/>
          <w:b/>
          <w:color w:val="000000" w:themeColor="text1"/>
          <w:sz w:val="32"/>
          <w:szCs w:val="32"/>
          <w14:textFill>
            <w14:solidFill>
              <w14:schemeClr w14:val="tx1"/>
            </w14:solidFill>
          </w14:textFill>
        </w:rPr>
        <w:t>15.变更</w:t>
      </w:r>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p>
    <w:p w14:paraId="3F1E242D">
      <w:pPr>
        <w:pStyle w:val="180"/>
        <w:spacing w:after="0" w:line="400" w:lineRule="exact"/>
        <w:ind w:firstLine="562"/>
        <w:jc w:val="both"/>
        <w:rPr>
          <w:rFonts w:hAnsi="宋体" w:cs="宋体"/>
          <w:b/>
          <w:color w:val="000000" w:themeColor="text1"/>
          <w14:textFill>
            <w14:solidFill>
              <w14:schemeClr w14:val="tx1"/>
            </w14:solidFill>
          </w14:textFill>
        </w:rPr>
      </w:pPr>
      <w:bookmarkStart w:id="2811" w:name="_Toc260994499"/>
      <w:bookmarkStart w:id="2812" w:name="_Toc436309650"/>
      <w:bookmarkStart w:id="2813" w:name="_Toc269117565"/>
      <w:bookmarkStart w:id="2814" w:name="_Toc262655500"/>
      <w:bookmarkStart w:id="2815" w:name="_Toc280710374"/>
      <w:bookmarkStart w:id="2816" w:name="_Toc289939009"/>
      <w:bookmarkStart w:id="2817" w:name="_Toc316471074"/>
      <w:bookmarkStart w:id="2818" w:name="_Toc436310002"/>
      <w:bookmarkStart w:id="2819" w:name="_Toc299349224"/>
      <w:bookmarkStart w:id="2820" w:name="_Toc260230020"/>
      <w:bookmarkStart w:id="2821" w:name="_Toc342034811"/>
      <w:bookmarkStart w:id="2822" w:name="_Toc335833033"/>
      <w:bookmarkStart w:id="2823" w:name="_Toc281292277"/>
      <w:bookmarkStart w:id="2824" w:name="_Toc345316802"/>
      <w:bookmarkStart w:id="2825" w:name="_Toc436133293"/>
      <w:bookmarkStart w:id="2826" w:name="_Toc262656027"/>
      <w:bookmarkStart w:id="2827" w:name="_Toc284248395"/>
      <w:bookmarkStart w:id="2828" w:name="_Toc298940316"/>
      <w:bookmarkStart w:id="2829" w:name="_Toc436998845"/>
      <w:bookmarkStart w:id="2830" w:name="_Toc445105591"/>
      <w:bookmarkStart w:id="2831" w:name="_Toc373851269"/>
      <w:bookmarkStart w:id="2832" w:name="_Toc260649076"/>
      <w:bookmarkStart w:id="2833" w:name="_Toc439772757"/>
      <w:bookmarkStart w:id="2834" w:name="_Toc274724490"/>
      <w:bookmarkStart w:id="2835" w:name="_Toc345155397"/>
      <w:bookmarkStart w:id="2836" w:name="_Toc281740700"/>
      <w:bookmarkStart w:id="2837" w:name="_Toc373850744"/>
      <w:bookmarkStart w:id="2838" w:name="_Toc265480222"/>
      <w:bookmarkStart w:id="2839" w:name="_Toc274307463"/>
      <w:bookmarkStart w:id="2840" w:name="_Toc306620402"/>
      <w:bookmarkStart w:id="2841" w:name="_Toc260230347"/>
      <w:bookmarkStart w:id="2842" w:name="_Toc209862378"/>
      <w:bookmarkStart w:id="2843" w:name="_Toc255470094"/>
      <w:bookmarkStart w:id="2844" w:name="_Toc206830069"/>
      <w:bookmarkStart w:id="2845" w:name="_Toc206485116"/>
      <w:bookmarkStart w:id="2846" w:name="_Toc222804572"/>
      <w:bookmarkStart w:id="2847" w:name="_Toc214355719"/>
      <w:bookmarkStart w:id="2848" w:name="_Toc215556238"/>
      <w:bookmarkStart w:id="2849" w:name="_Toc245110786"/>
      <w:bookmarkStart w:id="2850" w:name="_Toc248294469"/>
      <w:bookmarkStart w:id="2851" w:name="_Toc254774457"/>
      <w:bookmarkStart w:id="2852" w:name="_Toc257202885"/>
      <w:bookmarkStart w:id="2853" w:name="_Toc255741981"/>
      <w:bookmarkStart w:id="2854" w:name="_Toc255470317"/>
      <w:bookmarkStart w:id="2855" w:name="_Toc215561256"/>
      <w:bookmarkStart w:id="2856" w:name="_Toc215805099"/>
      <w:bookmarkStart w:id="2857" w:name="_Toc219172385"/>
      <w:bookmarkStart w:id="2858" w:name="_Toc211175380"/>
      <w:bookmarkStart w:id="2859" w:name="_Toc249848998"/>
      <w:bookmarkStart w:id="2860" w:name="_Toc200183080"/>
      <w:bookmarkStart w:id="2861" w:name="_Toc206384887"/>
      <w:bookmarkStart w:id="2862" w:name="_Toc227658546"/>
      <w:bookmarkStart w:id="2863" w:name="_Toc208734456"/>
      <w:r>
        <w:rPr>
          <w:rFonts w:hint="eastAsia" w:hAnsi="宋体" w:cs="宋体"/>
          <w:b/>
          <w:color w:val="000000" w:themeColor="text1"/>
          <w14:textFill>
            <w14:solidFill>
              <w14:schemeClr w14:val="tx1"/>
            </w14:solidFill>
          </w14:textFill>
        </w:rPr>
        <w:t>15.1 变更的范围和内容</w:t>
      </w:r>
    </w:p>
    <w:p w14:paraId="3B8A7744">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bookmarkStart w:id="2864" w:name="_Toc274307464"/>
      <w:bookmarkStart w:id="2865" w:name="_Toc445105592"/>
      <w:bookmarkStart w:id="2866" w:name="_Toc306620403"/>
      <w:bookmarkStart w:id="2867" w:name="_Toc335833034"/>
      <w:bookmarkStart w:id="2868" w:name="_Toc436309651"/>
      <w:bookmarkStart w:id="2869" w:name="_Toc439772758"/>
      <w:bookmarkStart w:id="2870" w:name="_Toc298940317"/>
      <w:bookmarkStart w:id="2871" w:name="_Toc299349225"/>
      <w:bookmarkStart w:id="2872" w:name="_Toc436998846"/>
      <w:bookmarkStart w:id="2873" w:name="_Toc436133294"/>
      <w:bookmarkStart w:id="2874" w:name="_Toc289939010"/>
      <w:bookmarkStart w:id="2875" w:name="_Toc281292278"/>
      <w:bookmarkStart w:id="2876" w:name="_Toc342034812"/>
      <w:bookmarkStart w:id="2877" w:name="_Toc345316803"/>
      <w:bookmarkStart w:id="2878" w:name="_Toc345155398"/>
      <w:bookmarkStart w:id="2879" w:name="_Toc262655501"/>
      <w:bookmarkStart w:id="2880" w:name="_Toc373850745"/>
      <w:bookmarkStart w:id="2881" w:name="_Toc274724491"/>
      <w:bookmarkStart w:id="2882" w:name="_Toc260994500"/>
      <w:bookmarkStart w:id="2883" w:name="_Toc262656028"/>
      <w:bookmarkStart w:id="2884" w:name="_Toc316471075"/>
      <w:bookmarkStart w:id="2885" w:name="_Toc260649077"/>
      <w:bookmarkStart w:id="2886" w:name="_Toc281740701"/>
      <w:bookmarkStart w:id="2887" w:name="_Toc265480223"/>
      <w:bookmarkStart w:id="2888" w:name="_Toc280710375"/>
      <w:bookmarkStart w:id="2889" w:name="_Toc284248396"/>
      <w:bookmarkStart w:id="2890" w:name="_Toc269117566"/>
      <w:bookmarkStart w:id="2891" w:name="_Toc436310003"/>
      <w:bookmarkStart w:id="2892" w:name="_Toc373851270"/>
      <w:bookmarkStart w:id="2893" w:name="_Toc260231006"/>
      <w:r>
        <w:rPr>
          <w:rFonts w:hint="eastAsia" w:ascii="Times New Roman"/>
          <w:color w:val="000000" w:themeColor="text1"/>
          <w:kern w:val="2"/>
          <w:sz w:val="21"/>
          <w14:textFill>
            <w14:solidFill>
              <w14:schemeClr w14:val="tx1"/>
            </w14:solidFill>
          </w14:textFill>
        </w:rPr>
        <w:t>单价调整方式：合同期内所有单价不作调整。</w:t>
      </w:r>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p>
    <w:p w14:paraId="404DCF65">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15.2  变更权</w:t>
      </w:r>
    </w:p>
    <w:p w14:paraId="58C8812D">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经监理人同意涉及合同的任何变更必须经发包人同意。</w:t>
      </w:r>
    </w:p>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p w14:paraId="5230D576">
      <w:pPr>
        <w:pStyle w:val="180"/>
        <w:spacing w:after="0" w:line="400" w:lineRule="exact"/>
        <w:ind w:firstLine="562"/>
        <w:jc w:val="both"/>
        <w:rPr>
          <w:rFonts w:hAnsi="宋体" w:cs="宋体"/>
          <w:b/>
          <w:color w:val="000000" w:themeColor="text1"/>
          <w14:textFill>
            <w14:solidFill>
              <w14:schemeClr w14:val="tx1"/>
            </w14:solidFill>
          </w14:textFill>
        </w:rPr>
      </w:pPr>
      <w:bookmarkStart w:id="2894" w:name="_Toc342034813"/>
      <w:bookmarkStart w:id="2895" w:name="_Toc299349226"/>
      <w:bookmarkStart w:id="2896" w:name="_Toc439772759"/>
      <w:bookmarkStart w:id="2897" w:name="_Toc298940318"/>
      <w:bookmarkStart w:id="2898" w:name="_Toc436310004"/>
      <w:bookmarkStart w:id="2899" w:name="_Toc289939011"/>
      <w:bookmarkStart w:id="2900" w:name="_Toc316471076"/>
      <w:bookmarkStart w:id="2901" w:name="_Toc260994501"/>
      <w:bookmarkStart w:id="2902" w:name="_Toc260649078"/>
      <w:bookmarkStart w:id="2903" w:name="_Toc260230349"/>
      <w:bookmarkStart w:id="2904" w:name="_Toc260230022"/>
      <w:bookmarkStart w:id="2905" w:name="_Toc445105593"/>
      <w:bookmarkStart w:id="2906" w:name="_Toc345316804"/>
      <w:bookmarkStart w:id="2907" w:name="_Toc284248397"/>
      <w:bookmarkStart w:id="2908" w:name="_Toc436133295"/>
      <w:bookmarkStart w:id="2909" w:name="_Toc345155399"/>
      <w:bookmarkStart w:id="2910" w:name="_Toc265480224"/>
      <w:bookmarkStart w:id="2911" w:name="_Toc269117567"/>
      <w:bookmarkStart w:id="2912" w:name="_Toc281292279"/>
      <w:bookmarkStart w:id="2913" w:name="_Toc335833035"/>
      <w:bookmarkStart w:id="2914" w:name="_Toc262656029"/>
      <w:bookmarkStart w:id="2915" w:name="_Toc274307465"/>
      <w:bookmarkStart w:id="2916" w:name="_Toc280710376"/>
      <w:bookmarkStart w:id="2917" w:name="_Toc373850746"/>
      <w:bookmarkStart w:id="2918" w:name="_Toc373851271"/>
      <w:bookmarkStart w:id="2919" w:name="_Toc262655502"/>
      <w:bookmarkStart w:id="2920" w:name="_Toc281740702"/>
      <w:bookmarkStart w:id="2921" w:name="_Toc306620404"/>
      <w:bookmarkStart w:id="2922" w:name="_Toc436998847"/>
      <w:bookmarkStart w:id="2923" w:name="_Toc274724492"/>
      <w:bookmarkStart w:id="2924" w:name="_Toc436309652"/>
      <w:r>
        <w:rPr>
          <w:rFonts w:hint="eastAsia" w:hAnsi="宋体" w:cs="宋体"/>
          <w:b/>
          <w:color w:val="000000" w:themeColor="text1"/>
          <w14:textFill>
            <w14:solidFill>
              <w14:schemeClr w14:val="tx1"/>
            </w14:solidFill>
          </w14:textFill>
        </w:rPr>
        <w:t>15.4 变更的估价原则</w:t>
      </w:r>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p>
    <w:p w14:paraId="2906E703">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bookmarkStart w:id="2925" w:name="_Toc255470318"/>
      <w:bookmarkStart w:id="2926" w:name="_Toc255741982"/>
      <w:bookmarkStart w:id="2927" w:name="_Toc249848999"/>
      <w:bookmarkStart w:id="2928" w:name="_Toc373851272"/>
      <w:bookmarkStart w:id="2929" w:name="_Toc262655503"/>
      <w:bookmarkStart w:id="2930" w:name="_Toc222804573"/>
      <w:bookmarkStart w:id="2931" w:name="_Toc200183081"/>
      <w:bookmarkStart w:id="2932" w:name="_Toc219172386"/>
      <w:bookmarkStart w:id="2933" w:name="_Toc316471077"/>
      <w:bookmarkStart w:id="2934" w:name="_Toc215561257"/>
      <w:bookmarkStart w:id="2935" w:name="_Toc280710377"/>
      <w:bookmarkStart w:id="2936" w:name="_Toc265480225"/>
      <w:bookmarkStart w:id="2937" w:name="_Toc211175381"/>
      <w:bookmarkStart w:id="2938" w:name="_Toc306620405"/>
      <w:bookmarkStart w:id="2939" w:name="_Toc262656030"/>
      <w:bookmarkStart w:id="2940" w:name="_Toc345155400"/>
      <w:bookmarkStart w:id="2941" w:name="_Toc215805100"/>
      <w:bookmarkStart w:id="2942" w:name="_Toc281740703"/>
      <w:bookmarkStart w:id="2943" w:name="_Toc436309653"/>
      <w:bookmarkStart w:id="2944" w:name="_Toc208734457"/>
      <w:bookmarkStart w:id="2945" w:name="_Toc206485117"/>
      <w:bookmarkStart w:id="2946" w:name="_Toc260230023"/>
      <w:bookmarkStart w:id="2947" w:name="_Toc289939012"/>
      <w:bookmarkStart w:id="2948" w:name="_Toc187846026"/>
      <w:bookmarkStart w:id="2949" w:name="_Toc257202886"/>
      <w:bookmarkStart w:id="2950" w:name="_Toc227658547"/>
      <w:bookmarkStart w:id="2951" w:name="_Toc345316805"/>
      <w:bookmarkStart w:id="2952" w:name="_Toc260230350"/>
      <w:bookmarkStart w:id="2953" w:name="_Toc373850747"/>
      <w:bookmarkStart w:id="2954" w:name="_Toc214355720"/>
      <w:bookmarkStart w:id="2955" w:name="_Toc436310005"/>
      <w:bookmarkStart w:id="2956" w:name="_Toc254774458"/>
      <w:bookmarkStart w:id="2957" w:name="_Toc245110787"/>
      <w:bookmarkStart w:id="2958" w:name="_Toc260994502"/>
      <w:bookmarkStart w:id="2959" w:name="_Toc342034814"/>
      <w:bookmarkStart w:id="2960" w:name="_Toc209862379"/>
      <w:bookmarkStart w:id="2961" w:name="_Toc281292280"/>
      <w:bookmarkStart w:id="2962" w:name="_Toc299349227"/>
      <w:bookmarkStart w:id="2963" w:name="_Toc260649079"/>
      <w:bookmarkStart w:id="2964" w:name="_Toc274724493"/>
      <w:bookmarkStart w:id="2965" w:name="_Toc255470095"/>
      <w:bookmarkStart w:id="2966" w:name="_Toc215556239"/>
      <w:bookmarkStart w:id="2967" w:name="_Toc269117568"/>
      <w:bookmarkStart w:id="2968" w:name="_Toc284248398"/>
      <w:bookmarkStart w:id="2969" w:name="_Toc298940319"/>
      <w:bookmarkStart w:id="2970" w:name="_Toc248294470"/>
      <w:bookmarkStart w:id="2971" w:name="_Toc189297968"/>
      <w:bookmarkStart w:id="2972" w:name="_Toc206830070"/>
      <w:bookmarkStart w:id="2973" w:name="_Toc335833036"/>
      <w:bookmarkStart w:id="2974" w:name="_Toc274307466"/>
      <w:bookmarkStart w:id="2975" w:name="_Toc436133296"/>
      <w:bookmarkStart w:id="2976" w:name="_Toc199733043"/>
      <w:bookmarkStart w:id="2977" w:name="_Toc206384888"/>
      <w:bookmarkStart w:id="2978" w:name="_Toc199842026"/>
      <w:r>
        <w:rPr>
          <w:rFonts w:hint="eastAsia" w:ascii="Times New Roman"/>
          <w:color w:val="000000" w:themeColor="text1"/>
          <w:kern w:val="2"/>
          <w:sz w:val="21"/>
          <w14:textFill>
            <w14:solidFill>
              <w14:schemeClr w14:val="tx1"/>
            </w14:solidFill>
          </w14:textFill>
        </w:rPr>
        <w:t>15.4.4承包人在接到发包人下发的有效的设计变更通知单后，应立即着手实施，不得以价款未定为理由而拒绝承担该项工作内容，否则造成的工期及一切费用损失均由承包人负责，发包方可另行安排队伍施工，因此发生的施工费用×120%，在承包单位工程款中扣除。</w:t>
      </w:r>
    </w:p>
    <w:p w14:paraId="59706252">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2979" w:name="_Toc439772760"/>
      <w:bookmarkStart w:id="2980" w:name="_Toc445105594"/>
      <w:bookmarkStart w:id="2981" w:name="_Toc436998848"/>
      <w:r>
        <w:rPr>
          <w:rFonts w:hint="eastAsia" w:hAnsi="宋体" w:cs="宋体"/>
          <w:b/>
          <w:color w:val="000000" w:themeColor="text1"/>
          <w:sz w:val="32"/>
          <w:szCs w:val="32"/>
          <w14:textFill>
            <w14:solidFill>
              <w14:schemeClr w14:val="tx1"/>
            </w14:solidFill>
          </w14:textFill>
        </w:rPr>
        <w:t>16.价格调整</w:t>
      </w:r>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p>
    <w:p w14:paraId="2E0E985F">
      <w:pPr>
        <w:pStyle w:val="180"/>
        <w:spacing w:after="0" w:line="400" w:lineRule="exact"/>
        <w:ind w:firstLine="562"/>
        <w:jc w:val="both"/>
        <w:rPr>
          <w:rFonts w:hAnsi="宋体" w:cs="宋体"/>
          <w:b/>
          <w:color w:val="000000" w:themeColor="text1"/>
          <w14:textFill>
            <w14:solidFill>
              <w14:schemeClr w14:val="tx1"/>
            </w14:solidFill>
          </w14:textFill>
        </w:rPr>
      </w:pPr>
      <w:bookmarkStart w:id="2982" w:name="_Toc200183082"/>
      <w:bookmarkStart w:id="2983" w:name="_Toc265480226"/>
      <w:bookmarkStart w:id="2984" w:name="_Toc206830071"/>
      <w:bookmarkStart w:id="2985" w:name="_Toc299349228"/>
      <w:bookmarkStart w:id="2986" w:name="_Toc211175382"/>
      <w:bookmarkStart w:id="2987" w:name="_Toc274307467"/>
      <w:bookmarkStart w:id="2988" w:name="_Toc260230351"/>
      <w:bookmarkStart w:id="2989" w:name="_Toc206485118"/>
      <w:bookmarkStart w:id="2990" w:name="_Toc316471078"/>
      <w:bookmarkStart w:id="2991" w:name="_Toc298940320"/>
      <w:bookmarkStart w:id="2992" w:name="_Toc260649080"/>
      <w:bookmarkStart w:id="2993" w:name="_Toc289939013"/>
      <w:bookmarkStart w:id="2994" w:name="_Toc345316806"/>
      <w:bookmarkStart w:id="2995" w:name="_Toc262656031"/>
      <w:bookmarkStart w:id="2996" w:name="_Toc373850748"/>
      <w:bookmarkStart w:id="2997" w:name="_Toc257202887"/>
      <w:bookmarkStart w:id="2998" w:name="_Toc436133297"/>
      <w:bookmarkStart w:id="2999" w:name="_Toc436998849"/>
      <w:bookmarkStart w:id="3000" w:name="_Toc222804574"/>
      <w:bookmarkStart w:id="3001" w:name="_Toc227658548"/>
      <w:bookmarkStart w:id="3002" w:name="_Toc245110788"/>
      <w:bookmarkStart w:id="3003" w:name="_Toc219172387"/>
      <w:bookmarkStart w:id="3004" w:name="_Toc206384889"/>
      <w:bookmarkStart w:id="3005" w:name="_Toc255470096"/>
      <w:bookmarkStart w:id="3006" w:name="_Toc260230024"/>
      <w:bookmarkStart w:id="3007" w:name="_Toc215561258"/>
      <w:bookmarkStart w:id="3008" w:name="_Toc255741983"/>
      <w:bookmarkStart w:id="3009" w:name="_Toc208734458"/>
      <w:bookmarkStart w:id="3010" w:name="_Toc306620406"/>
      <w:bookmarkStart w:id="3011" w:name="_Toc255470319"/>
      <w:bookmarkStart w:id="3012" w:name="_Toc335833037"/>
      <w:bookmarkStart w:id="3013" w:name="_Toc439772761"/>
      <w:bookmarkStart w:id="3014" w:name="_Toc254774459"/>
      <w:bookmarkStart w:id="3015" w:name="_Toc281292281"/>
      <w:bookmarkStart w:id="3016" w:name="_Toc436309654"/>
      <w:bookmarkStart w:id="3017" w:name="_Toc209862380"/>
      <w:bookmarkStart w:id="3018" w:name="_Toc260994503"/>
      <w:bookmarkStart w:id="3019" w:name="_Toc274724494"/>
      <w:bookmarkStart w:id="3020" w:name="_Toc215556240"/>
      <w:bookmarkStart w:id="3021" w:name="_Toc373851273"/>
      <w:bookmarkStart w:id="3022" w:name="_Toc248294471"/>
      <w:bookmarkStart w:id="3023" w:name="_Toc269117569"/>
      <w:bookmarkStart w:id="3024" w:name="_Toc345155401"/>
      <w:bookmarkStart w:id="3025" w:name="_Toc342034815"/>
      <w:bookmarkStart w:id="3026" w:name="_Toc215805101"/>
      <w:bookmarkStart w:id="3027" w:name="_Toc249849000"/>
      <w:bookmarkStart w:id="3028" w:name="_Toc436310006"/>
      <w:bookmarkStart w:id="3029" w:name="_Toc280710378"/>
      <w:bookmarkStart w:id="3030" w:name="_Toc281740704"/>
      <w:bookmarkStart w:id="3031" w:name="_Toc262655504"/>
      <w:bookmarkStart w:id="3032" w:name="_Toc445105595"/>
      <w:bookmarkStart w:id="3033" w:name="_Toc214355721"/>
      <w:bookmarkStart w:id="3034" w:name="_Toc284248399"/>
      <w:r>
        <w:rPr>
          <w:rFonts w:hint="eastAsia" w:hAnsi="宋体" w:cs="宋体"/>
          <w:b/>
          <w:color w:val="000000" w:themeColor="text1"/>
          <w14:textFill>
            <w14:solidFill>
              <w14:schemeClr w14:val="tx1"/>
            </w14:solidFill>
          </w14:textFill>
        </w:rPr>
        <w:t>16.1 物价波动引起的价格调整</w:t>
      </w:r>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p>
    <w:p w14:paraId="50BDDA2A">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以招标控制价的预算书中载明的材料单价为基准价格，合同履行期间材料单价涨幅超过±5%的，按实进行调整。</w:t>
      </w:r>
    </w:p>
    <w:p w14:paraId="37CA165E">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16.2 法律变化引起的价格调整</w:t>
      </w:r>
    </w:p>
    <w:p w14:paraId="711A9317">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只对税费产生的价格变化作调整，人工工资变化及机械台班费不作调整。</w:t>
      </w:r>
    </w:p>
    <w:p w14:paraId="3C37F58F">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1）基准日后，国家规定的税收政策有变动，致使施工中的费用发生增减时，则应按这些增减金额调整合同价格（按规定计入施工管理费内的税金不调整）。若对具体调整额的计算有不同意见时，由监理人与发包人同承包人协商解决。</w:t>
      </w:r>
    </w:p>
    <w:p w14:paraId="42DFB1E1">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 xml:space="preserve"> (2）上述税费调整的执行日期按山东省有关主管部门通知执行之日算起。价款的计算应由承包人进行，并递交书面文件报送监理人审核，并同时将副本报送发包人。</w:t>
      </w:r>
    </w:p>
    <w:p w14:paraId="4F62FDAF">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3035" w:name="_Toc257202888"/>
      <w:bookmarkStart w:id="3036" w:name="_Toc345155402"/>
      <w:bookmarkStart w:id="3037" w:name="_Toc260649081"/>
      <w:bookmarkStart w:id="3038" w:name="_Toc222804575"/>
      <w:bookmarkStart w:id="3039" w:name="_Toc255741984"/>
      <w:bookmarkStart w:id="3040" w:name="_Toc255470320"/>
      <w:bookmarkStart w:id="3041" w:name="_Toc342034816"/>
      <w:bookmarkStart w:id="3042" w:name="_Toc360808476"/>
      <w:bookmarkStart w:id="3043" w:name="_Toc281292282"/>
      <w:bookmarkStart w:id="3044" w:name="_Toc436309655"/>
      <w:bookmarkStart w:id="3045" w:name="_Toc262655505"/>
      <w:bookmarkStart w:id="3046" w:name="_Toc260994504"/>
      <w:bookmarkStart w:id="3047" w:name="_Toc335833038"/>
      <w:bookmarkStart w:id="3048" w:name="_Toc351488779"/>
      <w:bookmarkStart w:id="3049" w:name="_Toc280710379"/>
      <w:bookmarkStart w:id="3050" w:name="_Toc445105596"/>
      <w:bookmarkStart w:id="3051" w:name="_Toc436133298"/>
      <w:bookmarkStart w:id="3052" w:name="_Toc289939014"/>
      <w:bookmarkStart w:id="3053" w:name="_Toc436310007"/>
      <w:bookmarkStart w:id="3054" w:name="_Toc211175383"/>
      <w:bookmarkStart w:id="3055" w:name="_Toc209862381"/>
      <w:bookmarkStart w:id="3056" w:name="_Toc215556241"/>
      <w:bookmarkStart w:id="3057" w:name="_Toc373850749"/>
      <w:bookmarkStart w:id="3058" w:name="_Toc439772762"/>
      <w:bookmarkStart w:id="3059" w:name="_Toc265480227"/>
      <w:bookmarkStart w:id="3060" w:name="_Toc208734459"/>
      <w:bookmarkStart w:id="3061" w:name="_Toc215805102"/>
      <w:bookmarkStart w:id="3062" w:name="_Toc215561259"/>
      <w:bookmarkStart w:id="3063" w:name="_Toc363727304"/>
      <w:bookmarkStart w:id="3064" w:name="_Toc350959248"/>
      <w:bookmarkStart w:id="3065" w:name="_Toc199842027"/>
      <w:bookmarkStart w:id="3066" w:name="_Toc306620407"/>
      <w:bookmarkStart w:id="3067" w:name="_Toc274724495"/>
      <w:bookmarkStart w:id="3068" w:name="_Toc206384890"/>
      <w:bookmarkStart w:id="3069" w:name="_Toc260230025"/>
      <w:bookmarkStart w:id="3070" w:name="_Toc206830072"/>
      <w:bookmarkStart w:id="3071" w:name="_Toc281740705"/>
      <w:bookmarkStart w:id="3072" w:name="_Toc219172388"/>
      <w:bookmarkStart w:id="3073" w:name="_Toc274307468"/>
      <w:bookmarkStart w:id="3074" w:name="_Toc245110789"/>
      <w:bookmarkStart w:id="3075" w:name="_Toc189297969"/>
      <w:bookmarkStart w:id="3076" w:name="_Toc187846027"/>
      <w:bookmarkStart w:id="3077" w:name="_Toc248294472"/>
      <w:bookmarkStart w:id="3078" w:name="_Toc363728619"/>
      <w:bookmarkStart w:id="3079" w:name="_Toc436998850"/>
      <w:bookmarkStart w:id="3080" w:name="_Toc299349229"/>
      <w:bookmarkStart w:id="3081" w:name="_Toc206485119"/>
      <w:bookmarkStart w:id="3082" w:name="_Toc316471079"/>
      <w:bookmarkStart w:id="3083" w:name="_Toc200183083"/>
      <w:bookmarkStart w:id="3084" w:name="_Toc227658549"/>
      <w:bookmarkStart w:id="3085" w:name="_Toc199733044"/>
      <w:bookmarkStart w:id="3086" w:name="_Toc284248400"/>
      <w:bookmarkStart w:id="3087" w:name="_Toc249849001"/>
      <w:bookmarkStart w:id="3088" w:name="_Toc351210205"/>
      <w:bookmarkStart w:id="3089" w:name="_Toc345321538"/>
      <w:bookmarkStart w:id="3090" w:name="_Toc254774460"/>
      <w:bookmarkStart w:id="3091" w:name="_Toc298940321"/>
      <w:bookmarkStart w:id="3092" w:name="_Toc373851274"/>
      <w:bookmarkStart w:id="3093" w:name="_Toc262656032"/>
      <w:bookmarkStart w:id="3094" w:name="_Toc269117570"/>
      <w:bookmarkStart w:id="3095" w:name="_Toc260230352"/>
      <w:bookmarkStart w:id="3096" w:name="_Toc255470097"/>
      <w:bookmarkStart w:id="3097" w:name="_Toc214355722"/>
      <w:r>
        <w:rPr>
          <w:rFonts w:hint="eastAsia" w:hAnsi="宋体" w:cs="宋体"/>
          <w:b/>
          <w:color w:val="000000" w:themeColor="text1"/>
          <w:sz w:val="32"/>
          <w:szCs w:val="32"/>
          <w14:textFill>
            <w14:solidFill>
              <w14:schemeClr w14:val="tx1"/>
            </w14:solidFill>
          </w14:textFill>
        </w:rPr>
        <w:t>17. 计量与支付</w:t>
      </w:r>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p>
    <w:p w14:paraId="5EB1ABEE">
      <w:pPr>
        <w:pStyle w:val="180"/>
        <w:spacing w:after="0" w:line="400" w:lineRule="exact"/>
        <w:ind w:firstLine="562"/>
        <w:jc w:val="both"/>
        <w:rPr>
          <w:rFonts w:hAnsi="宋体" w:cs="宋体"/>
          <w:b/>
          <w:color w:val="000000" w:themeColor="text1"/>
          <w14:textFill>
            <w14:solidFill>
              <w14:schemeClr w14:val="tx1"/>
            </w14:solidFill>
          </w14:textFill>
        </w:rPr>
      </w:pPr>
      <w:bookmarkStart w:id="3098" w:name="_Toc436310008"/>
      <w:bookmarkStart w:id="3099" w:name="_Toc208734466"/>
      <w:bookmarkStart w:id="3100" w:name="_Toc342034817"/>
      <w:bookmarkStart w:id="3101" w:name="_Toc373850750"/>
      <w:bookmarkStart w:id="3102" w:name="_Toc219172395"/>
      <w:bookmarkStart w:id="3103" w:name="_Toc262656033"/>
      <w:bookmarkStart w:id="3104" w:name="_Toc200183084"/>
      <w:bookmarkStart w:id="3105" w:name="_Toc281740706"/>
      <w:bookmarkStart w:id="3106" w:name="_Toc260649082"/>
      <w:bookmarkStart w:id="3107" w:name="_Toc209862388"/>
      <w:bookmarkStart w:id="3108" w:name="_Toc260230026"/>
      <w:bookmarkStart w:id="3109" w:name="_Toc439772763"/>
      <w:bookmarkStart w:id="3110" w:name="_Toc306620408"/>
      <w:bookmarkStart w:id="3111" w:name="_Toc299349230"/>
      <w:bookmarkStart w:id="3112" w:name="_Toc373851275"/>
      <w:bookmarkStart w:id="3113" w:name="_Toc284248401"/>
      <w:bookmarkStart w:id="3114" w:name="_Toc257202895"/>
      <w:bookmarkStart w:id="3115" w:name="_Toc255741991"/>
      <w:bookmarkStart w:id="3116" w:name="_Toc214355729"/>
      <w:bookmarkStart w:id="3117" w:name="_Toc345155403"/>
      <w:bookmarkStart w:id="3118" w:name="_Toc280710380"/>
      <w:bookmarkStart w:id="3119" w:name="_Toc255470104"/>
      <w:bookmarkStart w:id="3120" w:name="_Toc360808477"/>
      <w:bookmarkStart w:id="3121" w:name="_Toc245110796"/>
      <w:bookmarkStart w:id="3122" w:name="_Toc206384897"/>
      <w:bookmarkStart w:id="3123" w:name="_Toc206830079"/>
      <w:bookmarkStart w:id="3124" w:name="_Toc345321539"/>
      <w:bookmarkStart w:id="3125" w:name="_Toc206485126"/>
      <w:bookmarkStart w:id="3126" w:name="_Toc445105597"/>
      <w:bookmarkStart w:id="3127" w:name="_Toc222804582"/>
      <w:bookmarkStart w:id="3128" w:name="_Toc274724496"/>
      <w:bookmarkStart w:id="3129" w:name="_Toc436998851"/>
      <w:bookmarkStart w:id="3130" w:name="_Toc260994505"/>
      <w:bookmarkStart w:id="3131" w:name="_Toc281292283"/>
      <w:bookmarkStart w:id="3132" w:name="_Toc227658556"/>
      <w:bookmarkStart w:id="3133" w:name="_Toc436309656"/>
      <w:bookmarkStart w:id="3134" w:name="_Toc274307469"/>
      <w:bookmarkStart w:id="3135" w:name="_Toc211175390"/>
      <w:bookmarkStart w:id="3136" w:name="_Toc215561266"/>
      <w:bookmarkStart w:id="3137" w:name="_Toc255470327"/>
      <w:bookmarkStart w:id="3138" w:name="_Toc265480228"/>
      <w:bookmarkStart w:id="3139" w:name="_Toc249849008"/>
      <w:bookmarkStart w:id="3140" w:name="_Toc351488780"/>
      <w:bookmarkStart w:id="3141" w:name="_Toc335833039"/>
      <w:bookmarkStart w:id="3142" w:name="_Toc316471080"/>
      <w:bookmarkStart w:id="3143" w:name="_Toc351210206"/>
      <w:bookmarkStart w:id="3144" w:name="_Toc262655506"/>
      <w:bookmarkStart w:id="3145" w:name="_Toc215556248"/>
      <w:bookmarkStart w:id="3146" w:name="_Toc363727305"/>
      <w:bookmarkStart w:id="3147" w:name="_Toc289939015"/>
      <w:bookmarkStart w:id="3148" w:name="_Toc254774467"/>
      <w:bookmarkStart w:id="3149" w:name="_Toc269117571"/>
      <w:bookmarkStart w:id="3150" w:name="_Toc436133299"/>
      <w:bookmarkStart w:id="3151" w:name="_Toc298940322"/>
      <w:bookmarkStart w:id="3152" w:name="_Toc248294479"/>
      <w:bookmarkStart w:id="3153" w:name="_Toc215805109"/>
      <w:bookmarkStart w:id="3154" w:name="_Toc363728620"/>
      <w:bookmarkStart w:id="3155" w:name="_Toc260230353"/>
      <w:bookmarkStart w:id="3156" w:name="_Toc350959249"/>
      <w:r>
        <w:rPr>
          <w:rFonts w:hint="eastAsia" w:hAnsi="宋体" w:cs="宋体"/>
          <w:b/>
          <w:color w:val="000000" w:themeColor="text1"/>
          <w14:textFill>
            <w14:solidFill>
              <w14:schemeClr w14:val="tx1"/>
            </w14:solidFill>
          </w14:textFill>
        </w:rPr>
        <w:t>17.2 预付款</w:t>
      </w:r>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p>
    <w:p w14:paraId="1175B382">
      <w:pPr>
        <w:spacing w:line="400" w:lineRule="exact"/>
        <w:ind w:firstLine="562"/>
        <w:rPr>
          <w:rFonts w:cs="宋体"/>
          <w:color w:val="000000" w:themeColor="text1"/>
          <w14:textFill>
            <w14:solidFill>
              <w14:schemeClr w14:val="tx1"/>
            </w14:solidFill>
          </w14:textFill>
        </w:rPr>
      </w:pPr>
      <w:bookmarkStart w:id="3157" w:name="_Toc221951238"/>
      <w:bookmarkStart w:id="3158" w:name="_Toc373850751"/>
      <w:bookmarkStart w:id="3159" w:name="_Toc436133300"/>
      <w:bookmarkStart w:id="3160" w:name="_Toc373851276"/>
      <w:bookmarkStart w:id="3161" w:name="_Toc445105598"/>
      <w:bookmarkStart w:id="3162" w:name="_Toc439772764"/>
      <w:bookmarkStart w:id="3163" w:name="_Toc436998852"/>
      <w:bookmarkStart w:id="3164" w:name="_Toc373851283"/>
      <w:bookmarkStart w:id="3165" w:name="_Toc262655513"/>
      <w:bookmarkStart w:id="3166" w:name="_Toc200183089"/>
      <w:bookmarkStart w:id="3167" w:name="_Toc265480235"/>
      <w:bookmarkStart w:id="3168" w:name="_Toc215556253"/>
      <w:bookmarkStart w:id="3169" w:name="_Toc209862393"/>
      <w:bookmarkStart w:id="3170" w:name="_Toc335833046"/>
      <w:bookmarkStart w:id="3171" w:name="_Toc214355734"/>
      <w:bookmarkStart w:id="3172" w:name="_Toc436133306"/>
      <w:bookmarkStart w:id="3173" w:name="_Toc284248408"/>
      <w:bookmarkStart w:id="3174" w:name="_Toc208734471"/>
      <w:bookmarkStart w:id="3175" w:name="_Toc262656040"/>
      <w:bookmarkStart w:id="3176" w:name="_Toc227658561"/>
      <w:bookmarkStart w:id="3177" w:name="_Toc274307476"/>
      <w:bookmarkStart w:id="3178" w:name="_Toc215805114"/>
      <w:bookmarkStart w:id="3179" w:name="_Toc306620415"/>
      <w:bookmarkStart w:id="3180" w:name="_Toc257202900"/>
      <w:bookmarkStart w:id="3181" w:name="_Toc206384902"/>
      <w:bookmarkStart w:id="3182" w:name="_Toc274724503"/>
      <w:bookmarkStart w:id="3183" w:name="_Toc199733045"/>
      <w:bookmarkStart w:id="3184" w:name="_Toc373850758"/>
      <w:bookmarkStart w:id="3185" w:name="_Toc199842028"/>
      <w:bookmarkStart w:id="3186" w:name="_Toc248294484"/>
      <w:bookmarkStart w:id="3187" w:name="_Toc281740713"/>
      <w:bookmarkStart w:id="3188" w:name="_Toc249849013"/>
      <w:bookmarkStart w:id="3189" w:name="_Toc280710387"/>
      <w:bookmarkStart w:id="3190" w:name="_Toc269117578"/>
      <w:bookmarkStart w:id="3191" w:name="_Toc260230031"/>
      <w:bookmarkStart w:id="3192" w:name="_Toc436309663"/>
      <w:bookmarkStart w:id="3193" w:name="_Toc351488787"/>
      <w:bookmarkStart w:id="3194" w:name="_Toc187909859"/>
      <w:bookmarkStart w:id="3195" w:name="_Toc254774473"/>
      <w:bookmarkStart w:id="3196" w:name="_Toc245110801"/>
      <w:bookmarkStart w:id="3197" w:name="_Toc222804587"/>
      <w:bookmarkStart w:id="3198" w:name="_Toc206830084"/>
      <w:bookmarkStart w:id="3199" w:name="_Toc289939022"/>
      <w:bookmarkStart w:id="3200" w:name="_Toc345155410"/>
      <w:bookmarkStart w:id="3201" w:name="_Toc316471087"/>
      <w:bookmarkStart w:id="3202" w:name="_Toc350959256"/>
      <w:bookmarkStart w:id="3203" w:name="_Toc298940329"/>
      <w:bookmarkStart w:id="3204" w:name="_Toc255741996"/>
      <w:bookmarkStart w:id="3205" w:name="_Toc363728628"/>
      <w:bookmarkStart w:id="3206" w:name="_Toc436310015"/>
      <w:bookmarkStart w:id="3207" w:name="_Toc345321546"/>
      <w:bookmarkStart w:id="3208" w:name="_Toc189297970"/>
      <w:bookmarkStart w:id="3209" w:name="_Toc260994510"/>
      <w:bookmarkStart w:id="3210" w:name="_Toc260649087"/>
      <w:bookmarkStart w:id="3211" w:name="_Toc255470109"/>
      <w:bookmarkStart w:id="3212" w:name="_Toc342034824"/>
      <w:bookmarkStart w:id="3213" w:name="_Toc206485131"/>
      <w:bookmarkStart w:id="3214" w:name="_Toc260230358"/>
      <w:bookmarkStart w:id="3215" w:name="_Toc219172400"/>
      <w:bookmarkStart w:id="3216" w:name="_Toc255470332"/>
      <w:bookmarkStart w:id="3217" w:name="_Toc360808484"/>
      <w:bookmarkStart w:id="3218" w:name="_Toc351210213"/>
      <w:bookmarkStart w:id="3219" w:name="_Toc211175395"/>
      <w:bookmarkStart w:id="3220" w:name="_Toc299349237"/>
      <w:bookmarkStart w:id="3221" w:name="_Toc363727313"/>
      <w:bookmarkStart w:id="3222" w:name="_Toc215561271"/>
      <w:bookmarkStart w:id="3223" w:name="_Toc281292290"/>
      <w:r>
        <w:rPr>
          <w:rFonts w:hint="eastAsia" w:cs="宋体"/>
          <w:b/>
          <w:color w:val="000000" w:themeColor="text1"/>
          <w14:textFill>
            <w14:solidFill>
              <w14:schemeClr w14:val="tx1"/>
            </w14:solidFill>
          </w14:textFill>
        </w:rPr>
        <w:t>本工程无预付款。</w:t>
      </w:r>
    </w:p>
    <w:bookmarkEnd w:id="3157"/>
    <w:p w14:paraId="0382A6EE">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17.3 工程进度付款</w:t>
      </w:r>
      <w:bookmarkEnd w:id="3158"/>
      <w:bookmarkEnd w:id="3159"/>
      <w:bookmarkEnd w:id="3160"/>
      <w:bookmarkEnd w:id="3161"/>
      <w:bookmarkEnd w:id="3162"/>
      <w:bookmarkEnd w:id="3163"/>
    </w:p>
    <w:p w14:paraId="256CE430">
      <w:pPr>
        <w:pStyle w:val="184"/>
        <w:spacing w:line="400" w:lineRule="exact"/>
        <w:ind w:right="100" w:firstLine="562"/>
        <w:jc w:val="both"/>
        <w:rPr>
          <w:rFonts w:ascii="Times New Roman" w:cs="宋体"/>
          <w:b/>
          <w:bCs/>
          <w:color w:val="000000" w:themeColor="text1"/>
          <w:kern w:val="2"/>
          <w:sz w:val="28"/>
          <w:szCs w:val="22"/>
          <w:u w:val="single"/>
          <w14:textFill>
            <w14:solidFill>
              <w14:schemeClr w14:val="tx1"/>
            </w14:solidFill>
          </w14:textFill>
        </w:rPr>
      </w:pPr>
      <w:r>
        <w:rPr>
          <w:rFonts w:hint="eastAsia" w:ascii="Times New Roman" w:cs="宋体"/>
          <w:b/>
          <w:bCs/>
          <w:color w:val="000000" w:themeColor="text1"/>
          <w:kern w:val="2"/>
          <w:sz w:val="28"/>
          <w:szCs w:val="22"/>
          <w:u w:val="single"/>
          <w14:textFill>
            <w14:solidFill>
              <w14:schemeClr w14:val="tx1"/>
            </w14:solidFill>
          </w14:textFill>
        </w:rPr>
        <w:t>本工程无预付款，按工程形象进度付款，按月计量，在建设期内支付30%，工程竣工验收合格支付到合同价款的50%,审计结算结束支付到结算价款的70%；剩余资金分三年付清，每年各支付10%。</w:t>
      </w:r>
    </w:p>
    <w:p w14:paraId="08392C64">
      <w:pPr>
        <w:pStyle w:val="184"/>
        <w:spacing w:line="400" w:lineRule="exact"/>
        <w:ind w:right="100"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17.4 质量保证金</w:t>
      </w:r>
    </w:p>
    <w:p w14:paraId="5FFBD0AD">
      <w:pPr>
        <w:pStyle w:val="184"/>
        <w:spacing w:line="400" w:lineRule="exact"/>
        <w:ind w:right="100" w:firstLine="569" w:firstLineChars="236"/>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17.4.2 在专用合同条款约定的缺陷责任期满时，承包人向发包人申请到期应返还承包人剩余的质量保证金金额，发包人应在14天内会同承包人按照合同约定的内容核实承包人是否完成缺陷责任，并将无异议的剩余质量保证金返还承包人。</w:t>
      </w:r>
    </w:p>
    <w:p w14:paraId="15DC738D">
      <w:pPr>
        <w:pStyle w:val="184"/>
        <w:spacing w:line="400" w:lineRule="exact"/>
        <w:ind w:right="100" w:firstLine="569" w:firstLineChars="236"/>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17.4.3 若保修期满时尚需承包人完成剩余工作，则监理人有权在付款证书中扣留与剩余工作所需金额相应的质量保证金余额。</w:t>
      </w:r>
    </w:p>
    <w:p w14:paraId="0CFA5276">
      <w:pPr>
        <w:pStyle w:val="180"/>
        <w:spacing w:after="0" w:line="400" w:lineRule="exact"/>
        <w:ind w:firstLine="562"/>
        <w:jc w:val="both"/>
        <w:rPr>
          <w:rFonts w:hAnsi="宋体" w:cs="宋体"/>
          <w:b/>
          <w:color w:val="000000" w:themeColor="text1"/>
          <w14:textFill>
            <w14:solidFill>
              <w14:schemeClr w14:val="tx1"/>
            </w14:solidFill>
          </w14:textFill>
        </w:rPr>
      </w:pPr>
      <w:bookmarkStart w:id="3224" w:name="_Toc214355732"/>
      <w:bookmarkStart w:id="3225" w:name="_Toc280710384"/>
      <w:bookmarkStart w:id="3226" w:name="_Toc345321543"/>
      <w:bookmarkStart w:id="3227" w:name="_Toc439772767"/>
      <w:bookmarkStart w:id="3228" w:name="_Toc208734469"/>
      <w:bookmarkStart w:id="3229" w:name="_Toc262656037"/>
      <w:bookmarkStart w:id="3230" w:name="_Toc360808481"/>
      <w:bookmarkStart w:id="3231" w:name="_Toc274724500"/>
      <w:bookmarkStart w:id="3232" w:name="_Toc200183087"/>
      <w:bookmarkStart w:id="3233" w:name="_Toc209862391"/>
      <w:bookmarkStart w:id="3234" w:name="_Toc363728625"/>
      <w:bookmarkStart w:id="3235" w:name="_Toc363727310"/>
      <w:bookmarkStart w:id="3236" w:name="_Toc436998855"/>
      <w:bookmarkStart w:id="3237" w:name="_Toc281292287"/>
      <w:bookmarkStart w:id="3238" w:name="_Toc255470107"/>
      <w:bookmarkStart w:id="3239" w:name="_Toc249849011"/>
      <w:bookmarkStart w:id="3240" w:name="_Toc206384900"/>
      <w:bookmarkStart w:id="3241" w:name="_Toc445105601"/>
      <w:bookmarkStart w:id="3242" w:name="_Toc274307473"/>
      <w:bookmarkStart w:id="3243" w:name="_Toc351210210"/>
      <w:bookmarkStart w:id="3244" w:name="_Toc260994508"/>
      <w:bookmarkStart w:id="3245" w:name="_Toc215556251"/>
      <w:bookmarkStart w:id="3246" w:name="_Toc351488784"/>
      <w:bookmarkStart w:id="3247" w:name="_Toc254774470"/>
      <w:bookmarkStart w:id="3248" w:name="_Toc227658559"/>
      <w:bookmarkStart w:id="3249" w:name="_Toc342034821"/>
      <w:bookmarkStart w:id="3250" w:name="_Toc260230356"/>
      <w:bookmarkStart w:id="3251" w:name="_Toc265480232"/>
      <w:bookmarkStart w:id="3252" w:name="_Toc269117575"/>
      <w:bookmarkStart w:id="3253" w:name="_Toc260649085"/>
      <w:bookmarkStart w:id="3254" w:name="_Toc255741994"/>
      <w:bookmarkStart w:id="3255" w:name="_Toc262655510"/>
      <w:bookmarkStart w:id="3256" w:name="_Toc260230029"/>
      <w:bookmarkStart w:id="3257" w:name="_Toc350959253"/>
      <w:bookmarkStart w:id="3258" w:name="_Toc215805112"/>
      <w:bookmarkStart w:id="3259" w:name="_Toc257202898"/>
      <w:bookmarkStart w:id="3260" w:name="_Toc373850755"/>
      <w:bookmarkStart w:id="3261" w:name="_Toc248294482"/>
      <w:bookmarkStart w:id="3262" w:name="_Toc219172398"/>
      <w:bookmarkStart w:id="3263" w:name="_Toc211175393"/>
      <w:bookmarkStart w:id="3264" w:name="_Toc222804585"/>
      <w:bookmarkStart w:id="3265" w:name="_Toc345155407"/>
      <w:bookmarkStart w:id="3266" w:name="_Toc206830082"/>
      <w:bookmarkStart w:id="3267" w:name="_Toc215561269"/>
      <w:bookmarkStart w:id="3268" w:name="_Toc436133303"/>
      <w:bookmarkStart w:id="3269" w:name="_Toc206485129"/>
      <w:bookmarkStart w:id="3270" w:name="_Toc255470330"/>
      <w:bookmarkStart w:id="3271" w:name="_Toc373851280"/>
      <w:bookmarkStart w:id="3272" w:name="_Toc245110799"/>
      <w:r>
        <w:rPr>
          <w:rFonts w:hint="eastAsia" w:hAnsi="宋体" w:cs="宋体"/>
          <w:b/>
          <w:color w:val="000000" w:themeColor="text1"/>
          <w14:textFill>
            <w14:solidFill>
              <w14:schemeClr w14:val="tx1"/>
            </w14:solidFill>
          </w14:textFill>
        </w:rPr>
        <w:t>17.5 竣工（完工）结算</w:t>
      </w:r>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p>
    <w:p w14:paraId="2FA3AA91">
      <w:pPr>
        <w:pStyle w:val="197"/>
        <w:spacing w:line="400" w:lineRule="exact"/>
        <w:ind w:firstLine="562"/>
        <w:jc w:val="both"/>
        <w:rPr>
          <w:rFonts w:hAnsi="宋体" w:cs="宋体"/>
          <w:b/>
          <w:color w:val="000000" w:themeColor="text1"/>
          <w14:textFill>
            <w14:solidFill>
              <w14:schemeClr w14:val="tx1"/>
            </w14:solidFill>
          </w14:textFill>
        </w:rPr>
      </w:pPr>
      <w:bookmarkStart w:id="3273" w:name="_Toc445105602"/>
      <w:bookmarkStart w:id="3274" w:name="_Toc265480233"/>
      <w:bookmarkStart w:id="3275" w:name="_Toc360808482"/>
      <w:bookmarkStart w:id="3276" w:name="_Toc274307474"/>
      <w:bookmarkStart w:id="3277" w:name="_Toc345155408"/>
      <w:bookmarkStart w:id="3278" w:name="_Toc281292288"/>
      <w:bookmarkStart w:id="3279" w:name="_Toc345321544"/>
      <w:bookmarkStart w:id="3280" w:name="_Toc262655511"/>
      <w:bookmarkStart w:id="3281" w:name="_Toc269117576"/>
      <w:bookmarkStart w:id="3282" w:name="_Toc436133304"/>
      <w:bookmarkStart w:id="3283" w:name="_Toc280710385"/>
      <w:bookmarkStart w:id="3284" w:name="_Toc342034822"/>
      <w:bookmarkStart w:id="3285" w:name="_Toc439772768"/>
      <w:bookmarkStart w:id="3286" w:name="_Toc351488785"/>
      <w:bookmarkStart w:id="3287" w:name="_Toc350959254"/>
      <w:bookmarkStart w:id="3288" w:name="_Toc373850756"/>
      <w:bookmarkStart w:id="3289" w:name="_Toc351210211"/>
      <w:bookmarkStart w:id="3290" w:name="_Toc436998856"/>
      <w:bookmarkStart w:id="3291" w:name="_Toc373851281"/>
      <w:bookmarkStart w:id="3292" w:name="_Toc363728626"/>
      <w:bookmarkStart w:id="3293" w:name="_Toc363727311"/>
      <w:bookmarkStart w:id="3294" w:name="_Toc274724501"/>
      <w:bookmarkStart w:id="3295" w:name="_Toc262656038"/>
      <w:r>
        <w:rPr>
          <w:rFonts w:hint="eastAsia" w:hAnsi="宋体" w:cs="宋体"/>
          <w:b/>
          <w:color w:val="000000" w:themeColor="text1"/>
          <w14:textFill>
            <w14:solidFill>
              <w14:schemeClr w14:val="tx1"/>
            </w14:solidFill>
          </w14:textFill>
        </w:rPr>
        <w:t>17.5.1 竣工付款申请单</w:t>
      </w:r>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p>
    <w:p w14:paraId="0CDE10B9">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竣工付款申请单一式</w:t>
      </w:r>
      <w:r>
        <w:rPr>
          <w:rFonts w:hint="eastAsia" w:ascii="Times New Roman"/>
          <w:color w:val="000000" w:themeColor="text1"/>
          <w:kern w:val="2"/>
          <w:sz w:val="21"/>
          <w:u w:val="single"/>
          <w14:textFill>
            <w14:solidFill>
              <w14:schemeClr w14:val="tx1"/>
            </w14:solidFill>
          </w14:textFill>
        </w:rPr>
        <w:t>6</w:t>
      </w:r>
      <w:r>
        <w:rPr>
          <w:rFonts w:hint="eastAsia" w:ascii="Times New Roman"/>
          <w:color w:val="000000" w:themeColor="text1"/>
          <w:kern w:val="2"/>
          <w:sz w:val="21"/>
          <w14:textFill>
            <w14:solidFill>
              <w14:schemeClr w14:val="tx1"/>
            </w14:solidFill>
          </w14:textFill>
        </w:rPr>
        <w:t>份。</w:t>
      </w:r>
    </w:p>
    <w:p w14:paraId="2AB79C06">
      <w:pPr>
        <w:pStyle w:val="180"/>
        <w:spacing w:after="0" w:line="400" w:lineRule="exact"/>
        <w:ind w:firstLine="562"/>
        <w:jc w:val="both"/>
        <w:rPr>
          <w:rFonts w:hAnsi="宋体" w:cs="宋体"/>
          <w:b/>
          <w:color w:val="000000" w:themeColor="text1"/>
          <w14:textFill>
            <w14:solidFill>
              <w14:schemeClr w14:val="tx1"/>
            </w14:solidFill>
          </w14:textFill>
        </w:rPr>
      </w:pPr>
      <w:bookmarkStart w:id="3296" w:name="_Toc249849012"/>
      <w:bookmarkStart w:id="3297" w:name="_Toc215556252"/>
      <w:bookmarkStart w:id="3298" w:name="_Toc248294483"/>
      <w:bookmarkStart w:id="3299" w:name="_Toc255470331"/>
      <w:bookmarkStart w:id="3300" w:name="_Toc222804586"/>
      <w:bookmarkStart w:id="3301" w:name="_Toc206384901"/>
      <w:bookmarkStart w:id="3302" w:name="_Toc281292289"/>
      <w:bookmarkStart w:id="3303" w:name="_Toc206830083"/>
      <w:bookmarkStart w:id="3304" w:name="_Toc342034823"/>
      <w:bookmarkStart w:id="3305" w:name="_Toc260230030"/>
      <w:bookmarkStart w:id="3306" w:name="_Toc363728627"/>
      <w:bookmarkStart w:id="3307" w:name="_Toc439772769"/>
      <w:bookmarkStart w:id="3308" w:name="_Toc363727312"/>
      <w:bookmarkStart w:id="3309" w:name="_Toc360808483"/>
      <w:bookmarkStart w:id="3310" w:name="_Toc373850757"/>
      <w:bookmarkStart w:id="3311" w:name="_Toc260230357"/>
      <w:bookmarkStart w:id="3312" w:name="_Toc351210212"/>
      <w:bookmarkStart w:id="3313" w:name="_Toc208734470"/>
      <w:bookmarkStart w:id="3314" w:name="_Toc436998857"/>
      <w:bookmarkStart w:id="3315" w:name="_Toc214355733"/>
      <w:bookmarkStart w:id="3316" w:name="_Toc215561270"/>
      <w:bookmarkStart w:id="3317" w:name="_Toc351488786"/>
      <w:bookmarkStart w:id="3318" w:name="_Toc350959255"/>
      <w:bookmarkStart w:id="3319" w:name="_Toc200183088"/>
      <w:bookmarkStart w:id="3320" w:name="_Toc206485130"/>
      <w:bookmarkStart w:id="3321" w:name="_Toc274307475"/>
      <w:bookmarkStart w:id="3322" w:name="_Toc254774471"/>
      <w:bookmarkStart w:id="3323" w:name="_Toc209862392"/>
      <w:bookmarkStart w:id="3324" w:name="_Toc262656039"/>
      <w:bookmarkStart w:id="3325" w:name="_Toc445105603"/>
      <w:bookmarkStart w:id="3326" w:name="_Toc262655512"/>
      <w:bookmarkStart w:id="3327" w:name="_Toc436133305"/>
      <w:bookmarkStart w:id="3328" w:name="_Toc373851282"/>
      <w:bookmarkStart w:id="3329" w:name="_Toc245110800"/>
      <w:bookmarkStart w:id="3330" w:name="_Toc257202899"/>
      <w:bookmarkStart w:id="3331" w:name="_Toc219172399"/>
      <w:bookmarkStart w:id="3332" w:name="_Toc255741995"/>
      <w:bookmarkStart w:id="3333" w:name="_Toc345321545"/>
      <w:bookmarkStart w:id="3334" w:name="_Toc345155409"/>
      <w:bookmarkStart w:id="3335" w:name="_Toc280710386"/>
      <w:bookmarkStart w:id="3336" w:name="_Toc255470108"/>
      <w:bookmarkStart w:id="3337" w:name="_Toc211175394"/>
      <w:bookmarkStart w:id="3338" w:name="_Toc260649086"/>
      <w:bookmarkStart w:id="3339" w:name="_Toc215805113"/>
      <w:bookmarkStart w:id="3340" w:name="_Toc227658560"/>
      <w:bookmarkStart w:id="3341" w:name="_Toc274724502"/>
      <w:bookmarkStart w:id="3342" w:name="_Toc260994509"/>
      <w:bookmarkStart w:id="3343" w:name="_Toc269117577"/>
      <w:bookmarkStart w:id="3344" w:name="_Toc265480234"/>
      <w:r>
        <w:rPr>
          <w:rFonts w:hint="eastAsia" w:hAnsi="宋体" w:cs="宋体"/>
          <w:b/>
          <w:color w:val="000000" w:themeColor="text1"/>
          <w14:textFill>
            <w14:solidFill>
              <w14:schemeClr w14:val="tx1"/>
            </w14:solidFill>
          </w14:textFill>
        </w:rPr>
        <w:t>17.6 最终结清</w:t>
      </w:r>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p>
    <w:p w14:paraId="0937793E">
      <w:pPr>
        <w:pStyle w:val="197"/>
        <w:spacing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17.6.1 最终结清申请单</w:t>
      </w:r>
    </w:p>
    <w:p w14:paraId="41F83D2E">
      <w:pPr>
        <w:pStyle w:val="87"/>
        <w:spacing w:line="400" w:lineRule="exact"/>
        <w:ind w:firstLine="630" w:firstLineChars="3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最终结算申请单一式</w:t>
      </w:r>
      <w:r>
        <w:rPr>
          <w:rFonts w:hint="eastAsia" w:ascii="Times New Roman"/>
          <w:color w:val="000000" w:themeColor="text1"/>
          <w:kern w:val="2"/>
          <w:sz w:val="21"/>
          <w:u w:val="single"/>
          <w14:textFill>
            <w14:solidFill>
              <w14:schemeClr w14:val="tx1"/>
            </w14:solidFill>
          </w14:textFill>
        </w:rPr>
        <w:t>6</w:t>
      </w:r>
      <w:r>
        <w:rPr>
          <w:rFonts w:hint="eastAsia" w:ascii="Times New Roman"/>
          <w:color w:val="000000" w:themeColor="text1"/>
          <w:kern w:val="2"/>
          <w:sz w:val="21"/>
          <w14:textFill>
            <w14:solidFill>
              <w14:schemeClr w14:val="tx1"/>
            </w14:solidFill>
          </w14:textFill>
        </w:rPr>
        <w:t>份。</w:t>
      </w:r>
    </w:p>
    <w:p w14:paraId="7E80E3C2">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3345" w:name="_Toc290034830"/>
      <w:bookmarkStart w:id="3346" w:name="_Toc290035079"/>
      <w:bookmarkStart w:id="3347" w:name="_Toc285179109"/>
      <w:bookmarkStart w:id="3348" w:name="_Toc290035312"/>
      <w:bookmarkStart w:id="3349" w:name="_Toc282937224"/>
      <w:bookmarkStart w:id="3350" w:name="_Toc282936254"/>
      <w:bookmarkStart w:id="3351" w:name="_Toc259524391"/>
      <w:bookmarkStart w:id="3352" w:name="_Toc282936953"/>
      <w:bookmarkStart w:id="3353" w:name="_Toc436998858"/>
      <w:bookmarkStart w:id="3354" w:name="_Toc439772770"/>
      <w:bookmarkStart w:id="3355" w:name="_Toc445105604"/>
      <w:r>
        <w:rPr>
          <w:rFonts w:hint="eastAsia" w:hAnsi="宋体" w:cs="宋体"/>
          <w:b/>
          <w:color w:val="000000" w:themeColor="text1"/>
          <w:sz w:val="32"/>
          <w:szCs w:val="32"/>
          <w14:textFill>
            <w14:solidFill>
              <w14:schemeClr w14:val="tx1"/>
            </w14:solidFill>
          </w14:textFill>
        </w:rPr>
        <w:t>19 缺陷责任与保修责任</w:t>
      </w:r>
      <w:bookmarkEnd w:id="3345"/>
      <w:bookmarkEnd w:id="3346"/>
      <w:bookmarkEnd w:id="3347"/>
      <w:bookmarkEnd w:id="3348"/>
      <w:bookmarkEnd w:id="3349"/>
      <w:bookmarkEnd w:id="3350"/>
      <w:bookmarkEnd w:id="3351"/>
      <w:bookmarkEnd w:id="3352"/>
    </w:p>
    <w:p w14:paraId="6CD0084F">
      <w:pPr>
        <w:pStyle w:val="180"/>
        <w:spacing w:after="0" w:line="400" w:lineRule="exact"/>
        <w:ind w:firstLine="562"/>
        <w:jc w:val="both"/>
        <w:rPr>
          <w:rFonts w:hAnsi="宋体" w:cs="宋体"/>
          <w:b/>
          <w:color w:val="000000" w:themeColor="text1"/>
          <w14:textFill>
            <w14:solidFill>
              <w14:schemeClr w14:val="tx1"/>
            </w14:solidFill>
          </w14:textFill>
        </w:rPr>
      </w:pPr>
      <w:r>
        <w:rPr>
          <w:rFonts w:hint="eastAsia" w:hAnsi="宋体" w:cs="宋体"/>
          <w:b/>
          <w:color w:val="000000" w:themeColor="text1"/>
          <w14:textFill>
            <w14:solidFill>
              <w14:schemeClr w14:val="tx1"/>
            </w14:solidFill>
          </w14:textFill>
        </w:rPr>
        <w:t>19.1 缺陷责任期（工程质量保修期）的起算时间</w:t>
      </w:r>
    </w:p>
    <w:p w14:paraId="3B5FFA32">
      <w:pPr>
        <w:pStyle w:val="26"/>
        <w:spacing w:line="400" w:lineRule="exact"/>
        <w:ind w:firstLine="420"/>
        <w:rPr>
          <w:rFonts w:ascii="Times New Roman" w:hAnsi="Times New Roman" w:eastAsia="宋体" w:cs="宋体"/>
          <w:color w:val="000000" w:themeColor="text1"/>
          <w:kern w:val="2"/>
          <w:sz w:val="21"/>
          <w:szCs w:val="24"/>
          <w14:textFill>
            <w14:solidFill>
              <w14:schemeClr w14:val="tx1"/>
            </w14:solidFill>
          </w14:textFill>
        </w:rPr>
      </w:pPr>
      <w:r>
        <w:rPr>
          <w:rFonts w:hint="eastAsia" w:ascii="Times New Roman" w:hAnsi="Times New Roman" w:eastAsia="宋体" w:cs="宋体"/>
          <w:color w:val="000000" w:themeColor="text1"/>
          <w:kern w:val="2"/>
          <w:sz w:val="21"/>
          <w:szCs w:val="24"/>
          <w14:textFill>
            <w14:solidFill>
              <w14:schemeClr w14:val="tx1"/>
            </w14:solidFill>
          </w14:textFill>
        </w:rPr>
        <w:t>本工程缺陷责任期（工程质量保修期）计算如下：</w:t>
      </w:r>
      <w:r>
        <w:rPr>
          <w:rFonts w:hint="eastAsia" w:ascii="Times New Roman" w:hAnsi="Times New Roman" w:eastAsia="宋体" w:cs="宋体"/>
          <w:color w:val="000000" w:themeColor="text1"/>
          <w:kern w:val="2"/>
          <w:sz w:val="21"/>
          <w:szCs w:val="24"/>
          <w:u w:val="single"/>
          <w14:textFill>
            <w14:solidFill>
              <w14:schemeClr w14:val="tx1"/>
            </w14:solidFill>
          </w14:textFill>
        </w:rPr>
        <w:t>竣工验收合格后</w:t>
      </w:r>
      <w:r>
        <w:rPr>
          <w:rFonts w:hint="eastAsia" w:ascii="Times New Roman" w:hAnsi="Times New Roman" w:eastAsia="宋体" w:cs="宋体"/>
          <w:color w:val="000000" w:themeColor="text1"/>
          <w:kern w:val="2"/>
          <w:sz w:val="21"/>
          <w:szCs w:val="24"/>
          <w:u w:val="single"/>
          <w:lang w:val="en-US" w:eastAsia="zh-CN"/>
          <w14:textFill>
            <w14:solidFill>
              <w14:schemeClr w14:val="tx1"/>
            </w14:solidFill>
          </w14:textFill>
        </w:rPr>
        <w:t>1</w:t>
      </w:r>
      <w:r>
        <w:rPr>
          <w:rFonts w:hint="eastAsia" w:ascii="Times New Roman" w:hAnsi="Times New Roman" w:eastAsia="宋体" w:cs="宋体"/>
          <w:color w:val="000000" w:themeColor="text1"/>
          <w:kern w:val="2"/>
          <w:sz w:val="21"/>
          <w:szCs w:val="24"/>
          <w:u w:val="single"/>
          <w14:textFill>
            <w14:solidFill>
              <w14:schemeClr w14:val="tx1"/>
            </w14:solidFill>
          </w14:textFill>
        </w:rPr>
        <w:t>年</w:t>
      </w:r>
      <w:r>
        <w:rPr>
          <w:rFonts w:hint="eastAsia" w:ascii="Times New Roman" w:hAnsi="Times New Roman" w:eastAsia="宋体" w:cs="宋体"/>
          <w:color w:val="000000" w:themeColor="text1"/>
          <w:kern w:val="2"/>
          <w:sz w:val="21"/>
          <w:szCs w:val="24"/>
          <w14:textFill>
            <w14:solidFill>
              <w14:schemeClr w14:val="tx1"/>
            </w14:solidFill>
          </w14:textFill>
        </w:rPr>
        <w:t>。</w:t>
      </w:r>
    </w:p>
    <w:p w14:paraId="5395C7A5">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r>
        <w:rPr>
          <w:rFonts w:hint="eastAsia" w:hAnsi="宋体" w:cs="宋体"/>
          <w:b/>
          <w:color w:val="000000" w:themeColor="text1"/>
          <w:sz w:val="32"/>
          <w:szCs w:val="32"/>
          <w14:textFill>
            <w14:solidFill>
              <w14:schemeClr w14:val="tx1"/>
            </w14:solidFill>
          </w14:textFill>
        </w:rPr>
        <w:t>20. 保险</w:t>
      </w:r>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353"/>
      <w:bookmarkEnd w:id="3354"/>
      <w:bookmarkEnd w:id="3355"/>
    </w:p>
    <w:p w14:paraId="6F13C125">
      <w:pPr>
        <w:pStyle w:val="180"/>
        <w:spacing w:after="0" w:line="400" w:lineRule="exact"/>
        <w:ind w:firstLine="562"/>
        <w:jc w:val="both"/>
        <w:rPr>
          <w:rFonts w:hAnsi="宋体" w:cs="宋体"/>
          <w:b/>
          <w:color w:val="000000" w:themeColor="text1"/>
          <w14:textFill>
            <w14:solidFill>
              <w14:schemeClr w14:val="tx1"/>
            </w14:solidFill>
          </w14:textFill>
        </w:rPr>
      </w:pPr>
      <w:bookmarkStart w:id="3356" w:name="_Toc262655514"/>
      <w:bookmarkStart w:id="3357" w:name="_Toc439772771"/>
      <w:bookmarkStart w:id="3358" w:name="_Toc260230032"/>
      <w:bookmarkStart w:id="3359" w:name="_Toc335833047"/>
      <w:bookmarkStart w:id="3360" w:name="_Toc350959257"/>
      <w:bookmarkStart w:id="3361" w:name="_Toc281740714"/>
      <w:bookmarkStart w:id="3362" w:name="_Toc373850759"/>
      <w:bookmarkStart w:id="3363" w:name="_Toc363728629"/>
      <w:bookmarkStart w:id="3364" w:name="_Toc215805115"/>
      <w:bookmarkStart w:id="3365" w:name="_Toc298940330"/>
      <w:bookmarkStart w:id="3366" w:name="_Toc208734472"/>
      <w:bookmarkStart w:id="3367" w:name="_Toc255741997"/>
      <w:bookmarkStart w:id="3368" w:name="_Toc269117579"/>
      <w:bookmarkStart w:id="3369" w:name="_Toc209862394"/>
      <w:bookmarkStart w:id="3370" w:name="_Toc215556254"/>
      <w:bookmarkStart w:id="3371" w:name="_Toc200183090"/>
      <w:bookmarkStart w:id="3372" w:name="_Toc436998859"/>
      <w:bookmarkStart w:id="3373" w:name="_Toc445105605"/>
      <w:bookmarkStart w:id="3374" w:name="_Toc260230359"/>
      <w:bookmarkStart w:id="3375" w:name="_Toc289939023"/>
      <w:bookmarkStart w:id="3376" w:name="_Toc206485132"/>
      <w:bookmarkStart w:id="3377" w:name="_Toc248294485"/>
      <w:bookmarkStart w:id="3378" w:name="_Toc436310016"/>
      <w:bookmarkStart w:id="3379" w:name="_Toc206384903"/>
      <w:bookmarkStart w:id="3380" w:name="_Toc262656041"/>
      <w:bookmarkStart w:id="3381" w:name="_Toc436133307"/>
      <w:bookmarkStart w:id="3382" w:name="_Toc245110802"/>
      <w:bookmarkStart w:id="3383" w:name="_Toc274307477"/>
      <w:bookmarkStart w:id="3384" w:name="_Toc280710388"/>
      <w:bookmarkStart w:id="3385" w:name="_Toc306620416"/>
      <w:bookmarkStart w:id="3386" w:name="_Toc219172401"/>
      <w:bookmarkStart w:id="3387" w:name="_Toc206830085"/>
      <w:bookmarkStart w:id="3388" w:name="_Toc222804588"/>
      <w:bookmarkStart w:id="3389" w:name="_Toc227658562"/>
      <w:bookmarkStart w:id="3390" w:name="_Toc345155411"/>
      <w:bookmarkStart w:id="3391" w:name="_Toc281292291"/>
      <w:bookmarkStart w:id="3392" w:name="_Toc373851284"/>
      <w:bookmarkStart w:id="3393" w:name="_Toc255470333"/>
      <w:bookmarkStart w:id="3394" w:name="_Toc215561272"/>
      <w:bookmarkStart w:id="3395" w:name="_Toc299349238"/>
      <w:bookmarkStart w:id="3396" w:name="_Toc257202901"/>
      <w:bookmarkStart w:id="3397" w:name="_Toc351488788"/>
      <w:bookmarkStart w:id="3398" w:name="_Toc254774474"/>
      <w:bookmarkStart w:id="3399" w:name="_Toc342034825"/>
      <w:bookmarkStart w:id="3400" w:name="_Toc284248409"/>
      <w:bookmarkStart w:id="3401" w:name="_Toc274724504"/>
      <w:bookmarkStart w:id="3402" w:name="_Toc363727314"/>
      <w:bookmarkStart w:id="3403" w:name="_Toc360808485"/>
      <w:bookmarkStart w:id="3404" w:name="_Toc214355735"/>
      <w:bookmarkStart w:id="3405" w:name="_Toc316471088"/>
      <w:bookmarkStart w:id="3406" w:name="_Toc351210214"/>
      <w:bookmarkStart w:id="3407" w:name="_Toc260994511"/>
      <w:bookmarkStart w:id="3408" w:name="_Toc260649088"/>
      <w:bookmarkStart w:id="3409" w:name="_Toc211175396"/>
      <w:bookmarkStart w:id="3410" w:name="_Toc249849014"/>
      <w:bookmarkStart w:id="3411" w:name="_Toc255470110"/>
      <w:bookmarkStart w:id="3412" w:name="_Toc436309664"/>
      <w:bookmarkStart w:id="3413" w:name="_Toc265480236"/>
      <w:bookmarkStart w:id="3414" w:name="_Toc345321547"/>
      <w:r>
        <w:rPr>
          <w:rFonts w:hint="eastAsia" w:hAnsi="宋体" w:cs="宋体"/>
          <w:b/>
          <w:color w:val="000000" w:themeColor="text1"/>
          <w14:textFill>
            <w14:solidFill>
              <w14:schemeClr w14:val="tx1"/>
            </w14:solidFill>
          </w14:textFill>
        </w:rPr>
        <w:t>20.1 工程保险</w:t>
      </w:r>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p>
    <w:p w14:paraId="06BAA11D">
      <w:pPr>
        <w:pStyle w:val="26"/>
        <w:spacing w:line="400" w:lineRule="exact"/>
        <w:ind w:firstLine="420"/>
        <w:rPr>
          <w:rFonts w:ascii="Times New Roman" w:hAnsi="Times New Roman" w:eastAsia="宋体" w:cs="宋体"/>
          <w:color w:val="000000" w:themeColor="text1"/>
          <w:kern w:val="2"/>
          <w:sz w:val="21"/>
          <w:szCs w:val="24"/>
          <w14:textFill>
            <w14:solidFill>
              <w14:schemeClr w14:val="tx1"/>
            </w14:solidFill>
          </w14:textFill>
        </w:rPr>
      </w:pPr>
      <w:bookmarkStart w:id="3415" w:name="_Toc306620417"/>
      <w:bookmarkStart w:id="3416" w:name="_Toc254774475"/>
      <w:bookmarkStart w:id="3417" w:name="_Toc281740715"/>
      <w:bookmarkStart w:id="3418" w:name="_Toc199733046"/>
      <w:bookmarkStart w:id="3419" w:name="_Toc274307478"/>
      <w:bookmarkStart w:id="3420" w:name="_Toc269117580"/>
      <w:bookmarkStart w:id="3421" w:name="_Toc255470334"/>
      <w:bookmarkStart w:id="3422" w:name="_Toc350959258"/>
      <w:bookmarkStart w:id="3423" w:name="_Toc299349239"/>
      <w:bookmarkStart w:id="3424" w:name="_Toc262655515"/>
      <w:bookmarkStart w:id="3425" w:name="_Toc260649089"/>
      <w:bookmarkStart w:id="3426" w:name="_Toc373851285"/>
      <w:bookmarkStart w:id="3427" w:name="_Toc316471089"/>
      <w:bookmarkStart w:id="3428" w:name="_Toc260230360"/>
      <w:bookmarkStart w:id="3429" w:name="_Toc227658563"/>
      <w:bookmarkStart w:id="3430" w:name="_Toc345321548"/>
      <w:bookmarkStart w:id="3431" w:name="_Toc206485133"/>
      <w:bookmarkStart w:id="3432" w:name="_Toc262656042"/>
      <w:bookmarkStart w:id="3433" w:name="_Toc373850760"/>
      <w:bookmarkStart w:id="3434" w:name="_Toc255741998"/>
      <w:bookmarkStart w:id="3435" w:name="_Toc363727315"/>
      <w:bookmarkStart w:id="3436" w:name="_Toc351488789"/>
      <w:bookmarkStart w:id="3437" w:name="_Toc298940331"/>
      <w:bookmarkStart w:id="3438" w:name="_Toc222804589"/>
      <w:bookmarkStart w:id="3439" w:name="_Toc215561273"/>
      <w:bookmarkStart w:id="3440" w:name="_Toc260230033"/>
      <w:bookmarkStart w:id="3441" w:name="_Toc280710389"/>
      <w:bookmarkStart w:id="3442" w:name="_Toc436310017"/>
      <w:bookmarkStart w:id="3443" w:name="_Toc215805116"/>
      <w:bookmarkStart w:id="3444" w:name="_Toc215556255"/>
      <w:bookmarkStart w:id="3445" w:name="_Toc335833048"/>
      <w:bookmarkStart w:id="3446" w:name="_Toc200183091"/>
      <w:bookmarkStart w:id="3447" w:name="_Toc219172402"/>
      <w:bookmarkStart w:id="3448" w:name="_Toc257202902"/>
      <w:bookmarkStart w:id="3449" w:name="_Toc209862395"/>
      <w:bookmarkStart w:id="3450" w:name="_Toc351210215"/>
      <w:bookmarkStart w:id="3451" w:name="_Toc342034826"/>
      <w:bookmarkStart w:id="3452" w:name="_Toc206384904"/>
      <w:bookmarkStart w:id="3453" w:name="_Toc214355736"/>
      <w:bookmarkStart w:id="3454" w:name="_Toc260994512"/>
      <w:bookmarkStart w:id="3455" w:name="_Toc211175397"/>
      <w:bookmarkStart w:id="3456" w:name="_Toc199842029"/>
      <w:bookmarkStart w:id="3457" w:name="_Toc284248410"/>
      <w:bookmarkStart w:id="3458" w:name="_Toc206830086"/>
      <w:bookmarkStart w:id="3459" w:name="_Toc289939024"/>
      <w:bookmarkStart w:id="3460" w:name="_Toc265480237"/>
      <w:bookmarkStart w:id="3461" w:name="_Toc245110803"/>
      <w:bookmarkStart w:id="3462" w:name="_Toc436133308"/>
      <w:bookmarkStart w:id="3463" w:name="_Toc249849015"/>
      <w:bookmarkStart w:id="3464" w:name="_Toc436309665"/>
      <w:bookmarkStart w:id="3465" w:name="_Toc345155412"/>
      <w:bookmarkStart w:id="3466" w:name="_Toc363728630"/>
      <w:bookmarkStart w:id="3467" w:name="_Toc281292292"/>
      <w:bookmarkStart w:id="3468" w:name="_Toc360808486"/>
      <w:bookmarkStart w:id="3469" w:name="_Toc208734473"/>
      <w:bookmarkStart w:id="3470" w:name="_Toc274724505"/>
      <w:bookmarkStart w:id="3471" w:name="_Toc255470111"/>
      <w:bookmarkStart w:id="3472" w:name="_Toc189297971"/>
      <w:bookmarkStart w:id="3473" w:name="_Toc248294486"/>
      <w:r>
        <w:rPr>
          <w:rFonts w:hint="eastAsia" w:ascii="Times New Roman" w:hAnsi="Times New Roman" w:eastAsia="宋体" w:cs="宋体"/>
          <w:color w:val="000000" w:themeColor="text1"/>
          <w:kern w:val="2"/>
          <w:sz w:val="21"/>
          <w:szCs w:val="24"/>
          <w14:textFill>
            <w14:solidFill>
              <w14:schemeClr w14:val="tx1"/>
            </w14:solidFill>
          </w14:textFill>
        </w:rPr>
        <w:t>由承包人按本合同通用合同条款第20条的约定投保以下险种：</w:t>
      </w:r>
    </w:p>
    <w:p w14:paraId="560050C2">
      <w:pPr>
        <w:pStyle w:val="26"/>
        <w:spacing w:line="400" w:lineRule="exact"/>
        <w:ind w:firstLine="420"/>
        <w:rPr>
          <w:rFonts w:ascii="Times New Roman" w:hAnsi="Times New Roman" w:eastAsia="宋体" w:cs="宋体"/>
          <w:color w:val="000000" w:themeColor="text1"/>
          <w:kern w:val="2"/>
          <w:sz w:val="21"/>
          <w:szCs w:val="24"/>
          <w14:textFill>
            <w14:solidFill>
              <w14:schemeClr w14:val="tx1"/>
            </w14:solidFill>
          </w14:textFill>
        </w:rPr>
      </w:pPr>
      <w:r>
        <w:rPr>
          <w:rFonts w:hint="eastAsia" w:ascii="Times New Roman" w:hAnsi="Times New Roman" w:eastAsia="宋体" w:cs="宋体"/>
          <w:color w:val="000000" w:themeColor="text1"/>
          <w:kern w:val="2"/>
          <w:sz w:val="21"/>
          <w:szCs w:val="24"/>
          <w14:textFill>
            <w14:solidFill>
              <w14:schemeClr w14:val="tx1"/>
            </w14:solidFill>
          </w14:textFill>
        </w:rPr>
        <w:t xml:space="preserve">    (1)建筑安装工程一切险(包括材料和工程设备，以发包人和承包人共同名义投保)；</w:t>
      </w:r>
    </w:p>
    <w:p w14:paraId="2A8A1698">
      <w:pPr>
        <w:pStyle w:val="26"/>
        <w:spacing w:line="400" w:lineRule="exact"/>
        <w:ind w:firstLine="420"/>
        <w:rPr>
          <w:rFonts w:ascii="Times New Roman" w:hAnsi="Times New Roman" w:eastAsia="宋体" w:cs="宋体"/>
          <w:color w:val="000000" w:themeColor="text1"/>
          <w:kern w:val="2"/>
          <w:sz w:val="21"/>
          <w:szCs w:val="24"/>
          <w14:textFill>
            <w14:solidFill>
              <w14:schemeClr w14:val="tx1"/>
            </w14:solidFill>
          </w14:textFill>
        </w:rPr>
      </w:pPr>
      <w:r>
        <w:rPr>
          <w:rFonts w:hint="eastAsia" w:ascii="Times New Roman" w:hAnsi="Times New Roman" w:eastAsia="宋体" w:cs="宋体"/>
          <w:color w:val="000000" w:themeColor="text1"/>
          <w:kern w:val="2"/>
          <w:sz w:val="21"/>
          <w:szCs w:val="24"/>
          <w14:textFill>
            <w14:solidFill>
              <w14:schemeClr w14:val="tx1"/>
            </w14:solidFill>
          </w14:textFill>
        </w:rPr>
        <w:t xml:space="preserve">    (2)人员工伤事故险(按各自管辖的人员投保)；</w:t>
      </w:r>
    </w:p>
    <w:p w14:paraId="5244C332">
      <w:pPr>
        <w:pStyle w:val="26"/>
        <w:spacing w:line="400" w:lineRule="exact"/>
        <w:ind w:firstLine="420"/>
        <w:rPr>
          <w:rFonts w:ascii="Times New Roman" w:hAnsi="Times New Roman" w:eastAsia="宋体" w:cs="宋体"/>
          <w:color w:val="000000" w:themeColor="text1"/>
          <w:kern w:val="2"/>
          <w:sz w:val="21"/>
          <w:szCs w:val="24"/>
          <w14:textFill>
            <w14:solidFill>
              <w14:schemeClr w14:val="tx1"/>
            </w14:solidFill>
          </w14:textFill>
        </w:rPr>
      </w:pPr>
      <w:r>
        <w:rPr>
          <w:rFonts w:hint="eastAsia" w:ascii="Times New Roman" w:hAnsi="Times New Roman" w:eastAsia="宋体" w:cs="宋体"/>
          <w:color w:val="000000" w:themeColor="text1"/>
          <w:kern w:val="2"/>
          <w:sz w:val="21"/>
          <w:szCs w:val="24"/>
          <w14:textFill>
            <w14:solidFill>
              <w14:schemeClr w14:val="tx1"/>
            </w14:solidFill>
          </w14:textFill>
        </w:rPr>
        <w:t xml:space="preserve">    (3)人身意外伤害险(按各自管辖的人员投保)；</w:t>
      </w:r>
    </w:p>
    <w:p w14:paraId="149CC302">
      <w:pPr>
        <w:pStyle w:val="26"/>
        <w:spacing w:line="400" w:lineRule="exact"/>
        <w:ind w:firstLine="420"/>
        <w:rPr>
          <w:rFonts w:ascii="Times New Roman" w:hAnsi="Times New Roman" w:eastAsia="宋体" w:cs="宋体"/>
          <w:color w:val="000000" w:themeColor="text1"/>
          <w:kern w:val="2"/>
          <w:sz w:val="21"/>
          <w:szCs w:val="24"/>
          <w14:textFill>
            <w14:solidFill>
              <w14:schemeClr w14:val="tx1"/>
            </w14:solidFill>
          </w14:textFill>
        </w:rPr>
      </w:pPr>
      <w:r>
        <w:rPr>
          <w:rFonts w:hint="eastAsia" w:ascii="Times New Roman" w:hAnsi="Times New Roman" w:eastAsia="宋体" w:cs="宋体"/>
          <w:color w:val="000000" w:themeColor="text1"/>
          <w:kern w:val="2"/>
          <w:sz w:val="21"/>
          <w:szCs w:val="24"/>
          <w14:textFill>
            <w14:solidFill>
              <w14:schemeClr w14:val="tx1"/>
            </w14:solidFill>
          </w14:textFill>
        </w:rPr>
        <w:t xml:space="preserve">    (4)第三者责任险(按各自管辖区，以承包人名义投保)；</w:t>
      </w:r>
    </w:p>
    <w:p w14:paraId="0EBF5A7B">
      <w:pPr>
        <w:pStyle w:val="26"/>
        <w:spacing w:line="400" w:lineRule="exact"/>
        <w:ind w:firstLine="420"/>
        <w:rPr>
          <w:rFonts w:ascii="Times New Roman" w:hAnsi="Times New Roman" w:eastAsia="宋体" w:cs="宋体"/>
          <w:color w:val="000000" w:themeColor="text1"/>
          <w:kern w:val="2"/>
          <w:sz w:val="21"/>
          <w:szCs w:val="24"/>
          <w14:textFill>
            <w14:solidFill>
              <w14:schemeClr w14:val="tx1"/>
            </w14:solidFill>
          </w14:textFill>
        </w:rPr>
      </w:pPr>
      <w:r>
        <w:rPr>
          <w:rFonts w:hint="eastAsia" w:ascii="Times New Roman" w:hAnsi="Times New Roman" w:eastAsia="宋体" w:cs="宋体"/>
          <w:color w:val="000000" w:themeColor="text1"/>
          <w:kern w:val="2"/>
          <w:sz w:val="21"/>
          <w:szCs w:val="24"/>
          <w14:textFill>
            <w14:solidFill>
              <w14:schemeClr w14:val="tx1"/>
            </w14:solidFill>
          </w14:textFill>
        </w:rPr>
        <w:t xml:space="preserve">    (5)施工设备险(由承包人负责投保)。</w:t>
      </w:r>
    </w:p>
    <w:p w14:paraId="4FD96C3B">
      <w:pPr>
        <w:pStyle w:val="26"/>
        <w:spacing w:line="400" w:lineRule="exact"/>
        <w:ind w:firstLine="562"/>
        <w:rPr>
          <w:rFonts w:hAnsi="宋体" w:cs="宋体"/>
          <w:b/>
          <w:color w:val="000000" w:themeColor="text1"/>
          <w14:textFill>
            <w14:solidFill>
              <w14:schemeClr w14:val="tx1"/>
            </w14:solidFill>
          </w14:textFill>
        </w:rPr>
      </w:pPr>
      <w:bookmarkStart w:id="3474" w:name="_Toc436998860"/>
      <w:bookmarkStart w:id="3475" w:name="_Toc439772772"/>
      <w:bookmarkStart w:id="3476" w:name="_Toc445105606"/>
      <w:r>
        <w:rPr>
          <w:rFonts w:hint="eastAsia" w:hAnsi="宋体" w:cs="宋体"/>
          <w:b/>
          <w:color w:val="000000" w:themeColor="text1"/>
          <w14:textFill>
            <w14:solidFill>
              <w14:schemeClr w14:val="tx1"/>
            </w14:solidFill>
          </w14:textFill>
        </w:rPr>
        <w:t>20.2 保险费用</w:t>
      </w:r>
      <w:bookmarkEnd w:id="3474"/>
      <w:bookmarkEnd w:id="3475"/>
      <w:bookmarkEnd w:id="3476"/>
    </w:p>
    <w:p w14:paraId="4C692CBD">
      <w:pPr>
        <w:pStyle w:val="26"/>
        <w:spacing w:line="400" w:lineRule="exact"/>
        <w:ind w:firstLine="420"/>
        <w:rPr>
          <w:rFonts w:ascii="Times New Roman" w:hAnsi="Times New Roman" w:eastAsia="宋体" w:cs="宋体"/>
          <w:color w:val="000000" w:themeColor="text1"/>
          <w:kern w:val="2"/>
          <w:sz w:val="21"/>
          <w:szCs w:val="24"/>
          <w14:textFill>
            <w14:solidFill>
              <w14:schemeClr w14:val="tx1"/>
            </w14:solidFill>
          </w14:textFill>
        </w:rPr>
      </w:pPr>
      <w:bookmarkStart w:id="3477" w:name="_Toc436998861"/>
      <w:r>
        <w:rPr>
          <w:rFonts w:hint="eastAsia" w:ascii="Times New Roman" w:hAnsi="Times New Roman" w:eastAsia="宋体" w:cs="宋体"/>
          <w:color w:val="000000" w:themeColor="text1"/>
          <w:kern w:val="2"/>
          <w:sz w:val="21"/>
          <w:szCs w:val="24"/>
          <w14:textFill>
            <w14:solidFill>
              <w14:schemeClr w14:val="tx1"/>
            </w14:solidFill>
          </w14:textFill>
        </w:rPr>
        <w:t>(1)若本合同约定由承包人负责投保建筑安装工程一切险，承包人应按本合同通用合同条款第20.1款约定的责任和内容列报。</w:t>
      </w:r>
    </w:p>
    <w:p w14:paraId="1FE1484C">
      <w:pPr>
        <w:pStyle w:val="26"/>
        <w:spacing w:line="400" w:lineRule="exact"/>
        <w:ind w:firstLine="420"/>
        <w:rPr>
          <w:rFonts w:ascii="Times New Roman" w:hAnsi="Times New Roman" w:eastAsia="宋体" w:cs="宋体"/>
          <w:color w:val="000000" w:themeColor="text1"/>
          <w:kern w:val="2"/>
          <w:sz w:val="21"/>
          <w:szCs w:val="24"/>
          <w14:textFill>
            <w14:solidFill>
              <w14:schemeClr w14:val="tx1"/>
            </w14:solidFill>
          </w14:textFill>
        </w:rPr>
      </w:pPr>
      <w:r>
        <w:rPr>
          <w:rFonts w:hint="eastAsia" w:ascii="Times New Roman" w:hAnsi="Times New Roman" w:eastAsia="宋体" w:cs="宋体"/>
          <w:color w:val="000000" w:themeColor="text1"/>
          <w:kern w:val="2"/>
          <w:sz w:val="21"/>
          <w:szCs w:val="24"/>
          <w14:textFill>
            <w14:solidFill>
              <w14:schemeClr w14:val="tx1"/>
            </w14:solidFill>
          </w14:textFill>
        </w:rPr>
        <w:t>若本合同约定由发包人负责投保建筑安装工程一切险，则承包人不需列报。</w:t>
      </w:r>
    </w:p>
    <w:p w14:paraId="0A63B458">
      <w:pPr>
        <w:pStyle w:val="26"/>
        <w:spacing w:line="400" w:lineRule="exact"/>
        <w:ind w:firstLine="420"/>
        <w:rPr>
          <w:rFonts w:ascii="Times New Roman" w:hAnsi="Times New Roman" w:eastAsia="宋体" w:cs="宋体"/>
          <w:color w:val="000000" w:themeColor="text1"/>
          <w:kern w:val="2"/>
          <w:sz w:val="21"/>
          <w:szCs w:val="24"/>
          <w14:textFill>
            <w14:solidFill>
              <w14:schemeClr w14:val="tx1"/>
            </w14:solidFill>
          </w14:textFill>
        </w:rPr>
      </w:pPr>
      <w:r>
        <w:rPr>
          <w:rFonts w:hint="eastAsia" w:ascii="Times New Roman" w:hAnsi="Times New Roman" w:eastAsia="宋体" w:cs="宋体"/>
          <w:color w:val="000000" w:themeColor="text1"/>
          <w:kern w:val="2"/>
          <w:sz w:val="21"/>
          <w:szCs w:val="24"/>
          <w14:textFill>
            <w14:solidFill>
              <w14:schemeClr w14:val="tx1"/>
            </w14:solidFill>
          </w14:textFill>
        </w:rPr>
        <w:t xml:space="preserve">    (2)承包人人员的工伤事故险和人身意外伤害险应由承包人按本合同通用合同条款第20.2款、第20.3款约定的责任和内容，为全部现场施工人员办理保险。</w:t>
      </w:r>
    </w:p>
    <w:p w14:paraId="477287C9">
      <w:pPr>
        <w:pStyle w:val="26"/>
        <w:spacing w:line="400" w:lineRule="exact"/>
        <w:ind w:firstLine="420"/>
        <w:rPr>
          <w:rFonts w:ascii="Times New Roman" w:hAnsi="Times New Roman" w:eastAsia="宋体" w:cs="宋体"/>
          <w:color w:val="000000" w:themeColor="text1"/>
          <w:kern w:val="2"/>
          <w:sz w:val="21"/>
          <w:szCs w:val="24"/>
          <w14:textFill>
            <w14:solidFill>
              <w14:schemeClr w14:val="tx1"/>
            </w14:solidFill>
          </w14:textFill>
        </w:rPr>
      </w:pPr>
      <w:r>
        <w:rPr>
          <w:rFonts w:hint="eastAsia" w:ascii="Times New Roman" w:hAnsi="Times New Roman" w:eastAsia="宋体" w:cs="宋体"/>
          <w:color w:val="000000" w:themeColor="text1"/>
          <w:kern w:val="2"/>
          <w:sz w:val="21"/>
          <w:szCs w:val="24"/>
          <w14:textFill>
            <w14:solidFill>
              <w14:schemeClr w14:val="tx1"/>
            </w14:solidFill>
          </w14:textFill>
        </w:rPr>
        <w:t xml:space="preserve">    (3)承包人管辖区内的第三者责任险，应由承包人根据本合同通用合同条款第20.4款约定的责任和内容办理。</w:t>
      </w:r>
    </w:p>
    <w:p w14:paraId="665A7215">
      <w:pPr>
        <w:pStyle w:val="26"/>
        <w:spacing w:line="400" w:lineRule="exact"/>
        <w:ind w:firstLine="420"/>
        <w:rPr>
          <w:rFonts w:ascii="Times New Roman" w:hAnsi="Times New Roman" w:eastAsia="宋体" w:cs="宋体"/>
          <w:color w:val="000000" w:themeColor="text1"/>
          <w:kern w:val="2"/>
          <w:sz w:val="21"/>
          <w:szCs w:val="24"/>
          <w14:textFill>
            <w14:solidFill>
              <w14:schemeClr w14:val="tx1"/>
            </w14:solidFill>
          </w14:textFill>
        </w:rPr>
      </w:pPr>
      <w:r>
        <w:rPr>
          <w:rFonts w:hint="eastAsia" w:ascii="Times New Roman" w:hAnsi="Times New Roman" w:eastAsia="宋体" w:cs="宋体"/>
          <w:color w:val="000000" w:themeColor="text1"/>
          <w:kern w:val="2"/>
          <w:sz w:val="21"/>
          <w:szCs w:val="24"/>
          <w14:textFill>
            <w14:solidFill>
              <w14:schemeClr w14:val="tx1"/>
            </w14:solidFill>
          </w14:textFill>
        </w:rPr>
        <w:t xml:space="preserve">    (4)施工设备险由承包人负责投保，保险费用包括在施工设备运行费内。</w:t>
      </w:r>
    </w:p>
    <w:p w14:paraId="02928FCE">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r>
        <w:rPr>
          <w:rFonts w:hint="eastAsia" w:hAnsi="宋体" w:cs="宋体"/>
          <w:b/>
          <w:color w:val="000000" w:themeColor="text1"/>
          <w:sz w:val="32"/>
          <w:szCs w:val="32"/>
          <w14:textFill>
            <w14:solidFill>
              <w14:schemeClr w14:val="tx1"/>
            </w14:solidFill>
          </w14:textFill>
        </w:rPr>
        <w:t>22.违约</w:t>
      </w:r>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7"/>
    </w:p>
    <w:p w14:paraId="4B266D63">
      <w:pPr>
        <w:pStyle w:val="180"/>
        <w:spacing w:after="0" w:line="400" w:lineRule="exact"/>
        <w:ind w:firstLine="562"/>
        <w:jc w:val="both"/>
        <w:rPr>
          <w:rFonts w:hAnsi="宋体" w:cs="宋体"/>
          <w:b/>
          <w:color w:val="000000" w:themeColor="text1"/>
          <w14:textFill>
            <w14:solidFill>
              <w14:schemeClr w14:val="tx1"/>
            </w14:solidFill>
          </w14:textFill>
        </w:rPr>
      </w:pPr>
      <w:bookmarkStart w:id="3478" w:name="_Toc206830087"/>
      <w:bookmarkStart w:id="3479" w:name="_Toc214355737"/>
      <w:bookmarkStart w:id="3480" w:name="_Toc284248411"/>
      <w:bookmarkStart w:id="3481" w:name="_Toc299349240"/>
      <w:bookmarkStart w:id="3482" w:name="_Toc260994513"/>
      <w:bookmarkStart w:id="3483" w:name="_Toc351488790"/>
      <w:bookmarkStart w:id="3484" w:name="_Toc445105607"/>
      <w:bookmarkStart w:id="3485" w:name="_Toc345321549"/>
      <w:bookmarkStart w:id="3486" w:name="_Toc436309666"/>
      <w:bookmarkStart w:id="3487" w:name="_Toc281740716"/>
      <w:bookmarkStart w:id="3488" w:name="_Toc360808487"/>
      <w:bookmarkStart w:id="3489" w:name="_Toc248294487"/>
      <w:bookmarkStart w:id="3490" w:name="_Toc211175398"/>
      <w:bookmarkStart w:id="3491" w:name="_Toc436310018"/>
      <w:bookmarkStart w:id="3492" w:name="_Toc274724506"/>
      <w:bookmarkStart w:id="3493" w:name="_Toc222804590"/>
      <w:bookmarkStart w:id="3494" w:name="_Toc255741999"/>
      <w:bookmarkStart w:id="3495" w:name="_Toc363728631"/>
      <w:bookmarkStart w:id="3496" w:name="_Toc345155413"/>
      <w:bookmarkStart w:id="3497" w:name="_Toc200183092"/>
      <w:bookmarkStart w:id="3498" w:name="_Toc262655516"/>
      <w:bookmarkStart w:id="3499" w:name="_Toc255470112"/>
      <w:bookmarkStart w:id="3500" w:name="_Toc306620418"/>
      <w:bookmarkStart w:id="3501" w:name="_Toc206384905"/>
      <w:bookmarkStart w:id="3502" w:name="_Toc350959259"/>
      <w:bookmarkStart w:id="3503" w:name="_Toc316471090"/>
      <w:bookmarkStart w:id="3504" w:name="_Toc269117581"/>
      <w:bookmarkStart w:id="3505" w:name="_Toc227658564"/>
      <w:bookmarkStart w:id="3506" w:name="_Toc436998862"/>
      <w:bookmarkStart w:id="3507" w:name="_Toc215561274"/>
      <w:bookmarkStart w:id="3508" w:name="_Toc206485134"/>
      <w:bookmarkStart w:id="3509" w:name="_Toc208734474"/>
      <w:bookmarkStart w:id="3510" w:name="_Toc255470335"/>
      <w:bookmarkStart w:id="3511" w:name="_Toc351210216"/>
      <w:bookmarkStart w:id="3512" w:name="_Toc436133309"/>
      <w:bookmarkStart w:id="3513" w:name="_Toc254774476"/>
      <w:bookmarkStart w:id="3514" w:name="_Toc219172403"/>
      <w:bookmarkStart w:id="3515" w:name="_Toc260649090"/>
      <w:bookmarkStart w:id="3516" w:name="_Toc274307479"/>
      <w:bookmarkStart w:id="3517" w:name="_Toc262656043"/>
      <w:bookmarkStart w:id="3518" w:name="_Toc342034827"/>
      <w:bookmarkStart w:id="3519" w:name="_Toc260230034"/>
      <w:bookmarkStart w:id="3520" w:name="_Toc281292293"/>
      <w:bookmarkStart w:id="3521" w:name="_Toc439772773"/>
      <w:bookmarkStart w:id="3522" w:name="_Toc215805117"/>
      <w:bookmarkStart w:id="3523" w:name="_Toc260230361"/>
      <w:bookmarkStart w:id="3524" w:name="_Toc257202903"/>
      <w:bookmarkStart w:id="3525" w:name="_Toc373850761"/>
      <w:bookmarkStart w:id="3526" w:name="_Toc298940332"/>
      <w:bookmarkStart w:id="3527" w:name="_Toc245110804"/>
      <w:bookmarkStart w:id="3528" w:name="_Toc373851286"/>
      <w:bookmarkStart w:id="3529" w:name="_Toc249849016"/>
      <w:bookmarkStart w:id="3530" w:name="_Toc280710390"/>
      <w:bookmarkStart w:id="3531" w:name="_Toc289939025"/>
      <w:bookmarkStart w:id="3532" w:name="_Toc363727316"/>
      <w:bookmarkStart w:id="3533" w:name="_Toc215556256"/>
      <w:bookmarkStart w:id="3534" w:name="_Toc209862396"/>
      <w:bookmarkStart w:id="3535" w:name="_Toc265480238"/>
      <w:bookmarkStart w:id="3536" w:name="_Toc335833049"/>
      <w:r>
        <w:rPr>
          <w:rFonts w:hint="eastAsia" w:hAnsi="宋体" w:cs="宋体"/>
          <w:b/>
          <w:color w:val="000000" w:themeColor="text1"/>
          <w14:textFill>
            <w14:solidFill>
              <w14:schemeClr w14:val="tx1"/>
            </w14:solidFill>
          </w14:textFill>
        </w:rPr>
        <w:t>22.1 承包人违约</w:t>
      </w:r>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p>
    <w:p w14:paraId="4899FD17">
      <w:pPr>
        <w:spacing w:line="400" w:lineRule="exact"/>
        <w:ind w:firstLine="420"/>
        <w:rPr>
          <w:rFonts w:eastAsia="宋体" w:cs="宋体"/>
          <w:color w:val="000000" w:themeColor="text1"/>
          <w:sz w:val="21"/>
          <w:szCs w:val="24"/>
          <w14:textFill>
            <w14:solidFill>
              <w14:schemeClr w14:val="tx1"/>
            </w14:solidFill>
          </w14:textFill>
        </w:rPr>
      </w:pPr>
      <w:bookmarkStart w:id="3537" w:name="_Toc436310019"/>
      <w:bookmarkStart w:id="3538" w:name="_Toc200183093"/>
      <w:bookmarkStart w:id="3539" w:name="_Toc257202904"/>
      <w:bookmarkStart w:id="3540" w:name="_Toc439772774"/>
      <w:bookmarkStart w:id="3541" w:name="_Toc289939026"/>
      <w:bookmarkStart w:id="3542" w:name="_Toc227658565"/>
      <w:bookmarkStart w:id="3543" w:name="_Toc274307480"/>
      <w:bookmarkStart w:id="3544" w:name="_Toc255470336"/>
      <w:bookmarkStart w:id="3545" w:name="_Toc274724507"/>
      <w:bookmarkStart w:id="3546" w:name="_Toc363727317"/>
      <w:bookmarkStart w:id="3547" w:name="_Toc351488791"/>
      <w:bookmarkStart w:id="3548" w:name="_Toc255470113"/>
      <w:bookmarkStart w:id="3549" w:name="_Toc345321550"/>
      <w:bookmarkStart w:id="3550" w:name="_Toc262656044"/>
      <w:bookmarkStart w:id="3551" w:name="_Toc316471091"/>
      <w:bookmarkStart w:id="3552" w:name="_Toc215556257"/>
      <w:bookmarkStart w:id="3553" w:name="_Toc335833050"/>
      <w:bookmarkStart w:id="3554" w:name="_Toc249849017"/>
      <w:bookmarkStart w:id="3555" w:name="_Toc373851287"/>
      <w:bookmarkStart w:id="3556" w:name="_Toc284248412"/>
      <w:bookmarkStart w:id="3557" w:name="_Toc269117582"/>
      <w:bookmarkStart w:id="3558" w:name="_Toc248294488"/>
      <w:bookmarkStart w:id="3559" w:name="_Toc260230035"/>
      <w:bookmarkStart w:id="3560" w:name="_Toc209862397"/>
      <w:bookmarkStart w:id="3561" w:name="_Toc436998863"/>
      <w:bookmarkStart w:id="3562" w:name="_Toc436309667"/>
      <w:bookmarkStart w:id="3563" w:name="_Toc206830088"/>
      <w:bookmarkStart w:id="3564" w:name="_Toc255742000"/>
      <w:bookmarkStart w:id="3565" w:name="_Toc254774477"/>
      <w:bookmarkStart w:id="3566" w:name="_Toc260230362"/>
      <w:bookmarkStart w:id="3567" w:name="_Toc215561275"/>
      <w:bookmarkStart w:id="3568" w:name="_Toc211175399"/>
      <w:bookmarkStart w:id="3569" w:name="_Toc208734475"/>
      <w:bookmarkStart w:id="3570" w:name="_Toc206485135"/>
      <w:bookmarkStart w:id="3571" w:name="_Toc215805118"/>
      <w:bookmarkStart w:id="3572" w:name="_Toc306620419"/>
      <w:bookmarkStart w:id="3573" w:name="_Toc299349241"/>
      <w:bookmarkStart w:id="3574" w:name="_Toc373850762"/>
      <w:bookmarkStart w:id="3575" w:name="_Toc363728632"/>
      <w:bookmarkStart w:id="3576" w:name="_Toc360808488"/>
      <w:bookmarkStart w:id="3577" w:name="_Toc260649091"/>
      <w:bookmarkStart w:id="3578" w:name="_Toc281740717"/>
      <w:bookmarkStart w:id="3579" w:name="_Toc260994514"/>
      <w:bookmarkStart w:id="3580" w:name="_Toc245110805"/>
      <w:bookmarkStart w:id="3581" w:name="_Toc262655517"/>
      <w:bookmarkStart w:id="3582" w:name="_Toc342034828"/>
      <w:bookmarkStart w:id="3583" w:name="_Toc351210217"/>
      <w:bookmarkStart w:id="3584" w:name="_Toc350959260"/>
      <w:bookmarkStart w:id="3585" w:name="_Toc219172404"/>
      <w:bookmarkStart w:id="3586" w:name="_Toc280710391"/>
      <w:bookmarkStart w:id="3587" w:name="_Toc222804591"/>
      <w:bookmarkStart w:id="3588" w:name="_Toc445105608"/>
      <w:bookmarkStart w:id="3589" w:name="_Toc298940333"/>
      <w:bookmarkStart w:id="3590" w:name="_Toc281292294"/>
      <w:bookmarkStart w:id="3591" w:name="_Toc206384906"/>
      <w:bookmarkStart w:id="3592" w:name="_Toc345155414"/>
      <w:bookmarkStart w:id="3593" w:name="_Toc214355738"/>
      <w:bookmarkStart w:id="3594" w:name="_Toc265480239"/>
      <w:bookmarkStart w:id="3595" w:name="_Toc436133310"/>
      <w:r>
        <w:rPr>
          <w:rFonts w:hint="eastAsia" w:eastAsia="宋体" w:cs="宋体"/>
          <w:color w:val="000000" w:themeColor="text1"/>
          <w:sz w:val="21"/>
          <w:szCs w:val="24"/>
          <w14:textFill>
            <w14:solidFill>
              <w14:schemeClr w14:val="tx1"/>
            </w14:solidFill>
          </w14:textFill>
        </w:rPr>
        <w:t>22.1.1 承包人违约的情形</w:t>
      </w:r>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p>
    <w:p w14:paraId="0B250884">
      <w:pPr>
        <w:pStyle w:val="87"/>
        <w:spacing w:line="400" w:lineRule="exact"/>
        <w:ind w:firstLine="420" w:firstLineChars="200"/>
        <w:jc w:val="both"/>
        <w:rPr>
          <w:rFonts w:ascii="Times New Roman"/>
          <w:color w:val="000000" w:themeColor="text1"/>
          <w:kern w:val="2"/>
          <w:sz w:val="21"/>
          <w14:textFill>
            <w14:solidFill>
              <w14:schemeClr w14:val="tx1"/>
            </w14:solidFill>
          </w14:textFill>
        </w:rPr>
      </w:pPr>
      <w:r>
        <w:rPr>
          <w:rFonts w:hint="eastAsia" w:ascii="Times New Roman"/>
          <w:color w:val="000000" w:themeColor="text1"/>
          <w:kern w:val="2"/>
          <w:sz w:val="21"/>
          <w14:textFill>
            <w14:solidFill>
              <w14:schemeClr w14:val="tx1"/>
            </w14:solidFill>
          </w14:textFill>
        </w:rPr>
        <w:t>增加：（8）承包人更换项目经理、技术负责人、专职安全生产管理人员等主要项目管理人员。</w:t>
      </w:r>
    </w:p>
    <w:p w14:paraId="57ED1DDD">
      <w:pPr>
        <w:pStyle w:val="180"/>
        <w:spacing w:before="100" w:after="100" w:line="400" w:lineRule="exact"/>
        <w:ind w:firstLine="643"/>
        <w:jc w:val="both"/>
        <w:rPr>
          <w:rFonts w:hAnsi="宋体" w:cs="宋体"/>
          <w:b/>
          <w:color w:val="000000" w:themeColor="text1"/>
          <w:sz w:val="32"/>
          <w:szCs w:val="32"/>
          <w14:textFill>
            <w14:solidFill>
              <w14:schemeClr w14:val="tx1"/>
            </w14:solidFill>
          </w14:textFill>
        </w:rPr>
      </w:pPr>
      <w:bookmarkStart w:id="3596" w:name="_Toc445105609"/>
      <w:bookmarkStart w:id="3597" w:name="_Toc436310020"/>
      <w:bookmarkStart w:id="3598" w:name="_Toc436309668"/>
      <w:bookmarkStart w:id="3599" w:name="_Toc439772775"/>
      <w:bookmarkStart w:id="3600" w:name="_Toc436133311"/>
      <w:bookmarkStart w:id="3601" w:name="_Toc436998864"/>
      <w:r>
        <w:rPr>
          <w:rFonts w:hint="eastAsia" w:hAnsi="宋体" w:cs="宋体"/>
          <w:b/>
          <w:color w:val="000000" w:themeColor="text1"/>
          <w:sz w:val="32"/>
          <w:szCs w:val="32"/>
          <w14:textFill>
            <w14:solidFill>
              <w14:schemeClr w14:val="tx1"/>
            </w14:solidFill>
          </w14:textFill>
        </w:rPr>
        <w:t>25 补充条款</w:t>
      </w:r>
      <w:bookmarkEnd w:id="3596"/>
      <w:bookmarkEnd w:id="3597"/>
      <w:bookmarkEnd w:id="3598"/>
      <w:bookmarkEnd w:id="3599"/>
      <w:bookmarkEnd w:id="3600"/>
      <w:bookmarkEnd w:id="3601"/>
    </w:p>
    <w:p w14:paraId="25E86C5D">
      <w:pPr>
        <w:spacing w:line="400" w:lineRule="exact"/>
        <w:ind w:firstLine="632" w:firstLineChars="225"/>
        <w:rPr>
          <w:rFonts w:cs="宋体"/>
          <w:b/>
          <w:color w:val="000000" w:themeColor="text1"/>
          <w14:textFill>
            <w14:solidFill>
              <w14:schemeClr w14:val="tx1"/>
            </w14:solidFill>
          </w14:textFill>
        </w:rPr>
      </w:pPr>
      <w:r>
        <w:rPr>
          <w:rFonts w:hint="eastAsia" w:cs="宋体"/>
          <w:b/>
          <w:color w:val="000000" w:themeColor="text1"/>
          <w14:textFill>
            <w14:solidFill>
              <w14:schemeClr w14:val="tx1"/>
            </w14:solidFill>
          </w14:textFill>
        </w:rPr>
        <w:t>25.1 发包人有权随时向承包人发出关于工程合理施工、竣工及保修所需的补充文件和指标。</w:t>
      </w:r>
    </w:p>
    <w:p w14:paraId="7574C227">
      <w:pPr>
        <w:spacing w:line="400" w:lineRule="exact"/>
        <w:ind w:firstLine="632" w:firstLineChars="225"/>
        <w:rPr>
          <w:rFonts w:cs="宋体"/>
          <w:b/>
          <w:color w:val="000000" w:themeColor="text1"/>
          <w14:textFill>
            <w14:solidFill>
              <w14:schemeClr w14:val="tx1"/>
            </w14:solidFill>
          </w14:textFill>
        </w:rPr>
      </w:pPr>
      <w:r>
        <w:rPr>
          <w:rFonts w:hint="eastAsia" w:cs="宋体"/>
          <w:b/>
          <w:color w:val="000000" w:themeColor="text1"/>
          <w14:textFill>
            <w14:solidFill>
              <w14:schemeClr w14:val="tx1"/>
            </w14:solidFill>
          </w14:textFill>
        </w:rPr>
        <w:t>25.2 工程中所需一切技术资料、验收资料及相关检验、试验所发生的费用均由承包人承担。</w:t>
      </w:r>
    </w:p>
    <w:p w14:paraId="0599B59C">
      <w:pPr>
        <w:spacing w:line="400" w:lineRule="exact"/>
        <w:ind w:firstLine="632" w:firstLineChars="225"/>
        <w:rPr>
          <w:rFonts w:cs="宋体"/>
          <w:b/>
          <w:color w:val="000000" w:themeColor="text1"/>
          <w14:textFill>
            <w14:solidFill>
              <w14:schemeClr w14:val="tx1"/>
            </w14:solidFill>
          </w14:textFill>
        </w:rPr>
      </w:pPr>
      <w:r>
        <w:rPr>
          <w:rFonts w:hint="eastAsia" w:cs="宋体"/>
          <w:b/>
          <w:color w:val="000000" w:themeColor="text1"/>
          <w14:textFill>
            <w14:solidFill>
              <w14:schemeClr w14:val="tx1"/>
            </w14:solidFill>
          </w14:textFill>
        </w:rPr>
        <w:t>25.3 施工期间的安全问题、地方关系或个体关系由承包人自行解决。</w:t>
      </w:r>
    </w:p>
    <w:p w14:paraId="4F0258E9">
      <w:pPr>
        <w:spacing w:line="400" w:lineRule="exact"/>
        <w:ind w:firstLine="632" w:firstLineChars="225"/>
        <w:rPr>
          <w:rFonts w:cs="宋体"/>
          <w:b/>
          <w:color w:val="000000" w:themeColor="text1"/>
          <w14:textFill>
            <w14:solidFill>
              <w14:schemeClr w14:val="tx1"/>
            </w14:solidFill>
          </w14:textFill>
        </w:rPr>
      </w:pPr>
    </w:p>
    <w:p w14:paraId="667DA257">
      <w:pPr>
        <w:spacing w:line="400" w:lineRule="exact"/>
        <w:ind w:firstLine="632" w:firstLineChars="225"/>
        <w:rPr>
          <w:rFonts w:cs="宋体"/>
          <w:b/>
          <w:color w:val="000000" w:themeColor="text1"/>
          <w14:textFill>
            <w14:solidFill>
              <w14:schemeClr w14:val="tx1"/>
            </w14:solidFill>
          </w14:textFill>
        </w:rPr>
      </w:pPr>
    </w:p>
    <w:p w14:paraId="16176EB9">
      <w:pPr>
        <w:spacing w:line="400" w:lineRule="exact"/>
        <w:ind w:firstLine="632" w:firstLineChars="225"/>
        <w:jc w:val="center"/>
        <w:rPr>
          <w:rFonts w:cs="宋体"/>
          <w:b/>
          <w:color w:val="000000" w:themeColor="text1"/>
          <w14:textFill>
            <w14:solidFill>
              <w14:schemeClr w14:val="tx1"/>
            </w14:solidFill>
          </w14:textFill>
        </w:rPr>
      </w:pPr>
    </w:p>
    <w:p w14:paraId="4331A972">
      <w:pPr>
        <w:spacing w:before="312" w:beforeLines="100" w:line="400" w:lineRule="exact"/>
        <w:ind w:firstLine="562"/>
        <w:jc w:val="center"/>
        <w:rPr>
          <w:rFonts w:cs="宋体"/>
          <w:color w:val="000000" w:themeColor="text1"/>
          <w:sz w:val="36"/>
          <w:szCs w:val="36"/>
          <w14:textFill>
            <w14:solidFill>
              <w14:schemeClr w14:val="tx1"/>
            </w14:solidFill>
          </w14:textFill>
        </w:rPr>
      </w:pPr>
      <w:r>
        <w:rPr>
          <w:rFonts w:hint="eastAsia" w:cs="宋体"/>
          <w:b/>
          <w:color w:val="000000" w:themeColor="text1"/>
          <w14:textFill>
            <w14:solidFill>
              <w14:schemeClr w14:val="tx1"/>
            </w14:solidFill>
          </w14:textFill>
        </w:rPr>
        <w:br w:type="page"/>
      </w:r>
      <w:bookmarkStart w:id="3602" w:name="_Toc20417"/>
      <w:r>
        <w:rPr>
          <w:rFonts w:hint="eastAsia" w:cs="宋体"/>
          <w:color w:val="000000" w:themeColor="text1"/>
          <w:sz w:val="36"/>
          <w:szCs w:val="36"/>
          <w14:textFill>
            <w14:solidFill>
              <w14:schemeClr w14:val="tx1"/>
            </w14:solidFill>
          </w14:textFill>
        </w:rPr>
        <w:t>第三节合同附件格式</w:t>
      </w:r>
      <w:bookmarkEnd w:id="3602"/>
    </w:p>
    <w:p w14:paraId="4FC236B9">
      <w:pPr>
        <w:pStyle w:val="87"/>
        <w:spacing w:line="440" w:lineRule="atLeast"/>
        <w:ind w:firstLine="562"/>
        <w:jc w:val="center"/>
        <w:rPr>
          <w:rFonts w:hAnsi="宋体"/>
          <w:color w:val="000000" w:themeColor="text1"/>
          <w:sz w:val="28"/>
          <w:szCs w:val="28"/>
          <w14:textFill>
            <w14:solidFill>
              <w14:schemeClr w14:val="tx1"/>
            </w14:solidFill>
          </w14:textFill>
        </w:rPr>
      </w:pPr>
      <w:r>
        <w:rPr>
          <w:rFonts w:hint="eastAsia" w:hAnsi="宋体"/>
          <w:color w:val="000000" w:themeColor="text1"/>
          <w:sz w:val="28"/>
          <w:szCs w:val="28"/>
          <w14:textFill>
            <w14:solidFill>
              <w14:schemeClr w14:val="tx1"/>
            </w14:solidFill>
          </w14:textFill>
        </w:rPr>
        <w:t>履约担保</w:t>
      </w:r>
    </w:p>
    <w:p w14:paraId="3A411CF4">
      <w:pPr>
        <w:spacing w:line="440" w:lineRule="exact"/>
        <w:ind w:firstLine="560"/>
        <w:rPr>
          <w:rFonts w:cs="宋体"/>
          <w:color w:val="000000" w:themeColor="text1"/>
          <w:szCs w:val="21"/>
          <w14:textFill>
            <w14:solidFill>
              <w14:schemeClr w14:val="tx1"/>
            </w14:solidFill>
          </w14:textFill>
        </w:rPr>
      </w:pPr>
      <w:r>
        <w:rPr>
          <w:rFonts w:hint="eastAsia" w:cs="宋体"/>
          <w:color w:val="000000" w:themeColor="text1"/>
          <w:szCs w:val="21"/>
          <w:u w:val="single"/>
          <w14:textFill>
            <w14:solidFill>
              <w14:schemeClr w14:val="tx1"/>
            </w14:solidFill>
          </w14:textFill>
        </w:rPr>
        <w:tab/>
      </w:r>
      <w:r>
        <w:rPr>
          <w:rFonts w:hint="eastAsia" w:cs="宋体"/>
          <w:color w:val="000000" w:themeColor="text1"/>
          <w:szCs w:val="21"/>
          <w:u w:val="single"/>
          <w14:textFill>
            <w14:solidFill>
              <w14:schemeClr w14:val="tx1"/>
            </w14:solidFill>
          </w14:textFill>
        </w:rPr>
        <w:tab/>
      </w:r>
      <w:r>
        <w:rPr>
          <w:rFonts w:hint="eastAsia" w:cs="宋体"/>
          <w:color w:val="000000" w:themeColor="text1"/>
          <w:szCs w:val="21"/>
          <w14:textFill>
            <w14:solidFill>
              <w14:schemeClr w14:val="tx1"/>
            </w14:solidFill>
          </w14:textFill>
        </w:rPr>
        <w:t>（发包人名称）：</w:t>
      </w:r>
    </w:p>
    <w:p w14:paraId="04C09B6B">
      <w:pPr>
        <w:spacing w:line="440" w:lineRule="exact"/>
        <w:ind w:firstLine="560"/>
        <w:rPr>
          <w:rFonts w:cs="宋体"/>
          <w:color w:val="000000" w:themeColor="text1"/>
          <w:szCs w:val="21"/>
          <w14:textFill>
            <w14:solidFill>
              <w14:schemeClr w14:val="tx1"/>
            </w14:solidFill>
          </w14:textFill>
        </w:rPr>
      </w:pPr>
    </w:p>
    <w:p w14:paraId="043296E8">
      <w:pPr>
        <w:spacing w:line="440" w:lineRule="exact"/>
        <w:ind w:firstLine="560"/>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鉴于（发包人名称，以下简称“发包人”）接受（承包人名称，以下称“承包人”）于年月日参加（项目名称）的投标。我方愿意就承包人履行与你方订立的合同，向你方提供担保。</w:t>
      </w:r>
    </w:p>
    <w:p w14:paraId="69207564">
      <w:pPr>
        <w:spacing w:line="440" w:lineRule="exact"/>
        <w:ind w:firstLine="560"/>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1. 担保金额人民币（大写）（¥）。</w:t>
      </w:r>
    </w:p>
    <w:p w14:paraId="77337D25">
      <w:pPr>
        <w:spacing w:line="440" w:lineRule="exact"/>
        <w:ind w:firstLine="560"/>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2. 担保有效期自发包人与承包人签订的合同生效之日起至发包人签发工程接收证书之日止。</w:t>
      </w:r>
    </w:p>
    <w:p w14:paraId="4E949B8A">
      <w:pPr>
        <w:spacing w:line="440" w:lineRule="exact"/>
        <w:ind w:firstLine="560"/>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3. 在本担保有效期内，因承包人违反合同约定的义务给你方造成经济损失时，我方在收到你方以书面形式提出的在担保金额内的赔偿要求后，在7天内支付。</w:t>
      </w:r>
    </w:p>
    <w:p w14:paraId="5D9E5776">
      <w:pPr>
        <w:spacing w:line="440" w:lineRule="exact"/>
        <w:ind w:firstLine="560"/>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4. 发包人和承包人按《通用合同条款》第9条变更合同时，我方承担本担保规定的义务不变。</w:t>
      </w:r>
    </w:p>
    <w:p w14:paraId="51FF6E79">
      <w:pPr>
        <w:pStyle w:val="87"/>
        <w:spacing w:line="400" w:lineRule="exact"/>
        <w:ind w:firstLine="361"/>
        <w:rPr>
          <w:rFonts w:hAnsi="宋体"/>
          <w:color w:val="000000" w:themeColor="text1"/>
          <w14:textFill>
            <w14:solidFill>
              <w14:schemeClr w14:val="tx1"/>
            </w14:solidFill>
          </w14:textFill>
        </w:rPr>
      </w:pPr>
    </w:p>
    <w:p w14:paraId="10C399A1">
      <w:pPr>
        <w:pStyle w:val="87"/>
        <w:spacing w:line="400" w:lineRule="exact"/>
        <w:ind w:firstLine="361"/>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担保人：（盖单位公章）</w:t>
      </w:r>
    </w:p>
    <w:p w14:paraId="56101386">
      <w:pPr>
        <w:pStyle w:val="87"/>
        <w:spacing w:line="400" w:lineRule="exact"/>
        <w:ind w:firstLine="361"/>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法定代表人或其委托代理人：（签字）</w:t>
      </w:r>
    </w:p>
    <w:p w14:paraId="48FC520E">
      <w:pPr>
        <w:pStyle w:val="87"/>
        <w:spacing w:line="400" w:lineRule="exact"/>
        <w:ind w:firstLine="361"/>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地址：</w:t>
      </w:r>
    </w:p>
    <w:p w14:paraId="51036796">
      <w:pPr>
        <w:pStyle w:val="87"/>
        <w:spacing w:line="400" w:lineRule="exact"/>
        <w:ind w:firstLine="361"/>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邮政编码：</w:t>
      </w:r>
    </w:p>
    <w:p w14:paraId="72636C7D">
      <w:pPr>
        <w:pStyle w:val="87"/>
        <w:spacing w:line="400" w:lineRule="exact"/>
        <w:ind w:firstLine="361"/>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电话：</w:t>
      </w:r>
    </w:p>
    <w:p w14:paraId="309BF59C">
      <w:pPr>
        <w:pStyle w:val="87"/>
        <w:spacing w:line="400" w:lineRule="exact"/>
        <w:ind w:firstLine="361"/>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传真：</w:t>
      </w:r>
    </w:p>
    <w:p w14:paraId="76F04D55">
      <w:pPr>
        <w:pStyle w:val="87"/>
        <w:spacing w:line="400" w:lineRule="exact"/>
        <w:ind w:firstLine="361"/>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年     月     日</w:t>
      </w:r>
    </w:p>
    <w:p w14:paraId="49DEC12D">
      <w:pPr>
        <w:pStyle w:val="87"/>
        <w:spacing w:line="400" w:lineRule="exact"/>
        <w:ind w:firstLine="361"/>
        <w:rPr>
          <w:rFonts w:hAnsi="宋体"/>
          <w:color w:val="000000" w:themeColor="text1"/>
          <w14:textFill>
            <w14:solidFill>
              <w14:schemeClr w14:val="tx1"/>
            </w14:solidFill>
          </w14:textFill>
        </w:rPr>
      </w:pPr>
    </w:p>
    <w:p w14:paraId="13302081">
      <w:pPr>
        <w:pStyle w:val="87"/>
        <w:spacing w:line="400" w:lineRule="exact"/>
        <w:ind w:firstLine="361"/>
        <w:rPr>
          <w:rFonts w:hAnsi="宋体"/>
          <w:color w:val="000000" w:themeColor="text1"/>
          <w14:textFill>
            <w14:solidFill>
              <w14:schemeClr w14:val="tx1"/>
            </w14:solidFill>
          </w14:textFill>
        </w:rPr>
      </w:pPr>
      <w:r>
        <w:rPr>
          <w:rFonts w:hint="eastAsia" w:hAnsi="宋体"/>
          <w:color w:val="000000" w:themeColor="text1"/>
          <w14:textFill>
            <w14:solidFill>
              <w14:schemeClr w14:val="tx1"/>
            </w14:solidFill>
          </w14:textFill>
        </w:rPr>
        <w:t>注：委托代理人应附授权委托书。</w:t>
      </w:r>
    </w:p>
    <w:p w14:paraId="1612D039">
      <w:pPr>
        <w:pStyle w:val="87"/>
        <w:spacing w:line="400" w:lineRule="exact"/>
        <w:ind w:firstLine="361"/>
        <w:rPr>
          <w:rFonts w:hAnsi="宋体"/>
          <w:color w:val="000000" w:themeColor="text1"/>
          <w14:textFill>
            <w14:solidFill>
              <w14:schemeClr w14:val="tx1"/>
            </w14:solidFill>
          </w14:textFill>
        </w:rPr>
      </w:pPr>
    </w:p>
    <w:p w14:paraId="4031E606">
      <w:pPr>
        <w:pStyle w:val="87"/>
        <w:spacing w:line="400" w:lineRule="exact"/>
        <w:ind w:firstLine="361"/>
        <w:rPr>
          <w:rFonts w:hAnsi="宋体"/>
          <w:color w:val="000000" w:themeColor="text1"/>
          <w14:textFill>
            <w14:solidFill>
              <w14:schemeClr w14:val="tx1"/>
            </w14:solidFill>
          </w14:textFill>
        </w:rPr>
      </w:pPr>
    </w:p>
    <w:p w14:paraId="587FD637">
      <w:pPr>
        <w:pStyle w:val="87"/>
        <w:spacing w:line="400" w:lineRule="exact"/>
        <w:ind w:firstLine="361"/>
        <w:rPr>
          <w:rFonts w:hAnsi="宋体"/>
          <w:color w:val="000000" w:themeColor="text1"/>
          <w14:textFill>
            <w14:solidFill>
              <w14:schemeClr w14:val="tx1"/>
            </w14:solidFill>
          </w14:textFill>
        </w:rPr>
      </w:pPr>
    </w:p>
    <w:p w14:paraId="3798B36C">
      <w:pPr>
        <w:pStyle w:val="87"/>
        <w:spacing w:line="400" w:lineRule="exact"/>
        <w:ind w:firstLine="361"/>
        <w:rPr>
          <w:rFonts w:hAnsi="宋体"/>
          <w:color w:val="000000" w:themeColor="text1"/>
          <w14:textFill>
            <w14:solidFill>
              <w14:schemeClr w14:val="tx1"/>
            </w14:solidFill>
          </w14:textFill>
        </w:rPr>
      </w:pPr>
    </w:p>
    <w:p w14:paraId="66A4BFFF">
      <w:pPr>
        <w:spacing w:line="560" w:lineRule="exact"/>
        <w:ind w:firstLine="1040"/>
        <w:jc w:val="center"/>
        <w:rPr>
          <w:rFonts w:ascii="宋体" w:hAnsi="宋体"/>
          <w:color w:val="000000" w:themeColor="text1"/>
          <w:sz w:val="52"/>
          <w:szCs w:val="52"/>
          <w14:textFill>
            <w14:solidFill>
              <w14:schemeClr w14:val="tx1"/>
            </w14:solidFill>
          </w14:textFill>
        </w:rPr>
      </w:pPr>
    </w:p>
    <w:sectPr>
      <w:headerReference r:id="rId33" w:type="default"/>
      <w:footerReference r:id="rId34" w:type="default"/>
      <w:pgSz w:w="11906" w:h="16838"/>
      <w:pgMar w:top="1440" w:right="1542" w:bottom="1440" w:left="1542" w:header="851" w:footer="992" w:gutter="0"/>
      <w:pgNumType w:start="1"/>
      <w:cols w:space="720" w:num="1"/>
      <w:titlePg/>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560"/>
      </w:pPr>
      <w:r>
        <w:separator/>
      </w:r>
    </w:p>
  </w:endnote>
  <w:endnote w:type="continuationSeparator" w:id="1">
    <w:p>
      <w:pPr>
        <w:spacing w:line="240" w:lineRule="auto"/>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moder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3736DA9D-229F-40CE-87E8-26E165ED731F}"/>
  </w:font>
  <w:font w:name="黑体">
    <w:panose1 w:val="02010609060101010101"/>
    <w:charset w:val="86"/>
    <w:family w:val="auto"/>
    <w:pitch w:val="default"/>
    <w:sig w:usb0="800002BF" w:usb1="38CF7CFA" w:usb2="00000016" w:usb3="00000000" w:csb0="00040001" w:csb1="00000000"/>
    <w:embedRegular r:id="rId2" w:fontKey="{4C0A8E84-1D6A-4B54-BF88-BC5182025582}"/>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3" w:fontKey="{329F838B-F6CB-4379-B540-3254C241C4B5}"/>
  </w:font>
  <w:font w:name="等线">
    <w:panose1 w:val="02010600030101010101"/>
    <w:charset w:val="86"/>
    <w:family w:val="auto"/>
    <w:pitch w:val="default"/>
    <w:sig w:usb0="A00002BF" w:usb1="38CF7CFA" w:usb2="00000016" w:usb3="00000000" w:csb0="0004000F" w:csb1="00000000"/>
    <w:embedRegular r:id="rId4" w:fontKey="{7B9D706C-8836-4991-A25A-3E9D3827476E}"/>
  </w:font>
  <w:font w:name="仿宋_GB2312">
    <w:panose1 w:val="02010609030101010101"/>
    <w:charset w:val="86"/>
    <w:family w:val="modern"/>
    <w:pitch w:val="default"/>
    <w:sig w:usb0="00000001" w:usb1="080E0000" w:usb2="00000000" w:usb3="00000000" w:csb0="00040000" w:csb1="00000000"/>
    <w:embedRegular r:id="rId5" w:fontKey="{5D0209CB-2846-4611-A9D0-51F81FA7D65E}"/>
  </w:font>
  <w:font w:name="Cambria">
    <w:panose1 w:val="02040503050406030204"/>
    <w:charset w:val="00"/>
    <w:family w:val="roman"/>
    <w:pitch w:val="default"/>
    <w:sig w:usb0="E00006FF" w:usb1="420024FF" w:usb2="02000000" w:usb3="00000000" w:csb0="2000019F" w:csb1="00000000"/>
    <w:embedRegular r:id="rId6" w:fontKey="{4B6541DB-242F-458F-824F-FD521A43901E}"/>
  </w:font>
  <w:font w:name="华文中宋">
    <w:panose1 w:val="02010600040101010101"/>
    <w:charset w:val="86"/>
    <w:family w:val="auto"/>
    <w:pitch w:val="default"/>
    <w:sig w:usb0="00000287" w:usb1="080F0000" w:usb2="00000000" w:usb3="00000000" w:csb0="0004009F" w:csb1="DFD70000"/>
  </w:font>
  <w:font w:name="Tahoma">
    <w:panose1 w:val="020B0604030504040204"/>
    <w:charset w:val="00"/>
    <w:family w:val="swiss"/>
    <w:pitch w:val="default"/>
    <w:sig w:usb0="E1002EFF" w:usb1="C000605B" w:usb2="00000029" w:usb3="00000000" w:csb0="200101FF" w:csb1="20280000"/>
  </w:font>
  <w:font w:name="Noto Sans Mono CJK JP Regular">
    <w:altName w:val="微软雅黑"/>
    <w:panose1 w:val="00000000000000000000"/>
    <w:charset w:val="00"/>
    <w:family w:val="roman"/>
    <w:pitch w:val="default"/>
    <w:sig w:usb0="00000000" w:usb1="00000000" w:usb2="00000000" w:usb3="00000000" w:csb0="00000000" w:csb1="00000000"/>
  </w:font>
  <w:font w:name="微软雅黑">
    <w:panose1 w:val="020B0503020204020204"/>
    <w:charset w:val="86"/>
    <w:family w:val="auto"/>
    <w:pitch w:val="default"/>
    <w:sig w:usb0="80000287" w:usb1="2ACF3C50" w:usb2="00000016" w:usb3="00000000" w:csb0="0004001F" w:csb1="00000000"/>
  </w:font>
  <w:font w:name="方正小标宋简体">
    <w:panose1 w:val="02000000000000000000"/>
    <w:charset w:val="86"/>
    <w:family w:val="script"/>
    <w:pitch w:val="default"/>
    <w:sig w:usb0="00000001" w:usb1="08000000" w:usb2="00000000" w:usb3="00000000" w:csb0="00040000" w:csb1="00000000"/>
    <w:embedRegular r:id="rId7" w:fontKey="{6E8C6F10-A1FA-403E-B12F-D3DF5ADD5C69}"/>
  </w:font>
  <w:font w:name="仿宋">
    <w:panose1 w:val="02010609060101010101"/>
    <w:charset w:val="86"/>
    <w:family w:val="modern"/>
    <w:pitch w:val="default"/>
    <w:sig w:usb0="800002BF" w:usb1="38CF7CFA" w:usb2="00000016" w:usb3="00000000" w:csb0="00040001" w:csb1="00000000"/>
    <w:embedRegular r:id="rId8" w:fontKey="{368672AC-1C74-4BA6-9383-8906128F80D4}"/>
  </w:font>
  <w:font w:name="方正楷体简体">
    <w:altName w:val="宋体"/>
    <w:panose1 w:val="00000000000000000000"/>
    <w:charset w:val="86"/>
    <w:family w:val="auto"/>
    <w:pitch w:val="default"/>
    <w:sig w:usb0="00000000" w:usb1="00000000" w:usb2="00000010" w:usb3="00000000" w:csb0="00040000" w:csb1="00000000"/>
    <w:embedRegular r:id="rId9" w:fontKey="{25AA5F86-6F04-495C-BD38-D57928967DED}"/>
  </w:font>
  <w:font w:name="楷体_GB2312">
    <w:altName w:val="楷体"/>
    <w:panose1 w:val="00000000000000000000"/>
    <w:charset w:val="86"/>
    <w:family w:val="modern"/>
    <w:pitch w:val="default"/>
    <w:sig w:usb0="00000000" w:usb1="00000000" w:usb2="00000010" w:usb3="00000000" w:csb0="00040000" w:csb1="00000000"/>
    <w:embedRegular r:id="rId10" w:fontKey="{CE299BBA-EC05-4B4D-B602-0E94DFA1113A}"/>
  </w:font>
  <w:font w:name="楷体">
    <w:panose1 w:val="02010609060101010101"/>
    <w:charset w:val="86"/>
    <w:family w:val="auto"/>
    <w:pitch w:val="default"/>
    <w:sig w:usb0="800002BF" w:usb1="38CF7CFA" w:usb2="00000016" w:usb3="00000000" w:csb0="00040001" w:csb1="00000000"/>
  </w:font>
  <w:font w:name="Cambria Math">
    <w:panose1 w:val="02040503050406030204"/>
    <w:charset w:val="00"/>
    <w:family w:val="roman"/>
    <w:pitch w:val="default"/>
    <w:sig w:usb0="E00006FF" w:usb1="420024FF" w:usb2="02000000" w:usb3="00000000" w:csb0="2000019F" w:csb1="00000000"/>
    <w:embedRegular r:id="rId11" w:fontKey="{126A4CF7-8678-4EFB-9818-356AB564233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45C8352">
    <w:pPr>
      <w:pStyle w:val="31"/>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E34C5F">
    <w:pPr>
      <w:pStyle w:val="31"/>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1D70DD">
    <w:pPr>
      <w:pStyle w:val="31"/>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28DD484">
    <w:pPr>
      <w:ind w:firstLine="560"/>
      <w:jc w:val="center"/>
    </w:pPr>
    <w:r>
      <w:fldChar w:fldCharType="begin"/>
    </w:r>
    <w:r>
      <w:instrText xml:space="preserve"> PAGE   \* MERGEFORMAT </w:instrText>
    </w:r>
    <w:r>
      <w:fldChar w:fldCharType="separate"/>
    </w:r>
    <w:r>
      <w:t>2</w:t>
    </w:r>
    <w:r>
      <w:rPr>
        <w:lang w:val="zh-CN"/>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74AD383">
    <w:pPr>
      <w:ind w:firstLine="560"/>
      <w:jc w:val="center"/>
    </w:pPr>
    <w:r>
      <w:fldChar w:fldCharType="begin"/>
    </w:r>
    <w:r>
      <w:instrText xml:space="preserve"> PAGE   \* MERGEFORMAT </w:instrText>
    </w:r>
    <w:r>
      <w:fldChar w:fldCharType="separate"/>
    </w:r>
    <w:r>
      <w:t>8</w:t>
    </w:r>
    <w:r>
      <w:rPr>
        <w:lang w:val="zh-CN"/>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05983F">
    <w:pPr>
      <w:pStyle w:val="31"/>
      <w:ind w:left="420" w:firstLine="360"/>
      <w:jc w:val="center"/>
    </w:pPr>
    <w:r>
      <w:fldChar w:fldCharType="begin"/>
    </w:r>
    <w:r>
      <w:instrText xml:space="preserve">PAGE   \* MERGEFORMAT</w:instrText>
    </w:r>
    <w:r>
      <w:fldChar w:fldCharType="separate"/>
    </w:r>
    <w:r>
      <w:rPr>
        <w:lang w:val="zh-CN"/>
      </w:rPr>
      <w:t>55</w:t>
    </w:r>
    <w:r>
      <w:rPr>
        <w:lang w:val="zh-CN"/>
      </w:rPr>
      <w:fldChar w:fldCharType="end"/>
    </w:r>
  </w:p>
  <w:p w14:paraId="38CB1B92">
    <w:pPr>
      <w:ind w:firstLine="56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0C28642">
    <w:pPr>
      <w:ind w:firstLine="560"/>
      <w:jc w:val="center"/>
    </w:pPr>
    <w:r>
      <w:fldChar w:fldCharType="begin"/>
    </w:r>
    <w:r>
      <w:instrText xml:space="preserve"> PAGE   \* MERGEFORMAT </w:instrText>
    </w:r>
    <w:r>
      <w:fldChar w:fldCharType="separate"/>
    </w:r>
    <w:r>
      <w:t>56</w:t>
    </w:r>
    <w:r>
      <w:rPr>
        <w:lang w:val="zh-CN"/>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D83BA7">
    <w:pPr>
      <w:pStyle w:val="31"/>
      <w:ind w:firstLine="360"/>
      <w:jc w:val="center"/>
    </w:pPr>
    <w:r>
      <w:fldChar w:fldCharType="begin"/>
    </w:r>
    <w:r>
      <w:instrText xml:space="preserve">PAGE   \* MERGEFORMAT</w:instrText>
    </w:r>
    <w:r>
      <w:fldChar w:fldCharType="separate"/>
    </w:r>
    <w:r>
      <w:rPr>
        <w:lang w:val="zh-CN"/>
      </w:rPr>
      <w:t>79</w:t>
    </w:r>
    <w:r>
      <w:rPr>
        <w:lang w:val="zh-CN"/>
      </w:rPr>
      <w:fldChar w:fldCharType="end"/>
    </w:r>
  </w:p>
  <w:p w14:paraId="3842E96C">
    <w:pPr>
      <w:pStyle w:val="31"/>
      <w:tabs>
        <w:tab w:val="clear" w:pos="4153"/>
        <w:tab w:val="clear" w:pos="8306"/>
      </w:tabs>
      <w:ind w:firstLine="360"/>
      <w:rPr>
        <w:rFonts w:ascii="宋体" w:hAnsi="宋体"/>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D420ADF">
    <w:pPr>
      <w:ind w:firstLine="560"/>
      <w:jc w:val="center"/>
    </w:pPr>
    <w:r>
      <w:fldChar w:fldCharType="begin"/>
    </w:r>
    <w:r>
      <w:instrText xml:space="preserve"> PAGE   \* MERGEFORMAT </w:instrText>
    </w:r>
    <w:r>
      <w:fldChar w:fldCharType="separate"/>
    </w:r>
    <w:r>
      <w:t>80</w:t>
    </w:r>
    <w:r>
      <w:rPr>
        <w:lang w:val="zh-CN"/>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EF19816">
    <w:pPr>
      <w:ind w:firstLine="560"/>
      <w:jc w:val="center"/>
    </w:pPr>
    <w:r>
      <w:fldChar w:fldCharType="begin"/>
    </w:r>
    <w:r>
      <w:instrText xml:space="preserve"> PAGE   \* MERGEFORMAT </w:instrText>
    </w:r>
    <w:r>
      <w:fldChar w:fldCharType="separate"/>
    </w:r>
    <w:r>
      <w:t>97</w:t>
    </w:r>
    <w:r>
      <w:rPr>
        <w:lang w:val="zh-CN"/>
      </w:rP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29CCD25">
    <w:pPr>
      <w:ind w:firstLine="560"/>
      <w:jc w:val="center"/>
    </w:pPr>
    <w:r>
      <w:fldChar w:fldCharType="begin"/>
    </w:r>
    <w:r>
      <w:instrText xml:space="preserve"> PAGE   \* MERGEFORMAT </w:instrText>
    </w:r>
    <w:r>
      <w:fldChar w:fldCharType="separate"/>
    </w:r>
    <w:r>
      <w:t>117</w:t>
    </w:r>
    <w:r>
      <w:rPr>
        <w:lang w:val="zh-CN"/>
      </w:rPr>
      <w:fldChar w:fldCharType="end"/>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5E75B6">
    <w:pPr>
      <w:pStyle w:val="31"/>
      <w:ind w:firstLine="360"/>
      <w:jc w:val="center"/>
    </w:pPr>
    <w:r>
      <w:fldChar w:fldCharType="begin"/>
    </w:r>
    <w:r>
      <w:instrText xml:space="preserve">PAGE   \* MERGEFORMAT</w:instrText>
    </w:r>
    <w:r>
      <w:fldChar w:fldCharType="separate"/>
    </w:r>
    <w:r>
      <w:rPr>
        <w:lang w:val="zh-CN"/>
      </w:rPr>
      <w:t>57</w:t>
    </w:r>
    <w:r>
      <w:rPr>
        <w:lang w:val="zh-CN"/>
      </w:rPr>
      <w:fldChar w:fldCharType="end"/>
    </w:r>
  </w:p>
  <w:p w14:paraId="7B3FED85">
    <w:pPr>
      <w:pStyle w:val="19"/>
      <w:spacing w:line="14" w:lineRule="auto"/>
      <w:ind w:firstLine="400"/>
      <w:jc w:val="center"/>
      <w:rPr>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560"/>
      </w:pPr>
      <w:r>
        <w:separator/>
      </w:r>
    </w:p>
  </w:footnote>
  <w:footnote w:type="continuationSeparator" w:id="1">
    <w:p>
      <w:pPr>
        <w:spacing w:line="360" w:lineRule="auto"/>
        <w:ind w:firstLine="56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B34E68E">
    <w:pPr>
      <w:spacing w:after="120" w:afterLines="50"/>
      <w:ind w:firstLine="560"/>
      <w:jc w:val="left"/>
      <w:rPr>
        <w:rFonts w:ascii="方正小标宋简体" w:hAnsi="黑体" w:eastAsia="方正小标宋简体"/>
        <w:color w:val="80808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83BEE1">
    <w:pPr>
      <w:pStyle w:val="32"/>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50340AB">
    <w:pPr>
      <w:pStyle w:val="32"/>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9717F6A">
    <w:pPr>
      <w:pStyle w:val="32"/>
      <w:ind w:firstLine="36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854D2BF">
    <w:pPr>
      <w:pStyle w:val="32"/>
      <w:ind w:firstLine="36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4680E8B">
    <w:pPr>
      <w:pStyle w:val="32"/>
      <w:ind w:firstLine="36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ADBCC58">
    <w:pPr>
      <w:pStyle w:val="32"/>
      <w:ind w:firstLine="360"/>
      <w:jc w:val="both"/>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A74DA9">
    <w:pPr>
      <w:pStyle w:val="32"/>
      <w:pBdr>
        <w:bottom w:val="none" w:color="auto" w:sz="0" w:space="0"/>
      </w:pBdr>
      <w:ind w:firstLine="360"/>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C3878F">
    <w:pPr>
      <w:pStyle w:val="32"/>
      <w:ind w:firstLine="360"/>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D08B333">
    <w:pPr>
      <w:pStyle w:val="32"/>
      <w:ind w:firstLine="360"/>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A5B52F">
    <w:pPr>
      <w:ind w:firstLine="560"/>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ADAAB4">
    <w:pPr>
      <w:ind w:firstLine="560"/>
    </w:pPr>
    <w:r>
      <w:cr/>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620758">
    <w:pPr>
      <w:ind w:firstLine="560"/>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AB2306B">
    <w:pPr>
      <w:pStyle w:val="32"/>
      <w:ind w:firstLine="360"/>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60BB80">
    <w:pPr>
      <w:pStyle w:val="32"/>
      <w:ind w:firstLine="360"/>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E313C7">
    <w:pPr>
      <w:pStyle w:val="32"/>
      <w:ind w:firstLine="360"/>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C135DA0">
    <w:pPr>
      <w:pStyle w:val="32"/>
      <w:ind w:firstLine="360"/>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F85EB4D">
    <w:pPr>
      <w:ind w:firstLine="5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C68084E"/>
    <w:multiLevelType w:val="singleLevel"/>
    <w:tmpl w:val="0C68084E"/>
    <w:lvl w:ilvl="0" w:tentative="0">
      <w:start w:val="1"/>
      <w:numFmt w:val="decimal"/>
      <w:suff w:val="nothing"/>
      <w:lvlText w:val="%1．"/>
      <w:lvlJc w:val="left"/>
      <w:pPr>
        <w:tabs>
          <w:tab w:val="left" w:pos="0"/>
        </w:tabs>
        <w:ind w:left="0" w:firstLine="420"/>
      </w:pPr>
      <w:rPr>
        <w:rFonts w:hint="default"/>
      </w:rPr>
    </w:lvl>
  </w:abstractNum>
  <w:abstractNum w:abstractNumId="1">
    <w:nsid w:val="15039089"/>
    <w:multiLevelType w:val="singleLevel"/>
    <w:tmpl w:val="15039089"/>
    <w:lvl w:ilvl="0" w:tentative="0">
      <w:start w:val="1"/>
      <w:numFmt w:val="decimal"/>
      <w:suff w:val="nothing"/>
      <w:lvlText w:val="%1．"/>
      <w:lvlJc w:val="left"/>
      <w:pPr>
        <w:tabs>
          <w:tab w:val="left" w:pos="0"/>
        </w:tabs>
        <w:ind w:left="0" w:firstLine="420"/>
      </w:pPr>
      <w:rPr>
        <w:rFonts w:hint="default"/>
      </w:rPr>
    </w:lvl>
  </w:abstractNum>
  <w:abstractNum w:abstractNumId="2">
    <w:nsid w:val="4254260A"/>
    <w:multiLevelType w:val="singleLevel"/>
    <w:tmpl w:val="4254260A"/>
    <w:lvl w:ilvl="0" w:tentative="0">
      <w:start w:val="1"/>
      <w:numFmt w:val="decimal"/>
      <w:suff w:val="nothing"/>
      <w:lvlText w:val="%1．"/>
      <w:lvlJc w:val="left"/>
      <w:pPr>
        <w:tabs>
          <w:tab w:val="left" w:pos="0"/>
        </w:tabs>
        <w:ind w:left="0" w:firstLine="420"/>
      </w:pPr>
      <w:rPr>
        <w:rFonts w:hint="default"/>
      </w:rPr>
    </w:lvl>
  </w:abstractNum>
  <w:abstractNum w:abstractNumId="3">
    <w:nsid w:val="47A09113"/>
    <w:multiLevelType w:val="singleLevel"/>
    <w:tmpl w:val="47A09113"/>
    <w:lvl w:ilvl="0" w:tentative="0">
      <w:start w:val="7"/>
      <w:numFmt w:val="chineseCounting"/>
      <w:suff w:val="nothing"/>
      <w:lvlText w:val="%1、"/>
      <w:lvlJc w:val="left"/>
      <w:pPr>
        <w:tabs>
          <w:tab w:val="left" w:pos="0"/>
        </w:tabs>
        <w:ind w:left="-60"/>
      </w:pPr>
      <w:rPr>
        <w:rFonts w:hint="eastAsia"/>
        <w:b w:val="0"/>
        <w:bCs w:val="0"/>
      </w:rPr>
    </w:lvl>
  </w:abstractNum>
  <w:abstractNum w:abstractNumId="4">
    <w:nsid w:val="6AAC9691"/>
    <w:multiLevelType w:val="singleLevel"/>
    <w:tmpl w:val="6AAC9691"/>
    <w:lvl w:ilvl="0" w:tentative="0">
      <w:start w:val="1"/>
      <w:numFmt w:val="decimal"/>
      <w:suff w:val="nothing"/>
      <w:lvlText w:val="%1．"/>
      <w:lvlJc w:val="left"/>
      <w:pPr>
        <w:tabs>
          <w:tab w:val="left" w:pos="0"/>
        </w:tabs>
        <w:ind w:left="0" w:firstLine="420"/>
      </w:pPr>
      <w:rPr>
        <w:rFonts w:hint="default"/>
      </w:rPr>
    </w:lvl>
  </w:abstractNum>
  <w:abstractNum w:abstractNumId="5">
    <w:nsid w:val="7F09497D"/>
    <w:multiLevelType w:val="multilevel"/>
    <w:tmpl w:val="7F09497D"/>
    <w:lvl w:ilvl="0" w:tentative="0">
      <w:start w:val="1"/>
      <w:numFmt w:val="japaneseCounting"/>
      <w:lvlText w:val="第%1章"/>
      <w:lvlJc w:val="left"/>
      <w:pPr>
        <w:ind w:left="1440" w:hanging="1440"/>
      </w:pPr>
      <w:rPr>
        <w:rFonts w:hint="eastAsia" w:ascii="楷体_GB2312" w:hAnsi="宋体" w:eastAsia="楷体_GB2312"/>
        <w:b/>
        <w:sz w:val="40"/>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5"/>
  </w:num>
  <w:num w:numId="2">
    <w:abstractNumId w:val="4"/>
  </w:num>
  <w:num w:numId="3">
    <w:abstractNumId w:val="1"/>
  </w:num>
  <w:num w:numId="4">
    <w:abstractNumId w:val="3"/>
  </w:num>
  <w:num w:numId="5">
    <w:abstractNumId w:val="0"/>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70"/>
  <w:embedTrueTypeFonts/>
  <w:saveSubset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35E9A"/>
    <w:rsid w:val="0004511F"/>
    <w:rsid w:val="000459BF"/>
    <w:rsid w:val="000918D2"/>
    <w:rsid w:val="00145CF7"/>
    <w:rsid w:val="00156E83"/>
    <w:rsid w:val="001C0489"/>
    <w:rsid w:val="001C0A47"/>
    <w:rsid w:val="001F5800"/>
    <w:rsid w:val="00205D19"/>
    <w:rsid w:val="0020616B"/>
    <w:rsid w:val="00234C09"/>
    <w:rsid w:val="00257B29"/>
    <w:rsid w:val="00270F2D"/>
    <w:rsid w:val="002919CA"/>
    <w:rsid w:val="002D0B32"/>
    <w:rsid w:val="00332EC3"/>
    <w:rsid w:val="00343461"/>
    <w:rsid w:val="00377C14"/>
    <w:rsid w:val="003E386E"/>
    <w:rsid w:val="003E531F"/>
    <w:rsid w:val="00413E2E"/>
    <w:rsid w:val="00430ED6"/>
    <w:rsid w:val="00435E9A"/>
    <w:rsid w:val="00440E18"/>
    <w:rsid w:val="00466A63"/>
    <w:rsid w:val="004859E2"/>
    <w:rsid w:val="004C5E0B"/>
    <w:rsid w:val="00501461"/>
    <w:rsid w:val="0054176D"/>
    <w:rsid w:val="005468B1"/>
    <w:rsid w:val="00565487"/>
    <w:rsid w:val="006A5423"/>
    <w:rsid w:val="006A5B69"/>
    <w:rsid w:val="006A62CA"/>
    <w:rsid w:val="006F42DE"/>
    <w:rsid w:val="00700139"/>
    <w:rsid w:val="007161AE"/>
    <w:rsid w:val="0079488C"/>
    <w:rsid w:val="008A2D61"/>
    <w:rsid w:val="008D53E5"/>
    <w:rsid w:val="00907500"/>
    <w:rsid w:val="009434C0"/>
    <w:rsid w:val="009B4A3B"/>
    <w:rsid w:val="009C4BDA"/>
    <w:rsid w:val="009E5834"/>
    <w:rsid w:val="00A2596A"/>
    <w:rsid w:val="00A54C40"/>
    <w:rsid w:val="00AC07C6"/>
    <w:rsid w:val="00AF4EC9"/>
    <w:rsid w:val="00B1300B"/>
    <w:rsid w:val="00B33E51"/>
    <w:rsid w:val="00B35B7C"/>
    <w:rsid w:val="00B57B93"/>
    <w:rsid w:val="00BA41A0"/>
    <w:rsid w:val="00BA4BB6"/>
    <w:rsid w:val="00BA6B9B"/>
    <w:rsid w:val="00BB4304"/>
    <w:rsid w:val="00BC795D"/>
    <w:rsid w:val="00BD1818"/>
    <w:rsid w:val="00C01C81"/>
    <w:rsid w:val="00C13E63"/>
    <w:rsid w:val="00C42288"/>
    <w:rsid w:val="00C64B50"/>
    <w:rsid w:val="00C75BA5"/>
    <w:rsid w:val="00C833CF"/>
    <w:rsid w:val="00C91B6E"/>
    <w:rsid w:val="00D17B81"/>
    <w:rsid w:val="00D22A07"/>
    <w:rsid w:val="00D23C43"/>
    <w:rsid w:val="00D9425B"/>
    <w:rsid w:val="00DA42D7"/>
    <w:rsid w:val="00E54246"/>
    <w:rsid w:val="00EC1347"/>
    <w:rsid w:val="00EF6FF0"/>
    <w:rsid w:val="00F12A6F"/>
    <w:rsid w:val="00F30AAA"/>
    <w:rsid w:val="00F824AE"/>
    <w:rsid w:val="00FB48B0"/>
    <w:rsid w:val="00FE5407"/>
    <w:rsid w:val="00FF2BAC"/>
    <w:rsid w:val="01286562"/>
    <w:rsid w:val="01E5540F"/>
    <w:rsid w:val="02AD1871"/>
    <w:rsid w:val="05CF4CF2"/>
    <w:rsid w:val="08316AA1"/>
    <w:rsid w:val="114C002A"/>
    <w:rsid w:val="1A5C13F1"/>
    <w:rsid w:val="1A5C3F85"/>
    <w:rsid w:val="1B1F37C2"/>
    <w:rsid w:val="1C6A56A5"/>
    <w:rsid w:val="1F2E2BE5"/>
    <w:rsid w:val="25D25B74"/>
    <w:rsid w:val="28390846"/>
    <w:rsid w:val="2A8A4932"/>
    <w:rsid w:val="2DF9410C"/>
    <w:rsid w:val="2F181667"/>
    <w:rsid w:val="391E520E"/>
    <w:rsid w:val="3B3A39BE"/>
    <w:rsid w:val="3C5A1CFF"/>
    <w:rsid w:val="3C962D88"/>
    <w:rsid w:val="3ECB0766"/>
    <w:rsid w:val="41040516"/>
    <w:rsid w:val="451E2552"/>
    <w:rsid w:val="4AB260FD"/>
    <w:rsid w:val="4DFD4EDB"/>
    <w:rsid w:val="50854860"/>
    <w:rsid w:val="51137845"/>
    <w:rsid w:val="518C5DD8"/>
    <w:rsid w:val="621B16C1"/>
    <w:rsid w:val="635A29DB"/>
    <w:rsid w:val="66623025"/>
    <w:rsid w:val="6B1C2AE7"/>
    <w:rsid w:val="6C402C5B"/>
    <w:rsid w:val="6E3808C3"/>
    <w:rsid w:val="6FB508BA"/>
    <w:rsid w:val="74D81FA0"/>
    <w:rsid w:val="79341B66"/>
    <w:rsid w:val="7A0E5964"/>
    <w:rsid w:val="7EE76907"/>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等线" w:hAnsi="等线" w:eastAsia="等线"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iPriority="99" w:name="index 2"/>
    <w:lsdException w:uiPriority="99" w:name="index 3"/>
    <w:lsdException w:qFormat="1" w:unhideWhenUsed="0" w:uiPriority="0" w:semiHidden="0"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0" w:semiHidden="0" w:name="toc 4"/>
    <w:lsdException w:qFormat="1" w:unhideWhenUsed="0" w:uiPriority="0"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qFormat="1" w:unhideWhenUsed="0" w:uiPriority="0" w:semiHidden="0" w:name="Normal Indent"/>
    <w:lsdException w:uiPriority="99"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iPriority="99" w:name="index heading"/>
    <w:lsdException w:qFormat="1" w:unhideWhenUsed="0" w:uiPriority="0"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qFormat="1" w:unhideWhenUsed="0" w:uiPriority="0" w:semiHidden="0" w:name="toa heading"/>
    <w:lsdException w:uiPriority="99" w:name="List"/>
    <w:lsdException w:qFormat="1" w:unhideWhenUsed="0" w:uiPriority="0" w:semiHidden="0"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uiPriority="99" w:name="Salutation"/>
    <w:lsdException w:qFormat="1" w:unhideWhenUsed="0" w:uiPriority="0" w:semiHidden="0" w:name="Date"/>
    <w:lsdException w:uiPriority="99" w:name="Body Text First Indent"/>
    <w:lsdException w:qFormat="1" w:unhideWhenUsed="0" w:uiPriority="0" w:semiHidden="0" w:name="Body Text First Indent 2"/>
    <w:lsdException w:uiPriority="99" w:name="Note Heading"/>
    <w:lsdException w:qFormat="1" w:unhideWhenUsed="0" w:uiPriority="0" w:semiHidden="0" w:name="Body Text 2"/>
    <w:lsdException w:uiPriority="99"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0" w:semiHidden="0" w:name="HTML Preformatted"/>
    <w:lsdException w:uiPriority="99" w:name="HTML Sample"/>
    <w:lsdException w:uiPriority="99" w:name="HTML Typewriter"/>
    <w:lsdException w:uiPriority="99" w:name="HTML Variable"/>
    <w:lsdException w:qFormat="1" w:uiPriority="99"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0" w:semiHidden="0" w:name="Table Grid"/>
    <w:lsdException w:uiPriority="99" w:name="Table Theme"/>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qFormat="1" w:unhideWhenUsed="0" w:uiPriority="0" w:semiHidden="0" w:name="Quote"/>
    <w:lsdException w:qFormat="1" w:unhideWhenUsed="0" w:uiPriority="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200" w:firstLineChars="200"/>
      <w:jc w:val="both"/>
    </w:pPr>
    <w:rPr>
      <w:rFonts w:ascii="Times New Roman" w:hAnsi="Times New Roman" w:eastAsia="仿宋_GB2312" w:cs="Times New Roman"/>
      <w:kern w:val="2"/>
      <w:sz w:val="28"/>
      <w:szCs w:val="22"/>
      <w:lang w:val="en-US" w:eastAsia="zh-CN" w:bidi="ar-SA"/>
    </w:rPr>
  </w:style>
  <w:style w:type="paragraph" w:styleId="3">
    <w:name w:val="heading 1"/>
    <w:basedOn w:val="1"/>
    <w:next w:val="1"/>
    <w:link w:val="54"/>
    <w:qFormat/>
    <w:uiPriority w:val="0"/>
    <w:pPr>
      <w:keepNext/>
      <w:keepLines/>
      <w:spacing w:before="340" w:after="330" w:line="578" w:lineRule="auto"/>
      <w:outlineLvl w:val="0"/>
    </w:pPr>
    <w:rPr>
      <w:b/>
      <w:bCs/>
      <w:kern w:val="44"/>
      <w:sz w:val="44"/>
      <w:szCs w:val="44"/>
    </w:rPr>
  </w:style>
  <w:style w:type="paragraph" w:styleId="4">
    <w:name w:val="heading 2"/>
    <w:basedOn w:val="1"/>
    <w:next w:val="1"/>
    <w:link w:val="55"/>
    <w:qFormat/>
    <w:uiPriority w:val="0"/>
    <w:pPr>
      <w:keepNext/>
      <w:keepLines/>
      <w:spacing w:before="260" w:after="260" w:line="416" w:lineRule="auto"/>
      <w:outlineLvl w:val="1"/>
    </w:pPr>
    <w:rPr>
      <w:rFonts w:ascii="Cambria" w:hAnsi="Cambria"/>
      <w:b/>
      <w:bCs/>
      <w:kern w:val="0"/>
      <w:szCs w:val="28"/>
    </w:rPr>
  </w:style>
  <w:style w:type="paragraph" w:styleId="5">
    <w:name w:val="heading 3"/>
    <w:basedOn w:val="1"/>
    <w:next w:val="1"/>
    <w:link w:val="56"/>
    <w:qFormat/>
    <w:uiPriority w:val="0"/>
    <w:pPr>
      <w:keepNext/>
      <w:keepLines/>
      <w:spacing w:before="260" w:after="260" w:line="416" w:lineRule="auto"/>
      <w:outlineLvl w:val="2"/>
    </w:pPr>
    <w:rPr>
      <w:b/>
      <w:bCs/>
      <w:kern w:val="0"/>
      <w:sz w:val="32"/>
      <w:szCs w:val="32"/>
    </w:rPr>
  </w:style>
  <w:style w:type="paragraph" w:styleId="6">
    <w:name w:val="heading 4"/>
    <w:basedOn w:val="1"/>
    <w:next w:val="1"/>
    <w:link w:val="57"/>
    <w:qFormat/>
    <w:uiPriority w:val="0"/>
    <w:pPr>
      <w:keepNext/>
      <w:keepLines/>
      <w:spacing w:before="280" w:after="290" w:line="376" w:lineRule="auto"/>
      <w:outlineLvl w:val="3"/>
    </w:pPr>
    <w:rPr>
      <w:rFonts w:ascii="Cambria" w:hAnsi="Cambria"/>
      <w:b/>
      <w:bCs/>
      <w:kern w:val="0"/>
      <w:szCs w:val="28"/>
    </w:rPr>
  </w:style>
  <w:style w:type="paragraph" w:styleId="7">
    <w:name w:val="heading 5"/>
    <w:basedOn w:val="1"/>
    <w:next w:val="1"/>
    <w:link w:val="58"/>
    <w:qFormat/>
    <w:uiPriority w:val="0"/>
    <w:pPr>
      <w:keepNext/>
      <w:keepLines/>
      <w:widowControl/>
      <w:tabs>
        <w:tab w:val="left" w:pos="1008"/>
      </w:tabs>
      <w:spacing w:before="280" w:after="290" w:line="376" w:lineRule="auto"/>
      <w:ind w:left="1008" w:hanging="1008"/>
      <w:jc w:val="left"/>
      <w:outlineLvl w:val="4"/>
    </w:pPr>
    <w:rPr>
      <w:b/>
      <w:bCs/>
      <w:kern w:val="0"/>
      <w:szCs w:val="28"/>
    </w:rPr>
  </w:style>
  <w:style w:type="paragraph" w:styleId="8">
    <w:name w:val="heading 6"/>
    <w:basedOn w:val="1"/>
    <w:next w:val="1"/>
    <w:link w:val="59"/>
    <w:qFormat/>
    <w:uiPriority w:val="0"/>
    <w:pPr>
      <w:keepNext/>
      <w:keepLines/>
      <w:widowControl/>
      <w:tabs>
        <w:tab w:val="left" w:pos="1152"/>
      </w:tabs>
      <w:spacing w:before="240" w:after="64" w:line="320" w:lineRule="auto"/>
      <w:ind w:left="1152" w:hanging="1152"/>
      <w:jc w:val="left"/>
      <w:outlineLvl w:val="5"/>
    </w:pPr>
    <w:rPr>
      <w:rFonts w:ascii="Arial" w:hAnsi="Arial" w:eastAsia="黑体"/>
      <w:b/>
      <w:bCs/>
      <w:kern w:val="0"/>
      <w:sz w:val="24"/>
      <w:szCs w:val="24"/>
    </w:rPr>
  </w:style>
  <w:style w:type="paragraph" w:styleId="9">
    <w:name w:val="heading 7"/>
    <w:basedOn w:val="1"/>
    <w:next w:val="1"/>
    <w:link w:val="60"/>
    <w:qFormat/>
    <w:uiPriority w:val="0"/>
    <w:pPr>
      <w:keepNext/>
      <w:keepLines/>
      <w:widowControl/>
      <w:tabs>
        <w:tab w:val="left" w:pos="1296"/>
      </w:tabs>
      <w:spacing w:before="240" w:after="64" w:line="320" w:lineRule="auto"/>
      <w:ind w:left="1296" w:hanging="1296"/>
      <w:jc w:val="left"/>
      <w:outlineLvl w:val="6"/>
    </w:pPr>
    <w:rPr>
      <w:b/>
      <w:bCs/>
      <w:kern w:val="0"/>
      <w:sz w:val="24"/>
      <w:szCs w:val="24"/>
    </w:rPr>
  </w:style>
  <w:style w:type="paragraph" w:styleId="10">
    <w:name w:val="heading 8"/>
    <w:basedOn w:val="1"/>
    <w:next w:val="1"/>
    <w:link w:val="61"/>
    <w:qFormat/>
    <w:uiPriority w:val="0"/>
    <w:pPr>
      <w:keepNext/>
      <w:keepLines/>
      <w:widowControl/>
      <w:tabs>
        <w:tab w:val="left" w:pos="1440"/>
      </w:tabs>
      <w:spacing w:before="240" w:after="64" w:line="320" w:lineRule="auto"/>
      <w:ind w:left="1440" w:hanging="1440"/>
      <w:jc w:val="left"/>
      <w:outlineLvl w:val="7"/>
    </w:pPr>
    <w:rPr>
      <w:rFonts w:ascii="Arial" w:hAnsi="Arial" w:eastAsia="黑体"/>
      <w:kern w:val="0"/>
      <w:sz w:val="24"/>
      <w:szCs w:val="24"/>
    </w:rPr>
  </w:style>
  <w:style w:type="paragraph" w:styleId="11">
    <w:name w:val="heading 9"/>
    <w:basedOn w:val="1"/>
    <w:next w:val="1"/>
    <w:link w:val="62"/>
    <w:qFormat/>
    <w:uiPriority w:val="0"/>
    <w:pPr>
      <w:keepNext/>
      <w:keepLines/>
      <w:widowControl/>
      <w:tabs>
        <w:tab w:val="left" w:pos="1584"/>
      </w:tabs>
      <w:spacing w:before="240" w:after="64" w:line="320" w:lineRule="auto"/>
      <w:ind w:left="1584" w:hanging="1584"/>
      <w:jc w:val="left"/>
      <w:outlineLvl w:val="8"/>
    </w:pPr>
    <w:rPr>
      <w:rFonts w:ascii="Arial" w:hAnsi="Arial" w:eastAsia="黑体"/>
      <w:kern w:val="0"/>
      <w:sz w:val="20"/>
      <w:szCs w:val="20"/>
    </w:rPr>
  </w:style>
  <w:style w:type="character" w:default="1" w:styleId="47">
    <w:name w:val="Default Paragraph Font"/>
    <w:semiHidden/>
    <w:unhideWhenUsed/>
    <w:qFormat/>
    <w:uiPriority w:val="1"/>
  </w:style>
  <w:style w:type="table" w:default="1" w:styleId="45">
    <w:name w:val="Normal Table"/>
    <w:semiHidden/>
    <w:unhideWhenUsed/>
    <w:qFormat/>
    <w:uiPriority w:val="99"/>
    <w:tblPr>
      <w:tblCellMar>
        <w:top w:w="0" w:type="dxa"/>
        <w:left w:w="108" w:type="dxa"/>
        <w:bottom w:w="0" w:type="dxa"/>
        <w:right w:w="108" w:type="dxa"/>
      </w:tblCellMar>
    </w:tblPr>
  </w:style>
  <w:style w:type="paragraph" w:styleId="2">
    <w:name w:val="Body Text Indent 3"/>
    <w:basedOn w:val="1"/>
    <w:link w:val="72"/>
    <w:qFormat/>
    <w:uiPriority w:val="0"/>
    <w:pPr>
      <w:spacing w:after="120"/>
      <w:ind w:left="420" w:leftChars="200"/>
    </w:pPr>
    <w:rPr>
      <w:kern w:val="0"/>
      <w:sz w:val="16"/>
      <w:szCs w:val="16"/>
    </w:rPr>
  </w:style>
  <w:style w:type="paragraph" w:styleId="12">
    <w:name w:val="toc 7"/>
    <w:basedOn w:val="1"/>
    <w:next w:val="1"/>
    <w:qFormat/>
    <w:uiPriority w:val="0"/>
    <w:pPr>
      <w:spacing w:line="240" w:lineRule="auto"/>
      <w:ind w:left="2520" w:leftChars="1200" w:firstLine="0" w:firstLineChars="0"/>
    </w:pPr>
    <w:rPr>
      <w:rFonts w:ascii="Calibri" w:hAnsi="Calibri" w:eastAsia="宋体"/>
      <w:sz w:val="21"/>
    </w:rPr>
  </w:style>
  <w:style w:type="paragraph" w:styleId="13">
    <w:name w:val="Normal Indent"/>
    <w:basedOn w:val="1"/>
    <w:link w:val="63"/>
    <w:qFormat/>
    <w:uiPriority w:val="0"/>
    <w:pPr>
      <w:ind w:firstLine="420"/>
    </w:pPr>
    <w:rPr>
      <w:szCs w:val="21"/>
    </w:rPr>
  </w:style>
  <w:style w:type="paragraph" w:styleId="14">
    <w:name w:val="caption"/>
    <w:basedOn w:val="1"/>
    <w:next w:val="1"/>
    <w:qFormat/>
    <w:uiPriority w:val="0"/>
    <w:pPr>
      <w:spacing w:line="480" w:lineRule="auto"/>
      <w:ind w:firstLine="0" w:firstLineChars="0"/>
    </w:pPr>
    <w:rPr>
      <w:rFonts w:ascii="华文中宋" w:hAnsi="华文中宋" w:eastAsia="华文中宋"/>
      <w:sz w:val="36"/>
      <w:szCs w:val="20"/>
    </w:rPr>
  </w:style>
  <w:style w:type="paragraph" w:styleId="15">
    <w:name w:val="List Bullet"/>
    <w:basedOn w:val="1"/>
    <w:qFormat/>
    <w:uiPriority w:val="0"/>
    <w:pPr>
      <w:tabs>
        <w:tab w:val="left" w:pos="360"/>
      </w:tabs>
      <w:ind w:left="360" w:hanging="200" w:hangingChars="200"/>
    </w:pPr>
    <w:rPr>
      <w:szCs w:val="21"/>
    </w:rPr>
  </w:style>
  <w:style w:type="paragraph" w:styleId="16">
    <w:name w:val="Document Map"/>
    <w:basedOn w:val="1"/>
    <w:link w:val="64"/>
    <w:qFormat/>
    <w:uiPriority w:val="0"/>
    <w:rPr>
      <w:rFonts w:ascii="宋体"/>
      <w:sz w:val="18"/>
      <w:szCs w:val="18"/>
    </w:rPr>
  </w:style>
  <w:style w:type="paragraph" w:styleId="17">
    <w:name w:val="toa heading"/>
    <w:basedOn w:val="1"/>
    <w:next w:val="1"/>
    <w:qFormat/>
    <w:uiPriority w:val="0"/>
    <w:pPr>
      <w:spacing w:before="120" w:line="240" w:lineRule="auto"/>
    </w:pPr>
    <w:rPr>
      <w:rFonts w:ascii="Arial" w:hAnsi="Arial" w:eastAsia="宋体" w:cs="Arial"/>
      <w:sz w:val="24"/>
      <w:szCs w:val="24"/>
    </w:rPr>
  </w:style>
  <w:style w:type="paragraph" w:styleId="18">
    <w:name w:val="annotation text"/>
    <w:basedOn w:val="1"/>
    <w:link w:val="65"/>
    <w:qFormat/>
    <w:uiPriority w:val="0"/>
    <w:pPr>
      <w:jc w:val="left"/>
    </w:pPr>
    <w:rPr>
      <w:kern w:val="0"/>
      <w:szCs w:val="28"/>
    </w:rPr>
  </w:style>
  <w:style w:type="paragraph" w:styleId="19">
    <w:name w:val="Body Text"/>
    <w:basedOn w:val="1"/>
    <w:link w:val="66"/>
    <w:qFormat/>
    <w:uiPriority w:val="0"/>
    <w:pPr>
      <w:spacing w:line="420" w:lineRule="auto"/>
    </w:pPr>
    <w:rPr>
      <w:kern w:val="0"/>
      <w:sz w:val="24"/>
      <w:szCs w:val="24"/>
    </w:rPr>
  </w:style>
  <w:style w:type="paragraph" w:styleId="20">
    <w:name w:val="Body Text Indent"/>
    <w:basedOn w:val="1"/>
    <w:next w:val="21"/>
    <w:link w:val="67"/>
    <w:qFormat/>
    <w:uiPriority w:val="0"/>
    <w:pPr>
      <w:ind w:firstLine="600"/>
    </w:pPr>
    <w:rPr>
      <w:kern w:val="0"/>
      <w:sz w:val="20"/>
      <w:szCs w:val="20"/>
    </w:rPr>
  </w:style>
  <w:style w:type="paragraph" w:styleId="21">
    <w:name w:val="Body Text First Indent 2"/>
    <w:basedOn w:val="20"/>
    <w:link w:val="132"/>
    <w:qFormat/>
    <w:uiPriority w:val="0"/>
    <w:pPr>
      <w:spacing w:after="120" w:line="240" w:lineRule="auto"/>
      <w:ind w:left="200" w:leftChars="200" w:firstLine="420" w:firstLineChars="0"/>
    </w:pPr>
    <w:rPr>
      <w:rFonts w:hint="eastAsia" w:ascii="Calibri" w:hAnsi="Calibri" w:eastAsia="宋体"/>
      <w:kern w:val="2"/>
      <w:sz w:val="21"/>
      <w:szCs w:val="24"/>
    </w:rPr>
  </w:style>
  <w:style w:type="paragraph" w:styleId="22">
    <w:name w:val="Block Text"/>
    <w:basedOn w:val="1"/>
    <w:qFormat/>
    <w:uiPriority w:val="0"/>
    <w:pPr>
      <w:adjustRightInd w:val="0"/>
      <w:spacing w:line="240" w:lineRule="auto"/>
      <w:ind w:left="420" w:right="33" w:firstLine="0" w:firstLineChars="0"/>
      <w:jc w:val="left"/>
      <w:textAlignment w:val="baseline"/>
    </w:pPr>
    <w:rPr>
      <w:rFonts w:eastAsia="宋体"/>
      <w:kern w:val="0"/>
      <w:sz w:val="24"/>
      <w:szCs w:val="20"/>
    </w:rPr>
  </w:style>
  <w:style w:type="paragraph" w:styleId="23">
    <w:name w:val="index 4"/>
    <w:basedOn w:val="1"/>
    <w:next w:val="1"/>
    <w:qFormat/>
    <w:uiPriority w:val="0"/>
    <w:pPr>
      <w:spacing w:line="240" w:lineRule="auto"/>
      <w:ind w:left="600" w:leftChars="600" w:firstLine="0" w:firstLineChars="0"/>
    </w:pPr>
    <w:rPr>
      <w:rFonts w:eastAsia="宋体"/>
      <w:sz w:val="21"/>
      <w:szCs w:val="24"/>
    </w:rPr>
  </w:style>
  <w:style w:type="paragraph" w:styleId="24">
    <w:name w:val="toc 5"/>
    <w:basedOn w:val="1"/>
    <w:next w:val="1"/>
    <w:qFormat/>
    <w:uiPriority w:val="0"/>
    <w:pPr>
      <w:tabs>
        <w:tab w:val="right" w:leader="dot" w:pos="8296"/>
      </w:tabs>
      <w:spacing w:line="240" w:lineRule="auto"/>
      <w:ind w:left="1050" w:leftChars="500" w:firstLine="0" w:firstLineChars="0"/>
    </w:pPr>
    <w:rPr>
      <w:rFonts w:ascii="Calibri" w:hAnsi="Calibri" w:eastAsia="宋体"/>
      <w:sz w:val="21"/>
    </w:rPr>
  </w:style>
  <w:style w:type="paragraph" w:styleId="25">
    <w:name w:val="toc 3"/>
    <w:basedOn w:val="1"/>
    <w:next w:val="1"/>
    <w:qFormat/>
    <w:uiPriority w:val="39"/>
    <w:pPr>
      <w:ind w:left="840" w:leftChars="400"/>
    </w:pPr>
    <w:rPr>
      <w:szCs w:val="21"/>
    </w:rPr>
  </w:style>
  <w:style w:type="paragraph" w:styleId="26">
    <w:name w:val="Plain Text"/>
    <w:basedOn w:val="1"/>
    <w:link w:val="68"/>
    <w:qFormat/>
    <w:uiPriority w:val="0"/>
    <w:rPr>
      <w:rFonts w:ascii="宋体" w:hAnsi="Courier New"/>
      <w:kern w:val="0"/>
      <w:szCs w:val="21"/>
    </w:rPr>
  </w:style>
  <w:style w:type="paragraph" w:styleId="27">
    <w:name w:val="toc 8"/>
    <w:basedOn w:val="1"/>
    <w:next w:val="1"/>
    <w:qFormat/>
    <w:uiPriority w:val="0"/>
    <w:pPr>
      <w:spacing w:line="240" w:lineRule="auto"/>
      <w:ind w:left="2940" w:leftChars="1400" w:firstLine="0" w:firstLineChars="0"/>
    </w:pPr>
    <w:rPr>
      <w:rFonts w:ascii="Calibri" w:hAnsi="Calibri" w:eastAsia="宋体"/>
      <w:sz w:val="21"/>
    </w:rPr>
  </w:style>
  <w:style w:type="paragraph" w:styleId="28">
    <w:name w:val="Date"/>
    <w:basedOn w:val="1"/>
    <w:next w:val="1"/>
    <w:link w:val="133"/>
    <w:qFormat/>
    <w:uiPriority w:val="0"/>
    <w:pPr>
      <w:spacing w:line="240" w:lineRule="auto"/>
      <w:ind w:left="100" w:leftChars="2500" w:firstLine="0" w:firstLineChars="0"/>
    </w:pPr>
    <w:rPr>
      <w:rFonts w:eastAsia="宋体"/>
      <w:sz w:val="21"/>
      <w:szCs w:val="24"/>
    </w:rPr>
  </w:style>
  <w:style w:type="paragraph" w:styleId="29">
    <w:name w:val="Body Text Indent 2"/>
    <w:basedOn w:val="1"/>
    <w:link w:val="134"/>
    <w:qFormat/>
    <w:uiPriority w:val="0"/>
    <w:pPr>
      <w:widowControl/>
      <w:spacing w:after="120" w:line="480" w:lineRule="auto"/>
      <w:ind w:left="420" w:leftChars="200" w:firstLine="0" w:firstLineChars="0"/>
      <w:jc w:val="left"/>
    </w:pPr>
    <w:rPr>
      <w:rFonts w:eastAsia="宋体"/>
      <w:kern w:val="0"/>
      <w:sz w:val="20"/>
      <w:szCs w:val="20"/>
    </w:rPr>
  </w:style>
  <w:style w:type="paragraph" w:styleId="30">
    <w:name w:val="Balloon Text"/>
    <w:basedOn w:val="1"/>
    <w:link w:val="69"/>
    <w:qFormat/>
    <w:uiPriority w:val="0"/>
    <w:rPr>
      <w:kern w:val="0"/>
      <w:sz w:val="18"/>
      <w:szCs w:val="18"/>
    </w:rPr>
  </w:style>
  <w:style w:type="paragraph" w:styleId="31">
    <w:name w:val="footer"/>
    <w:basedOn w:val="1"/>
    <w:link w:val="70"/>
    <w:qFormat/>
    <w:uiPriority w:val="0"/>
    <w:pPr>
      <w:tabs>
        <w:tab w:val="center" w:pos="4153"/>
        <w:tab w:val="right" w:pos="8306"/>
      </w:tabs>
      <w:snapToGrid w:val="0"/>
      <w:jc w:val="left"/>
    </w:pPr>
    <w:rPr>
      <w:kern w:val="0"/>
      <w:sz w:val="18"/>
      <w:szCs w:val="18"/>
    </w:rPr>
  </w:style>
  <w:style w:type="paragraph" w:styleId="32">
    <w:name w:val="header"/>
    <w:basedOn w:val="1"/>
    <w:link w:val="71"/>
    <w:qFormat/>
    <w:uiPriority w:val="0"/>
    <w:pPr>
      <w:pBdr>
        <w:bottom w:val="single" w:color="auto" w:sz="6" w:space="1"/>
      </w:pBdr>
      <w:tabs>
        <w:tab w:val="center" w:pos="4153"/>
        <w:tab w:val="right" w:pos="8306"/>
      </w:tabs>
      <w:snapToGrid w:val="0"/>
      <w:jc w:val="center"/>
    </w:pPr>
    <w:rPr>
      <w:kern w:val="0"/>
      <w:sz w:val="18"/>
      <w:szCs w:val="18"/>
    </w:rPr>
  </w:style>
  <w:style w:type="paragraph" w:styleId="33">
    <w:name w:val="toc 1"/>
    <w:basedOn w:val="1"/>
    <w:next w:val="1"/>
    <w:qFormat/>
    <w:uiPriority w:val="39"/>
    <w:rPr>
      <w:szCs w:val="21"/>
    </w:rPr>
  </w:style>
  <w:style w:type="paragraph" w:styleId="34">
    <w:name w:val="toc 4"/>
    <w:basedOn w:val="1"/>
    <w:next w:val="1"/>
    <w:qFormat/>
    <w:uiPriority w:val="0"/>
    <w:pPr>
      <w:widowControl/>
      <w:spacing w:line="240" w:lineRule="auto"/>
      <w:ind w:firstLine="499" w:firstLineChars="207"/>
      <w:jc w:val="left"/>
    </w:pPr>
    <w:rPr>
      <w:rFonts w:ascii="宋体" w:hAnsi="宋体" w:eastAsia="宋体"/>
      <w:b/>
      <w:bCs/>
      <w:color w:val="000000"/>
      <w:kern w:val="0"/>
      <w:sz w:val="24"/>
      <w:szCs w:val="21"/>
    </w:rPr>
  </w:style>
  <w:style w:type="paragraph" w:styleId="35">
    <w:name w:val="Subtitle"/>
    <w:basedOn w:val="1"/>
    <w:next w:val="1"/>
    <w:link w:val="135"/>
    <w:qFormat/>
    <w:uiPriority w:val="0"/>
    <w:pPr>
      <w:spacing w:before="240" w:after="60" w:line="312" w:lineRule="auto"/>
      <w:ind w:firstLine="0" w:firstLineChars="0"/>
      <w:jc w:val="center"/>
      <w:outlineLvl w:val="1"/>
    </w:pPr>
    <w:rPr>
      <w:rFonts w:ascii="Cambria" w:hAnsi="Cambria" w:eastAsia="宋体"/>
      <w:b/>
      <w:bCs/>
      <w:kern w:val="28"/>
      <w:sz w:val="32"/>
      <w:szCs w:val="32"/>
    </w:rPr>
  </w:style>
  <w:style w:type="paragraph" w:styleId="36">
    <w:name w:val="toc 6"/>
    <w:basedOn w:val="1"/>
    <w:next w:val="1"/>
    <w:qFormat/>
    <w:uiPriority w:val="0"/>
    <w:pPr>
      <w:spacing w:line="240" w:lineRule="auto"/>
      <w:ind w:left="2100" w:leftChars="1000" w:firstLine="0" w:firstLineChars="0"/>
    </w:pPr>
    <w:rPr>
      <w:rFonts w:ascii="Calibri" w:hAnsi="Calibri" w:eastAsia="宋体"/>
      <w:sz w:val="21"/>
    </w:rPr>
  </w:style>
  <w:style w:type="paragraph" w:styleId="37">
    <w:name w:val="toc 2"/>
    <w:basedOn w:val="1"/>
    <w:next w:val="1"/>
    <w:qFormat/>
    <w:uiPriority w:val="39"/>
    <w:pPr>
      <w:tabs>
        <w:tab w:val="right" w:leader="dot" w:pos="8947"/>
      </w:tabs>
      <w:spacing w:line="240" w:lineRule="auto"/>
      <w:ind w:left="420" w:leftChars="200" w:firstLine="0" w:firstLineChars="0"/>
    </w:pPr>
    <w:rPr>
      <w:rFonts w:ascii="黑体" w:hAnsi="黑体" w:eastAsia="宋体"/>
      <w:sz w:val="21"/>
      <w:szCs w:val="24"/>
      <w:shd w:val="pct10" w:color="auto" w:fill="FFFFFF"/>
    </w:rPr>
  </w:style>
  <w:style w:type="paragraph" w:styleId="38">
    <w:name w:val="toc 9"/>
    <w:basedOn w:val="1"/>
    <w:next w:val="1"/>
    <w:qFormat/>
    <w:uiPriority w:val="0"/>
    <w:pPr>
      <w:spacing w:line="240" w:lineRule="auto"/>
      <w:ind w:left="3360" w:leftChars="1600" w:firstLine="0" w:firstLineChars="0"/>
    </w:pPr>
    <w:rPr>
      <w:rFonts w:ascii="Calibri" w:hAnsi="Calibri" w:eastAsia="宋体"/>
      <w:sz w:val="21"/>
    </w:rPr>
  </w:style>
  <w:style w:type="paragraph" w:styleId="39">
    <w:name w:val="Body Text 2"/>
    <w:basedOn w:val="1"/>
    <w:link w:val="73"/>
    <w:qFormat/>
    <w:uiPriority w:val="0"/>
    <w:pPr>
      <w:spacing w:after="120" w:line="480" w:lineRule="auto"/>
    </w:pPr>
    <w:rPr>
      <w:kern w:val="0"/>
      <w:sz w:val="24"/>
      <w:szCs w:val="24"/>
    </w:rPr>
  </w:style>
  <w:style w:type="paragraph" w:styleId="40">
    <w:name w:val="HTML Preformatted"/>
    <w:basedOn w:val="1"/>
    <w:link w:val="136"/>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firstLineChars="0"/>
      <w:jc w:val="left"/>
    </w:pPr>
    <w:rPr>
      <w:rFonts w:ascii="宋体" w:hAnsi="宋体" w:eastAsia="宋体" w:cs="宋体"/>
      <w:kern w:val="0"/>
      <w:sz w:val="24"/>
      <w:szCs w:val="24"/>
    </w:rPr>
  </w:style>
  <w:style w:type="paragraph" w:styleId="41">
    <w:name w:val="Normal (Web)"/>
    <w:basedOn w:val="1"/>
    <w:qFormat/>
    <w:uiPriority w:val="0"/>
    <w:rPr>
      <w:sz w:val="24"/>
      <w:szCs w:val="24"/>
    </w:rPr>
  </w:style>
  <w:style w:type="paragraph" w:styleId="42">
    <w:name w:val="index 1"/>
    <w:basedOn w:val="1"/>
    <w:next w:val="1"/>
    <w:qFormat/>
    <w:uiPriority w:val="0"/>
    <w:pPr>
      <w:spacing w:line="240" w:lineRule="auto"/>
      <w:ind w:firstLine="0" w:firstLineChars="0"/>
    </w:pPr>
    <w:rPr>
      <w:rFonts w:eastAsia="宋体"/>
      <w:sz w:val="21"/>
      <w:szCs w:val="24"/>
    </w:rPr>
  </w:style>
  <w:style w:type="paragraph" w:styleId="43">
    <w:name w:val="Title"/>
    <w:basedOn w:val="1"/>
    <w:next w:val="1"/>
    <w:link w:val="74"/>
    <w:qFormat/>
    <w:uiPriority w:val="0"/>
    <w:pPr>
      <w:spacing w:before="240" w:after="60"/>
      <w:jc w:val="center"/>
      <w:outlineLvl w:val="0"/>
    </w:pPr>
    <w:rPr>
      <w:rFonts w:ascii="Cambria" w:hAnsi="Cambria"/>
      <w:b/>
      <w:bCs/>
      <w:kern w:val="0"/>
      <w:sz w:val="32"/>
      <w:szCs w:val="32"/>
    </w:rPr>
  </w:style>
  <w:style w:type="paragraph" w:styleId="44">
    <w:name w:val="annotation subject"/>
    <w:basedOn w:val="18"/>
    <w:next w:val="18"/>
    <w:link w:val="137"/>
    <w:qFormat/>
    <w:uiPriority w:val="0"/>
    <w:pPr>
      <w:spacing w:line="240" w:lineRule="auto"/>
      <w:ind w:firstLine="0" w:firstLineChars="0"/>
    </w:pPr>
    <w:rPr>
      <w:rFonts w:ascii="宋体" w:eastAsia="宋体"/>
      <w:b/>
      <w:bCs/>
      <w:szCs w:val="20"/>
    </w:rPr>
  </w:style>
  <w:style w:type="table" w:styleId="46">
    <w:name w:val="Table Grid"/>
    <w:basedOn w:val="45"/>
    <w:qFormat/>
    <w:uiPriority w:val="0"/>
    <w:rPr>
      <w:rFonts w:ascii="Times New Roman" w:hAnsi="Times New Roman" w:eastAsia="宋体"/>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48">
    <w:name w:val="Strong"/>
    <w:qFormat/>
    <w:uiPriority w:val="0"/>
    <w:rPr>
      <w:b/>
      <w:bCs/>
    </w:rPr>
  </w:style>
  <w:style w:type="character" w:styleId="49">
    <w:name w:val="page number"/>
    <w:qFormat/>
    <w:uiPriority w:val="0"/>
  </w:style>
  <w:style w:type="character" w:styleId="50">
    <w:name w:val="FollowedHyperlink"/>
    <w:qFormat/>
    <w:uiPriority w:val="0"/>
    <w:rPr>
      <w:color w:val="800080"/>
      <w:u w:val="single"/>
    </w:rPr>
  </w:style>
  <w:style w:type="character" w:styleId="51">
    <w:name w:val="Emphasis"/>
    <w:qFormat/>
    <w:uiPriority w:val="0"/>
    <w:rPr>
      <w:i/>
      <w:iCs/>
    </w:rPr>
  </w:style>
  <w:style w:type="character" w:styleId="52">
    <w:name w:val="Hyperlink"/>
    <w:qFormat/>
    <w:uiPriority w:val="99"/>
    <w:rPr>
      <w:color w:val="0000FF"/>
      <w:u w:val="single"/>
    </w:rPr>
  </w:style>
  <w:style w:type="character" w:styleId="53">
    <w:name w:val="annotation reference"/>
    <w:qFormat/>
    <w:uiPriority w:val="0"/>
    <w:rPr>
      <w:sz w:val="21"/>
      <w:szCs w:val="21"/>
    </w:rPr>
  </w:style>
  <w:style w:type="character" w:customStyle="1" w:styleId="54">
    <w:name w:val="标题 1 字符"/>
    <w:link w:val="3"/>
    <w:qFormat/>
    <w:uiPriority w:val="0"/>
    <w:rPr>
      <w:rFonts w:ascii="Times New Roman" w:hAnsi="Times New Roman" w:eastAsia="仿宋_GB2312" w:cs="Times New Roman"/>
      <w:b/>
      <w:bCs/>
      <w:kern w:val="44"/>
      <w:sz w:val="44"/>
      <w:szCs w:val="44"/>
    </w:rPr>
  </w:style>
  <w:style w:type="character" w:customStyle="1" w:styleId="55">
    <w:name w:val="标题 2 字符"/>
    <w:link w:val="4"/>
    <w:qFormat/>
    <w:uiPriority w:val="0"/>
    <w:rPr>
      <w:rFonts w:ascii="Cambria" w:hAnsi="Cambria" w:eastAsia="仿宋_GB2312" w:cs="Times New Roman"/>
      <w:b/>
      <w:bCs/>
      <w:kern w:val="0"/>
      <w:sz w:val="28"/>
      <w:szCs w:val="28"/>
    </w:rPr>
  </w:style>
  <w:style w:type="character" w:customStyle="1" w:styleId="56">
    <w:name w:val="标题 3 字符"/>
    <w:link w:val="5"/>
    <w:qFormat/>
    <w:uiPriority w:val="0"/>
    <w:rPr>
      <w:rFonts w:ascii="Times New Roman" w:hAnsi="Times New Roman" w:eastAsia="仿宋_GB2312" w:cs="Times New Roman"/>
      <w:b/>
      <w:bCs/>
      <w:kern w:val="0"/>
      <w:sz w:val="32"/>
      <w:szCs w:val="32"/>
    </w:rPr>
  </w:style>
  <w:style w:type="character" w:customStyle="1" w:styleId="57">
    <w:name w:val="标题 4 字符"/>
    <w:link w:val="6"/>
    <w:qFormat/>
    <w:uiPriority w:val="0"/>
    <w:rPr>
      <w:rFonts w:ascii="Cambria" w:hAnsi="Cambria" w:eastAsia="仿宋_GB2312" w:cs="Times New Roman"/>
      <w:b/>
      <w:bCs/>
      <w:kern w:val="0"/>
      <w:sz w:val="28"/>
      <w:szCs w:val="28"/>
    </w:rPr>
  </w:style>
  <w:style w:type="character" w:customStyle="1" w:styleId="58">
    <w:name w:val="标题 5 字符"/>
    <w:link w:val="7"/>
    <w:qFormat/>
    <w:uiPriority w:val="0"/>
    <w:rPr>
      <w:rFonts w:ascii="Times New Roman" w:hAnsi="Times New Roman" w:eastAsia="仿宋_GB2312" w:cs="Times New Roman"/>
      <w:b/>
      <w:bCs/>
      <w:kern w:val="0"/>
      <w:sz w:val="28"/>
      <w:szCs w:val="28"/>
    </w:rPr>
  </w:style>
  <w:style w:type="character" w:customStyle="1" w:styleId="59">
    <w:name w:val="标题 6 字符"/>
    <w:link w:val="8"/>
    <w:qFormat/>
    <w:uiPriority w:val="0"/>
    <w:rPr>
      <w:rFonts w:ascii="Arial" w:hAnsi="Arial" w:eastAsia="黑体" w:cs="Times New Roman"/>
      <w:b/>
      <w:bCs/>
      <w:kern w:val="0"/>
      <w:sz w:val="24"/>
      <w:szCs w:val="24"/>
    </w:rPr>
  </w:style>
  <w:style w:type="character" w:customStyle="1" w:styleId="60">
    <w:name w:val="标题 7 字符"/>
    <w:link w:val="9"/>
    <w:qFormat/>
    <w:uiPriority w:val="0"/>
    <w:rPr>
      <w:rFonts w:ascii="Times New Roman" w:hAnsi="Times New Roman" w:eastAsia="仿宋_GB2312" w:cs="Times New Roman"/>
      <w:b/>
      <w:bCs/>
      <w:kern w:val="0"/>
      <w:sz w:val="24"/>
      <w:szCs w:val="24"/>
    </w:rPr>
  </w:style>
  <w:style w:type="character" w:customStyle="1" w:styleId="61">
    <w:name w:val="标题 8 字符"/>
    <w:link w:val="10"/>
    <w:qFormat/>
    <w:uiPriority w:val="0"/>
    <w:rPr>
      <w:rFonts w:ascii="Arial" w:hAnsi="Arial" w:eastAsia="黑体" w:cs="Times New Roman"/>
      <w:kern w:val="0"/>
      <w:sz w:val="24"/>
      <w:szCs w:val="24"/>
    </w:rPr>
  </w:style>
  <w:style w:type="character" w:customStyle="1" w:styleId="62">
    <w:name w:val="标题 9 字符"/>
    <w:link w:val="11"/>
    <w:qFormat/>
    <w:uiPriority w:val="0"/>
    <w:rPr>
      <w:rFonts w:ascii="Arial" w:hAnsi="Arial" w:eastAsia="黑体" w:cs="Times New Roman"/>
      <w:kern w:val="0"/>
      <w:sz w:val="20"/>
      <w:szCs w:val="20"/>
    </w:rPr>
  </w:style>
  <w:style w:type="character" w:customStyle="1" w:styleId="63">
    <w:name w:val="正文缩进 字符"/>
    <w:link w:val="13"/>
    <w:qFormat/>
    <w:locked/>
    <w:uiPriority w:val="0"/>
    <w:rPr>
      <w:rFonts w:ascii="Times New Roman" w:hAnsi="Times New Roman" w:eastAsia="仿宋_GB2312" w:cs="Times New Roman"/>
      <w:sz w:val="28"/>
      <w:szCs w:val="21"/>
    </w:rPr>
  </w:style>
  <w:style w:type="character" w:customStyle="1" w:styleId="64">
    <w:name w:val="文档结构图 字符"/>
    <w:link w:val="16"/>
    <w:qFormat/>
    <w:uiPriority w:val="0"/>
    <w:rPr>
      <w:rFonts w:ascii="宋体" w:hAnsi="Times New Roman" w:eastAsia="仿宋_GB2312" w:cs="Times New Roman"/>
      <w:sz w:val="18"/>
      <w:szCs w:val="18"/>
    </w:rPr>
  </w:style>
  <w:style w:type="character" w:customStyle="1" w:styleId="65">
    <w:name w:val="批注文字 字符"/>
    <w:link w:val="18"/>
    <w:qFormat/>
    <w:uiPriority w:val="0"/>
    <w:rPr>
      <w:rFonts w:ascii="Times New Roman" w:hAnsi="Times New Roman" w:eastAsia="仿宋_GB2312" w:cs="Times New Roman"/>
      <w:kern w:val="0"/>
      <w:sz w:val="28"/>
      <w:szCs w:val="28"/>
    </w:rPr>
  </w:style>
  <w:style w:type="character" w:customStyle="1" w:styleId="66">
    <w:name w:val="正文文本 字符"/>
    <w:link w:val="19"/>
    <w:qFormat/>
    <w:uiPriority w:val="0"/>
    <w:rPr>
      <w:rFonts w:ascii="Times New Roman" w:hAnsi="Times New Roman" w:eastAsia="仿宋_GB2312" w:cs="Times New Roman"/>
      <w:kern w:val="0"/>
      <w:sz w:val="24"/>
      <w:szCs w:val="24"/>
    </w:rPr>
  </w:style>
  <w:style w:type="character" w:customStyle="1" w:styleId="67">
    <w:name w:val="正文文本缩进 字符"/>
    <w:link w:val="20"/>
    <w:qFormat/>
    <w:uiPriority w:val="0"/>
    <w:rPr>
      <w:rFonts w:ascii="Times New Roman" w:hAnsi="Times New Roman" w:eastAsia="仿宋_GB2312" w:cs="Times New Roman"/>
      <w:kern w:val="0"/>
      <w:sz w:val="20"/>
      <w:szCs w:val="20"/>
    </w:rPr>
  </w:style>
  <w:style w:type="character" w:customStyle="1" w:styleId="68">
    <w:name w:val="纯文本 字符"/>
    <w:link w:val="26"/>
    <w:qFormat/>
    <w:uiPriority w:val="0"/>
    <w:rPr>
      <w:rFonts w:ascii="宋体" w:hAnsi="Courier New" w:eastAsia="仿宋_GB2312" w:cs="Times New Roman"/>
      <w:kern w:val="0"/>
      <w:sz w:val="28"/>
      <w:szCs w:val="21"/>
    </w:rPr>
  </w:style>
  <w:style w:type="character" w:customStyle="1" w:styleId="69">
    <w:name w:val="批注框文本 字符"/>
    <w:link w:val="30"/>
    <w:qFormat/>
    <w:uiPriority w:val="0"/>
    <w:rPr>
      <w:rFonts w:ascii="Times New Roman" w:hAnsi="Times New Roman" w:eastAsia="仿宋_GB2312" w:cs="Times New Roman"/>
      <w:kern w:val="0"/>
      <w:sz w:val="18"/>
      <w:szCs w:val="18"/>
    </w:rPr>
  </w:style>
  <w:style w:type="character" w:customStyle="1" w:styleId="70">
    <w:name w:val="页脚 字符"/>
    <w:link w:val="31"/>
    <w:qFormat/>
    <w:uiPriority w:val="0"/>
    <w:rPr>
      <w:rFonts w:ascii="Times New Roman" w:hAnsi="Times New Roman" w:eastAsia="仿宋_GB2312" w:cs="Times New Roman"/>
      <w:kern w:val="0"/>
      <w:sz w:val="18"/>
      <w:szCs w:val="18"/>
    </w:rPr>
  </w:style>
  <w:style w:type="character" w:customStyle="1" w:styleId="71">
    <w:name w:val="页眉 字符"/>
    <w:link w:val="32"/>
    <w:qFormat/>
    <w:uiPriority w:val="0"/>
    <w:rPr>
      <w:rFonts w:ascii="Times New Roman" w:hAnsi="Times New Roman" w:eastAsia="仿宋_GB2312" w:cs="Times New Roman"/>
      <w:kern w:val="0"/>
      <w:sz w:val="18"/>
      <w:szCs w:val="18"/>
    </w:rPr>
  </w:style>
  <w:style w:type="character" w:customStyle="1" w:styleId="72">
    <w:name w:val="正文文本缩进 3 字符"/>
    <w:link w:val="2"/>
    <w:qFormat/>
    <w:uiPriority w:val="0"/>
    <w:rPr>
      <w:rFonts w:ascii="Times New Roman" w:hAnsi="Times New Roman" w:eastAsia="仿宋_GB2312" w:cs="Times New Roman"/>
      <w:kern w:val="0"/>
      <w:sz w:val="16"/>
      <w:szCs w:val="16"/>
    </w:rPr>
  </w:style>
  <w:style w:type="character" w:customStyle="1" w:styleId="73">
    <w:name w:val="正文文本 2 字符"/>
    <w:link w:val="39"/>
    <w:qFormat/>
    <w:uiPriority w:val="0"/>
    <w:rPr>
      <w:rFonts w:ascii="Times New Roman" w:hAnsi="Times New Roman" w:eastAsia="仿宋_GB2312" w:cs="Times New Roman"/>
      <w:kern w:val="0"/>
      <w:sz w:val="24"/>
      <w:szCs w:val="24"/>
    </w:rPr>
  </w:style>
  <w:style w:type="character" w:customStyle="1" w:styleId="74">
    <w:name w:val="标题 字符"/>
    <w:link w:val="43"/>
    <w:qFormat/>
    <w:uiPriority w:val="0"/>
    <w:rPr>
      <w:rFonts w:ascii="Cambria" w:hAnsi="Cambria" w:eastAsia="仿宋_GB2312" w:cs="Times New Roman"/>
      <w:b/>
      <w:bCs/>
      <w:kern w:val="0"/>
      <w:sz w:val="32"/>
      <w:szCs w:val="32"/>
    </w:rPr>
  </w:style>
  <w:style w:type="paragraph" w:styleId="75">
    <w:name w:val="List Paragraph"/>
    <w:basedOn w:val="1"/>
    <w:qFormat/>
    <w:uiPriority w:val="0"/>
    <w:pPr>
      <w:ind w:firstLine="420"/>
    </w:pPr>
    <w:rPr>
      <w:szCs w:val="28"/>
    </w:rPr>
  </w:style>
  <w:style w:type="character" w:customStyle="1" w:styleId="76">
    <w:name w:val="标题 4 Char"/>
    <w:qFormat/>
    <w:uiPriority w:val="0"/>
    <w:rPr>
      <w:rFonts w:ascii="Cambria" w:hAnsi="Cambria" w:cs="宋体"/>
      <w:b/>
      <w:bCs/>
      <w:kern w:val="2"/>
      <w:sz w:val="28"/>
      <w:szCs w:val="28"/>
    </w:rPr>
  </w:style>
  <w:style w:type="table" w:customStyle="1" w:styleId="77">
    <w:name w:val="网格型1"/>
    <w:basedOn w:val="45"/>
    <w:qFormat/>
    <w:uiPriority w:val="0"/>
    <w:rPr>
      <w:rFonts w:ascii="Times New Roman" w:hAnsi="Times New Roman" w:eastAsia="宋体" w:cs="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78">
    <w:name w:val="列出段落1"/>
    <w:basedOn w:val="1"/>
    <w:qFormat/>
    <w:uiPriority w:val="0"/>
    <w:pPr>
      <w:ind w:firstLine="420"/>
    </w:pPr>
    <w:rPr>
      <w:rFonts w:cs="Calibri"/>
      <w:szCs w:val="21"/>
    </w:rPr>
  </w:style>
  <w:style w:type="paragraph" w:customStyle="1" w:styleId="79">
    <w:name w:val="无间隔1"/>
    <w:qFormat/>
    <w:uiPriority w:val="0"/>
    <w:pPr>
      <w:widowControl w:val="0"/>
      <w:jc w:val="both"/>
    </w:pPr>
    <w:rPr>
      <w:rFonts w:ascii="Times New Roman" w:hAnsi="Times New Roman" w:eastAsia="宋体" w:cs="Calibri"/>
      <w:kern w:val="2"/>
      <w:sz w:val="21"/>
      <w:szCs w:val="21"/>
      <w:lang w:val="en-US" w:eastAsia="zh-CN" w:bidi="ar-SA"/>
    </w:rPr>
  </w:style>
  <w:style w:type="paragraph" w:customStyle="1" w:styleId="80">
    <w:name w:val="Char Char"/>
    <w:basedOn w:val="1"/>
    <w:qFormat/>
    <w:uiPriority w:val="0"/>
    <w:rPr>
      <w:rFonts w:ascii="Tahoma" w:hAnsi="Tahoma" w:cs="Tahoma"/>
      <w:sz w:val="24"/>
      <w:szCs w:val="24"/>
    </w:rPr>
  </w:style>
  <w:style w:type="paragraph" w:customStyle="1" w:styleId="81">
    <w:name w:val="大汉方案正文"/>
    <w:basedOn w:val="1"/>
    <w:qFormat/>
    <w:uiPriority w:val="0"/>
    <w:rPr>
      <w:rFonts w:ascii="Arial" w:hAnsi="Arial" w:cs="Arial"/>
      <w:sz w:val="24"/>
      <w:szCs w:val="24"/>
    </w:rPr>
  </w:style>
  <w:style w:type="character" w:customStyle="1" w:styleId="82">
    <w:name w:val="纯文本 Char1"/>
    <w:qFormat/>
    <w:uiPriority w:val="0"/>
    <w:rPr>
      <w:rFonts w:ascii="宋体" w:hAnsi="Courier New" w:cs="宋体"/>
      <w:kern w:val="2"/>
      <w:sz w:val="21"/>
      <w:szCs w:val="21"/>
    </w:rPr>
  </w:style>
  <w:style w:type="character" w:customStyle="1" w:styleId="83">
    <w:name w:val="批注文字 Char1"/>
    <w:qFormat/>
    <w:uiPriority w:val="0"/>
    <w:rPr>
      <w:rFonts w:ascii="Times New Roman" w:hAnsi="Times New Roman" w:eastAsia="宋体" w:cs="Times New Roman"/>
      <w:sz w:val="24"/>
      <w:szCs w:val="24"/>
    </w:rPr>
  </w:style>
  <w:style w:type="paragraph" w:customStyle="1" w:styleId="84">
    <w:name w:val="retrait3"/>
    <w:basedOn w:val="1"/>
    <w:qFormat/>
    <w:uiPriority w:val="0"/>
    <w:pPr>
      <w:widowControl/>
      <w:spacing w:before="20" w:after="20"/>
      <w:ind w:left="851"/>
      <w:jc w:val="left"/>
    </w:pPr>
    <w:rPr>
      <w:rFonts w:ascii="Arial" w:hAnsi="Arial" w:cs="Arial"/>
      <w:kern w:val="0"/>
      <w:sz w:val="24"/>
      <w:szCs w:val="24"/>
      <w:lang w:val="en-GB"/>
    </w:rPr>
  </w:style>
  <w:style w:type="character" w:customStyle="1" w:styleId="85">
    <w:name w:val="apple-converted-space"/>
    <w:qFormat/>
    <w:uiPriority w:val="0"/>
  </w:style>
  <w:style w:type="paragraph" w:customStyle="1" w:styleId="86">
    <w:name w:val="xl26"/>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4"/>
      <w:szCs w:val="24"/>
    </w:rPr>
  </w:style>
  <w:style w:type="paragraph" w:customStyle="1" w:styleId="87">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88">
    <w:name w:val="列出段落2"/>
    <w:basedOn w:val="1"/>
    <w:qFormat/>
    <w:uiPriority w:val="0"/>
    <w:pPr>
      <w:ind w:firstLine="420"/>
    </w:pPr>
    <w:rPr>
      <w:rFonts w:cs="Calibri"/>
      <w:szCs w:val="21"/>
    </w:rPr>
  </w:style>
  <w:style w:type="paragraph" w:customStyle="1" w:styleId="89">
    <w:name w:val="无间隔2"/>
    <w:qFormat/>
    <w:uiPriority w:val="0"/>
    <w:pPr>
      <w:widowControl w:val="0"/>
      <w:jc w:val="both"/>
    </w:pPr>
    <w:rPr>
      <w:rFonts w:ascii="Times New Roman" w:hAnsi="Times New Roman" w:eastAsia="宋体" w:cs="Calibri"/>
      <w:kern w:val="2"/>
      <w:sz w:val="21"/>
      <w:szCs w:val="21"/>
      <w:lang w:val="en-US" w:eastAsia="zh-CN" w:bidi="ar-SA"/>
    </w:rPr>
  </w:style>
  <w:style w:type="character" w:customStyle="1" w:styleId="90">
    <w:name w:val="标题 3 Char1"/>
    <w:qFormat/>
    <w:uiPriority w:val="0"/>
    <w:rPr>
      <w:rFonts w:ascii="Times New Roman" w:hAnsi="Times New Roman" w:eastAsia="宋体" w:cs="Times New Roman"/>
      <w:sz w:val="20"/>
      <w:szCs w:val="20"/>
    </w:rPr>
  </w:style>
  <w:style w:type="paragraph" w:customStyle="1" w:styleId="91">
    <w:name w:val="Char Char11 Char Char Char Char"/>
    <w:basedOn w:val="1"/>
    <w:qFormat/>
    <w:uiPriority w:val="0"/>
    <w:pPr>
      <w:tabs>
        <w:tab w:val="left" w:pos="360"/>
      </w:tabs>
    </w:pPr>
    <w:rPr>
      <w:szCs w:val="21"/>
    </w:rPr>
  </w:style>
  <w:style w:type="paragraph" w:customStyle="1" w:styleId="92">
    <w:name w:val="xl65"/>
    <w:basedOn w:val="1"/>
    <w:qFormat/>
    <w:uiPriority w:val="0"/>
    <w:pPr>
      <w:widowControl/>
      <w:spacing w:before="100" w:beforeAutospacing="1" w:after="100" w:afterAutospacing="1"/>
      <w:jc w:val="left"/>
      <w:textAlignment w:val="bottom"/>
    </w:pPr>
    <w:rPr>
      <w:rFonts w:ascii="宋体" w:hAnsi="宋体" w:cs="宋体"/>
      <w:kern w:val="0"/>
      <w:sz w:val="18"/>
      <w:szCs w:val="18"/>
    </w:rPr>
  </w:style>
  <w:style w:type="paragraph" w:customStyle="1" w:styleId="93">
    <w:name w:val="xl66"/>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94">
    <w:name w:val="xl67"/>
    <w:basedOn w:val="1"/>
    <w:qFormat/>
    <w:uiPriority w:val="0"/>
    <w:pPr>
      <w:widowControl/>
      <w:spacing w:before="100" w:beforeAutospacing="1" w:after="100" w:afterAutospacing="1"/>
      <w:jc w:val="left"/>
      <w:textAlignment w:val="bottom"/>
    </w:pPr>
    <w:rPr>
      <w:rFonts w:ascii="宋体" w:hAnsi="宋体" w:cs="宋体"/>
      <w:kern w:val="0"/>
      <w:sz w:val="18"/>
      <w:szCs w:val="18"/>
    </w:rPr>
  </w:style>
  <w:style w:type="paragraph" w:customStyle="1" w:styleId="95">
    <w:name w:val="xl68"/>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96">
    <w:name w:val="xl69"/>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97">
    <w:name w:val="xl70"/>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98">
    <w:name w:val="xl71"/>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99">
    <w:name w:val="xl72"/>
    <w:basedOn w:val="1"/>
    <w:qFormat/>
    <w:uiPriority w:val="0"/>
    <w:pPr>
      <w:widowControl/>
      <w:spacing w:before="100" w:beforeAutospacing="1" w:after="100" w:afterAutospacing="1"/>
      <w:jc w:val="left"/>
      <w:textAlignment w:val="bottom"/>
    </w:pPr>
    <w:rPr>
      <w:rFonts w:ascii="宋体" w:hAnsi="宋体" w:cs="宋体"/>
      <w:kern w:val="0"/>
      <w:sz w:val="16"/>
      <w:szCs w:val="16"/>
    </w:rPr>
  </w:style>
  <w:style w:type="paragraph" w:customStyle="1" w:styleId="100">
    <w:name w:val="xl73"/>
    <w:basedOn w:val="1"/>
    <w:qFormat/>
    <w:uiPriority w:val="0"/>
    <w:pPr>
      <w:widowControl/>
      <w:spacing w:before="100" w:beforeAutospacing="1" w:after="100" w:afterAutospacing="1"/>
      <w:jc w:val="left"/>
      <w:textAlignment w:val="bottom"/>
    </w:pPr>
    <w:rPr>
      <w:rFonts w:ascii="宋体" w:hAnsi="宋体" w:cs="宋体"/>
      <w:kern w:val="0"/>
      <w:sz w:val="18"/>
      <w:szCs w:val="18"/>
    </w:rPr>
  </w:style>
  <w:style w:type="paragraph" w:customStyle="1" w:styleId="101">
    <w:name w:val="xl74"/>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102">
    <w:name w:val="xl75"/>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103">
    <w:name w:val="xl76"/>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104">
    <w:name w:val="xl77"/>
    <w:basedOn w:val="1"/>
    <w:qFormat/>
    <w:uiPriority w:val="0"/>
    <w:pPr>
      <w:widowControl/>
      <w:spacing w:before="100" w:beforeAutospacing="1" w:after="100" w:afterAutospacing="1"/>
      <w:jc w:val="left"/>
      <w:textAlignment w:val="bottom"/>
    </w:pPr>
    <w:rPr>
      <w:rFonts w:ascii="宋体" w:hAnsi="宋体" w:cs="宋体"/>
      <w:kern w:val="0"/>
      <w:sz w:val="16"/>
      <w:szCs w:val="16"/>
    </w:rPr>
  </w:style>
  <w:style w:type="paragraph" w:customStyle="1" w:styleId="105">
    <w:name w:val="xl78"/>
    <w:basedOn w:val="1"/>
    <w:qFormat/>
    <w:uiPriority w:val="0"/>
    <w:pPr>
      <w:widowControl/>
      <w:spacing w:before="100" w:beforeAutospacing="1" w:after="100" w:afterAutospacing="1"/>
      <w:jc w:val="left"/>
      <w:textAlignment w:val="bottom"/>
    </w:pPr>
    <w:rPr>
      <w:rFonts w:ascii="宋体" w:hAnsi="宋体" w:cs="宋体"/>
      <w:kern w:val="0"/>
      <w:sz w:val="18"/>
      <w:szCs w:val="18"/>
    </w:rPr>
  </w:style>
  <w:style w:type="paragraph" w:customStyle="1" w:styleId="106">
    <w:name w:val="xl79"/>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107">
    <w:name w:val="xl80"/>
    <w:basedOn w:val="1"/>
    <w:qFormat/>
    <w:uiPriority w:val="0"/>
    <w:pPr>
      <w:widowControl/>
      <w:spacing w:before="100" w:beforeAutospacing="1" w:after="100" w:afterAutospacing="1"/>
      <w:jc w:val="left"/>
      <w:textAlignment w:val="bottom"/>
    </w:pPr>
    <w:rPr>
      <w:rFonts w:ascii="宋体" w:hAnsi="宋体" w:cs="宋体"/>
      <w:b/>
      <w:bCs/>
      <w:kern w:val="0"/>
      <w:sz w:val="18"/>
      <w:szCs w:val="18"/>
    </w:rPr>
  </w:style>
  <w:style w:type="paragraph" w:customStyle="1" w:styleId="108">
    <w:name w:val="xl81"/>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rPr>
  </w:style>
  <w:style w:type="paragraph" w:customStyle="1" w:styleId="109">
    <w:name w:val="xl82"/>
    <w:basedOn w:val="1"/>
    <w:qFormat/>
    <w:uiPriority w:val="0"/>
    <w:pPr>
      <w:widowControl/>
      <w:shd w:val="clear" w:color="000000" w:fill="C0C0C0"/>
      <w:spacing w:before="100" w:beforeAutospacing="1" w:after="100" w:afterAutospacing="1"/>
      <w:jc w:val="left"/>
      <w:textAlignment w:val="bottom"/>
    </w:pPr>
    <w:rPr>
      <w:rFonts w:ascii="宋体" w:hAnsi="宋体" w:cs="宋体"/>
      <w:b/>
      <w:bCs/>
      <w:kern w:val="0"/>
      <w:sz w:val="18"/>
      <w:szCs w:val="18"/>
    </w:rPr>
  </w:style>
  <w:style w:type="paragraph" w:customStyle="1" w:styleId="110">
    <w:name w:val="xl83"/>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u w:val="single"/>
    </w:rPr>
  </w:style>
  <w:style w:type="paragraph" w:customStyle="1" w:styleId="111">
    <w:name w:val="xl84"/>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rPr>
  </w:style>
  <w:style w:type="paragraph" w:customStyle="1" w:styleId="112">
    <w:name w:val="xl85"/>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u w:val="single"/>
    </w:rPr>
  </w:style>
  <w:style w:type="paragraph" w:customStyle="1" w:styleId="113">
    <w:name w:val="xl86"/>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u w:val="single"/>
    </w:rPr>
  </w:style>
  <w:style w:type="paragraph" w:customStyle="1" w:styleId="114">
    <w:name w:val="xl87"/>
    <w:basedOn w:val="1"/>
    <w:qFormat/>
    <w:uiPriority w:val="0"/>
    <w:pPr>
      <w:widowControl/>
      <w:spacing w:before="100" w:beforeAutospacing="1" w:after="100" w:afterAutospacing="1"/>
      <w:jc w:val="left"/>
      <w:textAlignment w:val="bottom"/>
    </w:pPr>
    <w:rPr>
      <w:rFonts w:ascii="宋体" w:hAnsi="宋体" w:cs="宋体"/>
      <w:b/>
      <w:bCs/>
      <w:kern w:val="0"/>
      <w:sz w:val="16"/>
      <w:szCs w:val="16"/>
    </w:rPr>
  </w:style>
  <w:style w:type="paragraph" w:customStyle="1" w:styleId="115">
    <w:name w:val="xl88"/>
    <w:basedOn w:val="1"/>
    <w:qFormat/>
    <w:uiPriority w:val="0"/>
    <w:pPr>
      <w:widowControl/>
      <w:spacing w:before="100" w:beforeAutospacing="1" w:after="100" w:afterAutospacing="1"/>
      <w:jc w:val="center"/>
      <w:textAlignment w:val="bottom"/>
    </w:pPr>
    <w:rPr>
      <w:rFonts w:ascii="宋体" w:hAnsi="宋体" w:cs="宋体"/>
      <w:b/>
      <w:bCs/>
      <w:kern w:val="0"/>
      <w:sz w:val="18"/>
      <w:szCs w:val="18"/>
    </w:rPr>
  </w:style>
  <w:style w:type="paragraph" w:customStyle="1" w:styleId="116">
    <w:name w:val="xl89"/>
    <w:basedOn w:val="1"/>
    <w:qFormat/>
    <w:uiPriority w:val="0"/>
    <w:pPr>
      <w:widowControl/>
      <w:spacing w:before="100" w:beforeAutospacing="1" w:after="100" w:afterAutospacing="1"/>
      <w:jc w:val="center"/>
      <w:textAlignment w:val="bottom"/>
    </w:pPr>
    <w:rPr>
      <w:rFonts w:ascii="宋体" w:hAnsi="宋体" w:cs="宋体"/>
      <w:kern w:val="0"/>
      <w:sz w:val="18"/>
      <w:szCs w:val="18"/>
      <w:u w:val="single"/>
    </w:rPr>
  </w:style>
  <w:style w:type="paragraph" w:customStyle="1" w:styleId="117">
    <w:name w:val="xl90"/>
    <w:basedOn w:val="1"/>
    <w:qFormat/>
    <w:uiPriority w:val="0"/>
    <w:pPr>
      <w:widowControl/>
      <w:spacing w:before="100" w:beforeAutospacing="1" w:after="100" w:afterAutospacing="1"/>
      <w:jc w:val="center"/>
      <w:textAlignment w:val="bottom"/>
    </w:pPr>
    <w:rPr>
      <w:rFonts w:ascii="宋体" w:hAnsi="宋体" w:cs="宋体"/>
      <w:b/>
      <w:bCs/>
      <w:kern w:val="0"/>
      <w:sz w:val="18"/>
      <w:szCs w:val="18"/>
    </w:rPr>
  </w:style>
  <w:style w:type="paragraph" w:customStyle="1" w:styleId="118">
    <w:name w:val="xl91"/>
    <w:basedOn w:val="1"/>
    <w:qFormat/>
    <w:uiPriority w:val="0"/>
    <w:pPr>
      <w:widowControl/>
      <w:spacing w:before="100" w:beforeAutospacing="1" w:after="100" w:afterAutospacing="1"/>
      <w:jc w:val="center"/>
      <w:textAlignment w:val="bottom"/>
    </w:pPr>
    <w:rPr>
      <w:rFonts w:ascii="宋体" w:hAnsi="宋体" w:cs="宋体"/>
      <w:b/>
      <w:bCs/>
      <w:kern w:val="0"/>
      <w:sz w:val="18"/>
      <w:szCs w:val="18"/>
    </w:rPr>
  </w:style>
  <w:style w:type="paragraph" w:customStyle="1" w:styleId="119">
    <w:name w:val="xl92"/>
    <w:basedOn w:val="1"/>
    <w:qFormat/>
    <w:uiPriority w:val="0"/>
    <w:pPr>
      <w:widowControl/>
      <w:spacing w:before="100" w:beforeAutospacing="1" w:after="100" w:afterAutospacing="1"/>
      <w:jc w:val="center"/>
      <w:textAlignment w:val="bottom"/>
    </w:pPr>
    <w:rPr>
      <w:rFonts w:ascii="宋体" w:hAnsi="宋体" w:cs="宋体"/>
      <w:b/>
      <w:bCs/>
      <w:kern w:val="0"/>
      <w:sz w:val="18"/>
      <w:szCs w:val="18"/>
    </w:rPr>
  </w:style>
  <w:style w:type="paragraph" w:customStyle="1" w:styleId="120">
    <w:name w:val="xl93"/>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rPr>
  </w:style>
  <w:style w:type="paragraph" w:customStyle="1" w:styleId="121">
    <w:name w:val="xl94"/>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rPr>
  </w:style>
  <w:style w:type="paragraph" w:customStyle="1" w:styleId="122">
    <w:name w:val="xl95"/>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rPr>
  </w:style>
  <w:style w:type="paragraph" w:customStyle="1" w:styleId="123">
    <w:name w:val="xl96"/>
    <w:basedOn w:val="1"/>
    <w:qFormat/>
    <w:uiPriority w:val="0"/>
    <w:pPr>
      <w:widowControl/>
      <w:spacing w:before="100" w:beforeAutospacing="1" w:after="100" w:afterAutospacing="1"/>
      <w:jc w:val="center"/>
      <w:textAlignment w:val="bottom"/>
    </w:pPr>
    <w:rPr>
      <w:rFonts w:ascii="宋体" w:hAnsi="宋体" w:cs="宋体"/>
      <w:b/>
      <w:bCs/>
      <w:kern w:val="0"/>
      <w:sz w:val="18"/>
      <w:szCs w:val="18"/>
    </w:rPr>
  </w:style>
  <w:style w:type="paragraph" w:customStyle="1" w:styleId="124">
    <w:name w:val="xl97"/>
    <w:basedOn w:val="1"/>
    <w:qFormat/>
    <w:uiPriority w:val="0"/>
    <w:pPr>
      <w:widowControl/>
      <w:spacing w:before="100" w:beforeAutospacing="1" w:after="100" w:afterAutospacing="1"/>
      <w:jc w:val="center"/>
      <w:textAlignment w:val="bottom"/>
    </w:pPr>
    <w:rPr>
      <w:rFonts w:ascii="宋体" w:hAnsi="宋体" w:cs="宋体"/>
      <w:b/>
      <w:bCs/>
      <w:color w:val="DD0806"/>
      <w:kern w:val="0"/>
      <w:sz w:val="18"/>
      <w:szCs w:val="18"/>
    </w:rPr>
  </w:style>
  <w:style w:type="paragraph" w:customStyle="1" w:styleId="125">
    <w:name w:val="xl98"/>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126">
    <w:name w:val="xl99"/>
    <w:basedOn w:val="1"/>
    <w:qFormat/>
    <w:uiPriority w:val="0"/>
    <w:pPr>
      <w:widowControl/>
      <w:shd w:val="clear" w:color="000000" w:fill="C0C0C0"/>
      <w:spacing w:before="100" w:beforeAutospacing="1" w:after="100" w:afterAutospacing="1"/>
      <w:jc w:val="left"/>
      <w:textAlignment w:val="bottom"/>
    </w:pPr>
    <w:rPr>
      <w:rFonts w:ascii="宋体" w:hAnsi="宋体" w:cs="宋体"/>
      <w:b/>
      <w:bCs/>
      <w:kern w:val="0"/>
      <w:sz w:val="18"/>
      <w:szCs w:val="18"/>
    </w:rPr>
  </w:style>
  <w:style w:type="paragraph" w:customStyle="1" w:styleId="127">
    <w:name w:val="xl100"/>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rPr>
  </w:style>
  <w:style w:type="paragraph" w:customStyle="1" w:styleId="128">
    <w:name w:val="xl101"/>
    <w:basedOn w:val="1"/>
    <w:qFormat/>
    <w:uiPriority w:val="0"/>
    <w:pPr>
      <w:widowControl/>
      <w:spacing w:before="100" w:beforeAutospacing="1" w:after="100" w:afterAutospacing="1"/>
      <w:jc w:val="center"/>
      <w:textAlignment w:val="bottom"/>
    </w:pPr>
    <w:rPr>
      <w:rFonts w:ascii="宋体" w:hAnsi="宋体" w:cs="宋体"/>
      <w:b/>
      <w:bCs/>
      <w:kern w:val="0"/>
      <w:sz w:val="18"/>
      <w:szCs w:val="18"/>
      <w:u w:val="single"/>
    </w:rPr>
  </w:style>
  <w:style w:type="table" w:customStyle="1" w:styleId="129">
    <w:name w:val="Table Normal1"/>
    <w:qFormat/>
    <w:uiPriority w:val="0"/>
    <w:pPr>
      <w:widowControl w:val="0"/>
      <w:autoSpaceDE w:val="0"/>
      <w:autoSpaceDN w:val="0"/>
    </w:pPr>
    <w:rPr>
      <w:rFonts w:ascii="Times New Roman" w:hAnsi="Times New Roman" w:eastAsia="宋体" w:cs="Calibri"/>
      <w:sz w:val="22"/>
      <w:szCs w:val="22"/>
      <w:lang w:eastAsia="en-US"/>
    </w:rPr>
    <w:tblPr>
      <w:tblCellMar>
        <w:top w:w="0" w:type="dxa"/>
        <w:left w:w="0" w:type="dxa"/>
        <w:bottom w:w="0" w:type="dxa"/>
        <w:right w:w="0" w:type="dxa"/>
      </w:tblCellMar>
    </w:tblPr>
  </w:style>
  <w:style w:type="paragraph" w:customStyle="1" w:styleId="130">
    <w:name w:val="Table Paragraph"/>
    <w:basedOn w:val="1"/>
    <w:qFormat/>
    <w:uiPriority w:val="1"/>
    <w:pPr>
      <w:autoSpaceDE w:val="0"/>
      <w:autoSpaceDN w:val="0"/>
      <w:jc w:val="left"/>
    </w:pPr>
    <w:rPr>
      <w:rFonts w:ascii="Noto Sans Mono CJK JP Regular" w:hAnsi="Noto Sans Mono CJK JP Regular" w:cs="Noto Sans Mono CJK JP Regular"/>
      <w:kern w:val="0"/>
      <w:sz w:val="22"/>
      <w:lang w:val="zh-CN"/>
    </w:rPr>
  </w:style>
  <w:style w:type="character" w:customStyle="1" w:styleId="131">
    <w:name w:val="纯文本 Char3"/>
    <w:qFormat/>
    <w:uiPriority w:val="0"/>
    <w:rPr>
      <w:rFonts w:ascii="宋体" w:hAnsi="Courier New"/>
      <w:sz w:val="21"/>
      <w:szCs w:val="21"/>
    </w:rPr>
  </w:style>
  <w:style w:type="character" w:customStyle="1" w:styleId="132">
    <w:name w:val="正文首行缩进 2 字符"/>
    <w:basedOn w:val="67"/>
    <w:link w:val="21"/>
    <w:qFormat/>
    <w:uiPriority w:val="0"/>
    <w:rPr>
      <w:rFonts w:ascii="Calibri" w:hAnsi="Calibri" w:eastAsia="宋体" w:cs="Times New Roman"/>
      <w:kern w:val="2"/>
      <w:sz w:val="21"/>
      <w:szCs w:val="24"/>
    </w:rPr>
  </w:style>
  <w:style w:type="character" w:customStyle="1" w:styleId="133">
    <w:name w:val="日期 字符"/>
    <w:basedOn w:val="47"/>
    <w:link w:val="28"/>
    <w:qFormat/>
    <w:uiPriority w:val="0"/>
    <w:rPr>
      <w:rFonts w:ascii="Times New Roman" w:hAnsi="Times New Roman" w:eastAsia="宋体"/>
      <w:kern w:val="2"/>
      <w:sz w:val="21"/>
      <w:szCs w:val="24"/>
    </w:rPr>
  </w:style>
  <w:style w:type="character" w:customStyle="1" w:styleId="134">
    <w:name w:val="正文文本缩进 2 字符"/>
    <w:basedOn w:val="47"/>
    <w:link w:val="29"/>
    <w:qFormat/>
    <w:uiPriority w:val="0"/>
    <w:rPr>
      <w:rFonts w:ascii="Times New Roman" w:hAnsi="Times New Roman" w:eastAsia="宋体"/>
    </w:rPr>
  </w:style>
  <w:style w:type="character" w:customStyle="1" w:styleId="135">
    <w:name w:val="副标题 字符"/>
    <w:basedOn w:val="47"/>
    <w:link w:val="35"/>
    <w:qFormat/>
    <w:uiPriority w:val="0"/>
    <w:rPr>
      <w:rFonts w:ascii="Cambria" w:hAnsi="Cambria" w:eastAsia="宋体"/>
      <w:b/>
      <w:bCs/>
      <w:kern w:val="28"/>
      <w:sz w:val="32"/>
      <w:szCs w:val="32"/>
    </w:rPr>
  </w:style>
  <w:style w:type="character" w:customStyle="1" w:styleId="136">
    <w:name w:val="HTML 预设格式 字符"/>
    <w:basedOn w:val="47"/>
    <w:link w:val="40"/>
    <w:qFormat/>
    <w:uiPriority w:val="0"/>
    <w:rPr>
      <w:rFonts w:ascii="宋体" w:hAnsi="宋体" w:eastAsia="宋体" w:cs="宋体"/>
      <w:sz w:val="24"/>
      <w:szCs w:val="24"/>
    </w:rPr>
  </w:style>
  <w:style w:type="character" w:customStyle="1" w:styleId="137">
    <w:name w:val="批注主题 字符"/>
    <w:basedOn w:val="65"/>
    <w:link w:val="44"/>
    <w:qFormat/>
    <w:uiPriority w:val="0"/>
    <w:rPr>
      <w:rFonts w:ascii="宋体" w:hAnsi="Times New Roman" w:eastAsia="宋体" w:cs="Times New Roman"/>
      <w:b/>
      <w:bCs/>
      <w:kern w:val="0"/>
      <w:sz w:val="28"/>
      <w:szCs w:val="28"/>
    </w:rPr>
  </w:style>
  <w:style w:type="paragraph" w:customStyle="1" w:styleId="138">
    <w:name w:val="Char23"/>
    <w:basedOn w:val="16"/>
    <w:qFormat/>
    <w:uiPriority w:val="0"/>
    <w:pPr>
      <w:widowControl/>
      <w:shd w:val="clear" w:color="auto" w:fill="000080"/>
      <w:spacing w:line="240" w:lineRule="auto"/>
      <w:ind w:firstLine="0" w:firstLineChars="0"/>
    </w:pPr>
    <w:rPr>
      <w:rFonts w:ascii="Times New Roman" w:eastAsia="宋体"/>
      <w:sz w:val="21"/>
      <w:szCs w:val="24"/>
    </w:rPr>
  </w:style>
  <w:style w:type="character" w:customStyle="1" w:styleId="139">
    <w:name w:val="first-child"/>
    <w:qFormat/>
    <w:uiPriority w:val="0"/>
  </w:style>
  <w:style w:type="character" w:customStyle="1" w:styleId="140">
    <w:name w:val="批注文字 Char Char"/>
    <w:qFormat/>
    <w:uiPriority w:val="0"/>
    <w:rPr>
      <w:rFonts w:ascii="宋体" w:hAnsi="Times New Roman" w:eastAsia="宋体" w:cs="Times New Roman"/>
      <w:sz w:val="28"/>
      <w:szCs w:val="20"/>
    </w:rPr>
  </w:style>
  <w:style w:type="character" w:customStyle="1" w:styleId="141">
    <w:name w:val="正文文本 Char1"/>
    <w:qFormat/>
    <w:uiPriority w:val="0"/>
    <w:rPr>
      <w:kern w:val="2"/>
      <w:sz w:val="21"/>
      <w:szCs w:val="22"/>
    </w:rPr>
  </w:style>
  <w:style w:type="character" w:customStyle="1" w:styleId="142">
    <w:name w:val="批注主题 Char1"/>
    <w:qFormat/>
    <w:uiPriority w:val="0"/>
    <w:rPr>
      <w:b/>
      <w:bCs/>
      <w:kern w:val="2"/>
      <w:sz w:val="21"/>
      <w:szCs w:val="22"/>
    </w:rPr>
  </w:style>
  <w:style w:type="character" w:customStyle="1" w:styleId="143">
    <w:name w:val="明显强调1"/>
    <w:qFormat/>
    <w:uiPriority w:val="0"/>
    <w:rPr>
      <w:b/>
      <w:bCs/>
      <w:i/>
      <w:iCs/>
      <w:color w:val="4F81BD"/>
    </w:rPr>
  </w:style>
  <w:style w:type="character" w:customStyle="1" w:styleId="144">
    <w:name w:val="标题5 Char Char"/>
    <w:link w:val="145"/>
    <w:qFormat/>
    <w:uiPriority w:val="0"/>
    <w:rPr>
      <w:rFonts w:ascii="Arial" w:hAnsi="Arial"/>
      <w:b/>
      <w:bCs/>
      <w:sz w:val="24"/>
      <w:szCs w:val="32"/>
    </w:rPr>
  </w:style>
  <w:style w:type="paragraph" w:customStyle="1" w:styleId="145">
    <w:name w:val="标题5"/>
    <w:basedOn w:val="5"/>
    <w:link w:val="144"/>
    <w:qFormat/>
    <w:uiPriority w:val="0"/>
    <w:pPr>
      <w:spacing w:line="413" w:lineRule="auto"/>
      <w:ind w:firstLine="0" w:firstLineChars="0"/>
    </w:pPr>
    <w:rPr>
      <w:rFonts w:ascii="Arial" w:hAnsi="Arial" w:eastAsia="等线"/>
      <w:sz w:val="24"/>
    </w:rPr>
  </w:style>
  <w:style w:type="character" w:customStyle="1" w:styleId="146">
    <w:name w:val="日期 Char1"/>
    <w:qFormat/>
    <w:uiPriority w:val="0"/>
    <w:rPr>
      <w:kern w:val="2"/>
      <w:sz w:val="21"/>
      <w:szCs w:val="22"/>
    </w:rPr>
  </w:style>
  <w:style w:type="character" w:customStyle="1" w:styleId="147">
    <w:name w:val="不明显参考1"/>
    <w:qFormat/>
    <w:uiPriority w:val="0"/>
    <w:rPr>
      <w:smallCaps/>
      <w:color w:val="C0504D"/>
      <w:u w:val="single"/>
    </w:rPr>
  </w:style>
  <w:style w:type="character" w:customStyle="1" w:styleId="148">
    <w:name w:val="textcontents"/>
    <w:qFormat/>
    <w:uiPriority w:val="0"/>
    <w:rPr>
      <w:rFonts w:cs="Times New Roman"/>
    </w:rPr>
  </w:style>
  <w:style w:type="character" w:customStyle="1" w:styleId="149">
    <w:name w:val="font21"/>
    <w:basedOn w:val="47"/>
    <w:qFormat/>
    <w:uiPriority w:val="0"/>
    <w:rPr>
      <w:rFonts w:hint="eastAsia" w:ascii="宋体" w:hAnsi="宋体" w:eastAsia="宋体" w:cs="宋体"/>
      <w:color w:val="FF0000"/>
      <w:sz w:val="20"/>
      <w:szCs w:val="20"/>
      <w:u w:val="none"/>
    </w:rPr>
  </w:style>
  <w:style w:type="character" w:customStyle="1" w:styleId="150">
    <w:name w:val="font01"/>
    <w:basedOn w:val="47"/>
    <w:qFormat/>
    <w:uiPriority w:val="0"/>
    <w:rPr>
      <w:rFonts w:hint="eastAsia" w:ascii="宋体" w:hAnsi="宋体" w:eastAsia="宋体" w:cs="宋体"/>
      <w:color w:val="000000"/>
      <w:sz w:val="20"/>
      <w:szCs w:val="20"/>
      <w:u w:val="none"/>
    </w:rPr>
  </w:style>
  <w:style w:type="character" w:customStyle="1" w:styleId="151">
    <w:name w:val="明显引用 字符"/>
    <w:link w:val="152"/>
    <w:qFormat/>
    <w:uiPriority w:val="0"/>
    <w:rPr>
      <w:b/>
      <w:bCs/>
      <w:i/>
      <w:iCs/>
      <w:color w:val="4F81BD"/>
      <w:kern w:val="2"/>
      <w:sz w:val="21"/>
      <w:szCs w:val="22"/>
    </w:rPr>
  </w:style>
  <w:style w:type="paragraph" w:styleId="152">
    <w:name w:val="Intense Quote"/>
    <w:basedOn w:val="1"/>
    <w:next w:val="1"/>
    <w:link w:val="151"/>
    <w:qFormat/>
    <w:uiPriority w:val="0"/>
    <w:pPr>
      <w:pBdr>
        <w:bottom w:val="single" w:color="4F81BD" w:sz="4" w:space="4"/>
      </w:pBdr>
      <w:spacing w:before="200" w:after="280" w:line="240" w:lineRule="auto"/>
      <w:ind w:left="936" w:right="936" w:firstLine="0" w:firstLineChars="0"/>
    </w:pPr>
    <w:rPr>
      <w:rFonts w:ascii="等线" w:hAnsi="等线" w:eastAsia="等线"/>
      <w:b/>
      <w:bCs/>
      <w:i/>
      <w:iCs/>
      <w:color w:val="4F81BD"/>
      <w:sz w:val="21"/>
    </w:rPr>
  </w:style>
  <w:style w:type="character" w:customStyle="1" w:styleId="153">
    <w:name w:val="明显引用 字符1"/>
    <w:basedOn w:val="47"/>
    <w:qFormat/>
    <w:uiPriority w:val="99"/>
    <w:rPr>
      <w:rFonts w:ascii="Times New Roman" w:hAnsi="Times New Roman" w:eastAsia="仿宋_GB2312"/>
      <w:i/>
      <w:iCs/>
      <w:color w:val="4472C4" w:themeColor="accent1"/>
      <w:kern w:val="2"/>
      <w:sz w:val="28"/>
      <w:szCs w:val="22"/>
      <w14:textFill>
        <w14:solidFill>
          <w14:schemeClr w14:val="accent1"/>
        </w14:solidFill>
      </w14:textFill>
    </w:rPr>
  </w:style>
  <w:style w:type="character" w:customStyle="1" w:styleId="154">
    <w:name w:val="不明显强调1"/>
    <w:qFormat/>
    <w:uiPriority w:val="0"/>
    <w:rPr>
      <w:i/>
      <w:iCs/>
      <w:color w:val="808080"/>
    </w:rPr>
  </w:style>
  <w:style w:type="character" w:customStyle="1" w:styleId="155">
    <w:name w:val="font91"/>
    <w:basedOn w:val="47"/>
    <w:qFormat/>
    <w:uiPriority w:val="0"/>
    <w:rPr>
      <w:rFonts w:hint="eastAsia" w:ascii="宋体" w:hAnsi="宋体" w:eastAsia="宋体" w:cs="宋体"/>
      <w:color w:val="000000"/>
      <w:sz w:val="20"/>
      <w:szCs w:val="20"/>
      <w:u w:val="none"/>
      <w:vertAlign w:val="superscript"/>
    </w:rPr>
  </w:style>
  <w:style w:type="character" w:customStyle="1" w:styleId="156">
    <w:name w:val="书籍标题1"/>
    <w:qFormat/>
    <w:uiPriority w:val="0"/>
    <w:rPr>
      <w:b/>
      <w:bCs/>
      <w:smallCaps/>
      <w:spacing w:val="5"/>
    </w:rPr>
  </w:style>
  <w:style w:type="character" w:customStyle="1" w:styleId="157">
    <w:name w:val="Char Char Char Char"/>
    <w:qFormat/>
    <w:uiPriority w:val="0"/>
    <w:rPr>
      <w:rFonts w:ascii="宋体" w:hAnsi="Courier New" w:eastAsia="宋体"/>
      <w:kern w:val="2"/>
      <w:sz w:val="24"/>
      <w:lang w:val="en-US" w:eastAsia="zh-CN" w:bidi="ar-SA"/>
    </w:rPr>
  </w:style>
  <w:style w:type="character" w:customStyle="1" w:styleId="158">
    <w:name w:val="引用 字符"/>
    <w:link w:val="159"/>
    <w:qFormat/>
    <w:uiPriority w:val="0"/>
    <w:rPr>
      <w:i/>
      <w:iCs/>
      <w:color w:val="000000"/>
      <w:kern w:val="2"/>
      <w:sz w:val="21"/>
      <w:szCs w:val="22"/>
    </w:rPr>
  </w:style>
  <w:style w:type="paragraph" w:styleId="159">
    <w:name w:val="Quote"/>
    <w:basedOn w:val="1"/>
    <w:next w:val="1"/>
    <w:link w:val="158"/>
    <w:qFormat/>
    <w:uiPriority w:val="0"/>
    <w:pPr>
      <w:spacing w:line="240" w:lineRule="auto"/>
      <w:ind w:firstLine="0" w:firstLineChars="0"/>
    </w:pPr>
    <w:rPr>
      <w:rFonts w:ascii="等线" w:hAnsi="等线" w:eastAsia="等线"/>
      <w:i/>
      <w:iCs/>
      <w:color w:val="000000"/>
      <w:sz w:val="21"/>
    </w:rPr>
  </w:style>
  <w:style w:type="character" w:customStyle="1" w:styleId="160">
    <w:name w:val="引用 字符1"/>
    <w:basedOn w:val="47"/>
    <w:qFormat/>
    <w:uiPriority w:val="99"/>
    <w:rPr>
      <w:rFonts w:ascii="Times New Roman" w:hAnsi="Times New Roman" w:eastAsia="仿宋_GB2312"/>
      <w:i/>
      <w:iCs/>
      <w:color w:val="404040" w:themeColor="text1" w:themeTint="BF"/>
      <w:kern w:val="2"/>
      <w:sz w:val="28"/>
      <w:szCs w:val="22"/>
      <w14:textFill>
        <w14:solidFill>
          <w14:schemeClr w14:val="tx1">
            <w14:lumMod w14:val="75000"/>
            <w14:lumOff w14:val="25000"/>
          </w14:schemeClr>
        </w14:solidFill>
      </w14:textFill>
    </w:rPr>
  </w:style>
  <w:style w:type="character" w:customStyle="1" w:styleId="161">
    <w:name w:val="明显参考1"/>
    <w:qFormat/>
    <w:uiPriority w:val="0"/>
    <w:rPr>
      <w:b/>
      <w:bCs/>
      <w:smallCaps/>
      <w:color w:val="C0504D"/>
      <w:spacing w:val="5"/>
      <w:u w:val="single"/>
    </w:rPr>
  </w:style>
  <w:style w:type="character" w:customStyle="1" w:styleId="162">
    <w:name w:val="layui-this"/>
    <w:qFormat/>
    <w:uiPriority w:val="0"/>
    <w:rPr>
      <w:bdr w:val="single" w:color="EEEEEE" w:sz="6" w:space="0"/>
      <w:shd w:val="clear" w:color="auto" w:fill="FFFFFF"/>
    </w:rPr>
  </w:style>
  <w:style w:type="character" w:customStyle="1" w:styleId="163">
    <w:name w:val="文档结构图 Char1"/>
    <w:qFormat/>
    <w:uiPriority w:val="0"/>
    <w:rPr>
      <w:rFonts w:ascii="宋体"/>
      <w:kern w:val="2"/>
      <w:sz w:val="18"/>
      <w:szCs w:val="18"/>
    </w:rPr>
  </w:style>
  <w:style w:type="character" w:customStyle="1" w:styleId="164">
    <w:name w:val="批注框文本 Char1"/>
    <w:qFormat/>
    <w:uiPriority w:val="0"/>
    <w:rPr>
      <w:kern w:val="2"/>
      <w:sz w:val="18"/>
      <w:szCs w:val="18"/>
    </w:rPr>
  </w:style>
  <w:style w:type="character" w:customStyle="1" w:styleId="165">
    <w:name w:val="标题4 Char Char"/>
    <w:link w:val="166"/>
    <w:qFormat/>
    <w:uiPriority w:val="0"/>
    <w:rPr>
      <w:rFonts w:ascii="Arial" w:hAnsi="Arial"/>
      <w:b/>
      <w:bCs/>
      <w:sz w:val="24"/>
      <w:szCs w:val="32"/>
    </w:rPr>
  </w:style>
  <w:style w:type="paragraph" w:customStyle="1" w:styleId="166">
    <w:name w:val="标题4"/>
    <w:basedOn w:val="4"/>
    <w:next w:val="23"/>
    <w:link w:val="165"/>
    <w:qFormat/>
    <w:uiPriority w:val="0"/>
    <w:pPr>
      <w:spacing w:line="413" w:lineRule="auto"/>
      <w:ind w:firstLine="0" w:firstLineChars="0"/>
    </w:pPr>
    <w:rPr>
      <w:rFonts w:ascii="Arial" w:hAnsi="Arial" w:eastAsia="等线"/>
      <w:sz w:val="24"/>
      <w:szCs w:val="32"/>
    </w:rPr>
  </w:style>
  <w:style w:type="character" w:customStyle="1" w:styleId="167">
    <w:name w:val="font71"/>
    <w:qFormat/>
    <w:uiPriority w:val="0"/>
    <w:rPr>
      <w:rFonts w:hint="eastAsia" w:ascii="宋体" w:hAnsi="宋体" w:eastAsia="宋体"/>
      <w:b/>
      <w:bCs/>
      <w:color w:val="000000"/>
      <w:sz w:val="20"/>
      <w:szCs w:val="20"/>
      <w:u w:val="none"/>
    </w:rPr>
  </w:style>
  <w:style w:type="character" w:customStyle="1" w:styleId="168">
    <w:name w:val="font41"/>
    <w:basedOn w:val="47"/>
    <w:qFormat/>
    <w:uiPriority w:val="0"/>
    <w:rPr>
      <w:rFonts w:hint="eastAsia" w:ascii="宋体" w:hAnsi="宋体" w:eastAsia="宋体" w:cs="宋体"/>
      <w:color w:val="000000"/>
      <w:sz w:val="20"/>
      <w:szCs w:val="20"/>
      <w:u w:val="none"/>
    </w:rPr>
  </w:style>
  <w:style w:type="paragraph" w:customStyle="1" w:styleId="169">
    <w:name w:val="CM69"/>
    <w:basedOn w:val="87"/>
    <w:next w:val="87"/>
    <w:qFormat/>
    <w:uiPriority w:val="0"/>
    <w:pPr>
      <w:spacing w:line="400" w:lineRule="atLeast"/>
    </w:pPr>
    <w:rPr>
      <w:rFonts w:cs="Times New Roman"/>
      <w:color w:val="auto"/>
    </w:rPr>
  </w:style>
  <w:style w:type="paragraph" w:customStyle="1" w:styleId="170">
    <w:name w:val="文档结构图 Char Char"/>
    <w:basedOn w:val="1"/>
    <w:qFormat/>
    <w:uiPriority w:val="0"/>
    <w:pPr>
      <w:shd w:val="clear" w:color="auto" w:fill="000080"/>
      <w:spacing w:line="240" w:lineRule="auto"/>
      <w:ind w:firstLine="0" w:firstLineChars="0"/>
    </w:pPr>
    <w:rPr>
      <w:rFonts w:hint="eastAsia" w:eastAsia="宋体"/>
      <w:sz w:val="21"/>
      <w:szCs w:val="24"/>
    </w:rPr>
  </w:style>
  <w:style w:type="paragraph" w:customStyle="1" w:styleId="171">
    <w:name w:val="Char"/>
    <w:basedOn w:val="16"/>
    <w:qFormat/>
    <w:uiPriority w:val="0"/>
    <w:pPr>
      <w:widowControl/>
      <w:shd w:val="clear" w:color="auto" w:fill="000080"/>
      <w:spacing w:line="240" w:lineRule="auto"/>
      <w:ind w:firstLine="0" w:firstLineChars="0"/>
    </w:pPr>
    <w:rPr>
      <w:rFonts w:ascii="Times New Roman" w:eastAsia="宋体"/>
      <w:sz w:val="21"/>
      <w:szCs w:val="24"/>
    </w:rPr>
  </w:style>
  <w:style w:type="paragraph" w:customStyle="1" w:styleId="172">
    <w:name w:val="Char18"/>
    <w:basedOn w:val="170"/>
    <w:qFormat/>
    <w:uiPriority w:val="0"/>
    <w:pPr>
      <w:widowControl/>
    </w:pPr>
  </w:style>
  <w:style w:type="paragraph" w:customStyle="1" w:styleId="173">
    <w:name w:val="flNote"/>
    <w:basedOn w:val="1"/>
    <w:qFormat/>
    <w:uiPriority w:val="0"/>
    <w:pPr>
      <w:adjustRightInd w:val="0"/>
      <w:spacing w:before="320" w:after="160" w:line="360" w:lineRule="atLeast"/>
      <w:ind w:firstLine="0" w:firstLineChars="0"/>
      <w:jc w:val="center"/>
      <w:textAlignment w:val="baseline"/>
    </w:pPr>
    <w:rPr>
      <w:rFonts w:ascii="Arial" w:eastAsia="黑体"/>
      <w:kern w:val="0"/>
      <w:sz w:val="30"/>
      <w:szCs w:val="20"/>
    </w:rPr>
  </w:style>
  <w:style w:type="paragraph" w:styleId="174">
    <w:name w:val="No Spacing"/>
    <w:qFormat/>
    <w:uiPriority w:val="0"/>
    <w:pPr>
      <w:widowControl w:val="0"/>
      <w:jc w:val="both"/>
    </w:pPr>
    <w:rPr>
      <w:rFonts w:ascii="Calibri" w:hAnsi="Calibri" w:eastAsia="宋体" w:cs="Times New Roman"/>
      <w:kern w:val="2"/>
      <w:sz w:val="21"/>
      <w:szCs w:val="22"/>
      <w:lang w:val="en-US" w:eastAsia="zh-CN" w:bidi="ar-SA"/>
    </w:rPr>
  </w:style>
  <w:style w:type="paragraph" w:customStyle="1" w:styleId="175">
    <w:name w:val="CM95"/>
    <w:basedOn w:val="87"/>
    <w:next w:val="87"/>
    <w:qFormat/>
    <w:uiPriority w:val="0"/>
    <w:pPr>
      <w:spacing w:after="115"/>
    </w:pPr>
    <w:rPr>
      <w:rFonts w:cs="Times New Roman"/>
      <w:color w:val="auto"/>
    </w:rPr>
  </w:style>
  <w:style w:type="paragraph" w:customStyle="1" w:styleId="176">
    <w:name w:val="Char1"/>
    <w:basedOn w:val="16"/>
    <w:qFormat/>
    <w:uiPriority w:val="0"/>
    <w:pPr>
      <w:widowControl/>
      <w:shd w:val="clear" w:color="auto" w:fill="000080"/>
      <w:spacing w:line="240" w:lineRule="auto"/>
      <w:ind w:firstLine="0" w:firstLineChars="0"/>
      <w:jc w:val="left"/>
    </w:pPr>
    <w:rPr>
      <w:rFonts w:ascii="Times New Roman" w:eastAsia="宋体"/>
      <w:sz w:val="21"/>
      <w:szCs w:val="24"/>
    </w:rPr>
  </w:style>
  <w:style w:type="paragraph" w:customStyle="1" w:styleId="177">
    <w:name w:val="CM29"/>
    <w:basedOn w:val="87"/>
    <w:next w:val="87"/>
    <w:qFormat/>
    <w:uiPriority w:val="0"/>
    <w:pPr>
      <w:spacing w:line="400" w:lineRule="atLeast"/>
    </w:pPr>
    <w:rPr>
      <w:rFonts w:cs="Times New Roman"/>
      <w:color w:val="auto"/>
    </w:rPr>
  </w:style>
  <w:style w:type="paragraph" w:customStyle="1" w:styleId="178">
    <w:name w:val="目录文字"/>
    <w:basedOn w:val="1"/>
    <w:qFormat/>
    <w:uiPriority w:val="0"/>
    <w:pPr>
      <w:widowControl/>
      <w:spacing w:line="480" w:lineRule="auto"/>
      <w:ind w:firstLine="0" w:firstLineChars="0"/>
      <w:jc w:val="left"/>
    </w:pPr>
    <w:rPr>
      <w:rFonts w:ascii="宋体" w:hAnsi="宋体" w:eastAsia="宋体"/>
      <w:kern w:val="0"/>
      <w:sz w:val="24"/>
      <w:szCs w:val="20"/>
    </w:rPr>
  </w:style>
  <w:style w:type="paragraph" w:customStyle="1" w:styleId="179">
    <w:name w:val="CM92"/>
    <w:basedOn w:val="87"/>
    <w:next w:val="87"/>
    <w:qFormat/>
    <w:uiPriority w:val="0"/>
    <w:pPr>
      <w:spacing w:after="530"/>
    </w:pPr>
    <w:rPr>
      <w:rFonts w:cs="Times New Roman"/>
      <w:color w:val="auto"/>
    </w:rPr>
  </w:style>
  <w:style w:type="paragraph" w:customStyle="1" w:styleId="180">
    <w:name w:val="CM91"/>
    <w:basedOn w:val="87"/>
    <w:next w:val="87"/>
    <w:qFormat/>
    <w:uiPriority w:val="0"/>
    <w:pPr>
      <w:spacing w:after="160"/>
    </w:pPr>
    <w:rPr>
      <w:rFonts w:cs="Times New Roman"/>
      <w:color w:val="auto"/>
    </w:rPr>
  </w:style>
  <w:style w:type="paragraph" w:customStyle="1" w:styleId="181">
    <w:name w:val="修订1"/>
    <w:qFormat/>
    <w:uiPriority w:val="0"/>
    <w:rPr>
      <w:rFonts w:ascii="Times New Roman" w:hAnsi="Times New Roman" w:eastAsia="宋体" w:cs="Times New Roman"/>
      <w:kern w:val="2"/>
      <w:sz w:val="21"/>
      <w:szCs w:val="24"/>
      <w:lang w:val="en-US" w:eastAsia="zh-CN" w:bidi="ar-SA"/>
    </w:rPr>
  </w:style>
  <w:style w:type="paragraph" w:customStyle="1" w:styleId="182">
    <w:name w:val="空半行"/>
    <w:basedOn w:val="1"/>
    <w:qFormat/>
    <w:uiPriority w:val="0"/>
    <w:pPr>
      <w:adjustRightInd w:val="0"/>
      <w:spacing w:line="120" w:lineRule="exact"/>
      <w:ind w:firstLine="0" w:firstLineChars="0"/>
      <w:textAlignment w:val="baseline"/>
    </w:pPr>
    <w:rPr>
      <w:color w:val="FFFFFF"/>
      <w:kern w:val="0"/>
      <w:sz w:val="30"/>
      <w:szCs w:val="20"/>
    </w:rPr>
  </w:style>
  <w:style w:type="paragraph" w:customStyle="1" w:styleId="183">
    <w:name w:val="样式1"/>
    <w:basedOn w:val="1"/>
    <w:qFormat/>
    <w:uiPriority w:val="0"/>
    <w:pPr>
      <w:spacing w:line="240" w:lineRule="auto"/>
      <w:ind w:firstLine="0" w:firstLineChars="0"/>
      <w:jc w:val="center"/>
    </w:pPr>
    <w:rPr>
      <w:rFonts w:eastAsia="宋体"/>
      <w:sz w:val="48"/>
      <w:szCs w:val="48"/>
    </w:rPr>
  </w:style>
  <w:style w:type="paragraph" w:customStyle="1" w:styleId="184">
    <w:name w:val="CM34"/>
    <w:basedOn w:val="87"/>
    <w:next w:val="87"/>
    <w:qFormat/>
    <w:uiPriority w:val="0"/>
    <w:pPr>
      <w:spacing w:line="398" w:lineRule="atLeast"/>
    </w:pPr>
    <w:rPr>
      <w:rFonts w:cs="Times New Roman"/>
      <w:color w:val="auto"/>
    </w:rPr>
  </w:style>
  <w:style w:type="paragraph" w:customStyle="1" w:styleId="185">
    <w:name w:val="样式 标题 3 + (中文) 黑体 小四 非加粗 段前: 7.8 磅 段后: 0 磅 行距: 固定值 20 磅"/>
    <w:basedOn w:val="5"/>
    <w:qFormat/>
    <w:uiPriority w:val="0"/>
    <w:pPr>
      <w:spacing w:before="0" w:after="0" w:line="400" w:lineRule="exact"/>
      <w:ind w:firstLine="0" w:firstLineChars="0"/>
    </w:pPr>
    <w:rPr>
      <w:rFonts w:eastAsia="黑体" w:cs="宋体"/>
      <w:b w:val="0"/>
      <w:bCs w:val="0"/>
      <w:kern w:val="2"/>
      <w:sz w:val="24"/>
      <w:szCs w:val="20"/>
    </w:rPr>
  </w:style>
  <w:style w:type="paragraph" w:customStyle="1" w:styleId="186">
    <w:name w:val="CM44"/>
    <w:basedOn w:val="87"/>
    <w:next w:val="87"/>
    <w:qFormat/>
    <w:uiPriority w:val="0"/>
    <w:pPr>
      <w:spacing w:line="440" w:lineRule="atLeast"/>
    </w:pPr>
    <w:rPr>
      <w:rFonts w:cs="Times New Roman"/>
      <w:color w:val="auto"/>
    </w:rPr>
  </w:style>
  <w:style w:type="paragraph" w:customStyle="1" w:styleId="187">
    <w:name w:val="CM23"/>
    <w:basedOn w:val="87"/>
    <w:next w:val="87"/>
    <w:qFormat/>
    <w:uiPriority w:val="0"/>
    <w:pPr>
      <w:spacing w:line="398" w:lineRule="atLeast"/>
    </w:pPr>
    <w:rPr>
      <w:rFonts w:cs="Times New Roman"/>
      <w:color w:val="auto"/>
    </w:rPr>
  </w:style>
  <w:style w:type="paragraph" w:customStyle="1" w:styleId="188">
    <w:name w:val="CM62"/>
    <w:basedOn w:val="87"/>
    <w:next w:val="87"/>
    <w:qFormat/>
    <w:uiPriority w:val="0"/>
    <w:pPr>
      <w:spacing w:line="400" w:lineRule="atLeast"/>
    </w:pPr>
    <w:rPr>
      <w:rFonts w:cs="Times New Roman"/>
      <w:color w:val="auto"/>
    </w:rPr>
  </w:style>
  <w:style w:type="paragraph" w:customStyle="1" w:styleId="189">
    <w:name w:val="正文 + 宋体"/>
    <w:basedOn w:val="1"/>
    <w:qFormat/>
    <w:uiPriority w:val="0"/>
    <w:pPr>
      <w:spacing w:line="400" w:lineRule="exact"/>
      <w:ind w:firstLine="729" w:firstLineChars="347"/>
    </w:pPr>
    <w:rPr>
      <w:rFonts w:ascii="宋体" w:hAnsi="宋体" w:eastAsia="宋体"/>
      <w:sz w:val="21"/>
      <w:szCs w:val="21"/>
    </w:rPr>
  </w:style>
  <w:style w:type="paragraph" w:customStyle="1" w:styleId="190">
    <w:name w:val="列表段落1"/>
    <w:basedOn w:val="1"/>
    <w:qFormat/>
    <w:uiPriority w:val="1"/>
    <w:pPr>
      <w:spacing w:line="240" w:lineRule="auto"/>
      <w:ind w:left="2719" w:firstLine="480" w:firstLineChars="0"/>
    </w:pPr>
    <w:rPr>
      <w:rFonts w:ascii="宋体" w:hAnsi="宋体" w:eastAsia="宋体" w:cs="宋体"/>
      <w:sz w:val="21"/>
      <w:szCs w:val="24"/>
      <w:lang w:val="zh-CN" w:bidi="zh-CN"/>
    </w:rPr>
  </w:style>
  <w:style w:type="paragraph" w:customStyle="1" w:styleId="191">
    <w:name w:val="CM26"/>
    <w:basedOn w:val="87"/>
    <w:next w:val="87"/>
    <w:qFormat/>
    <w:uiPriority w:val="0"/>
    <w:pPr>
      <w:spacing w:line="400" w:lineRule="atLeast"/>
    </w:pPr>
    <w:rPr>
      <w:rFonts w:cs="Times New Roman"/>
      <w:color w:val="auto"/>
    </w:rPr>
  </w:style>
  <w:style w:type="paragraph" w:customStyle="1" w:styleId="192">
    <w:name w:val="Char8"/>
    <w:basedOn w:val="16"/>
    <w:qFormat/>
    <w:uiPriority w:val="0"/>
    <w:pPr>
      <w:widowControl/>
      <w:shd w:val="clear" w:color="auto" w:fill="000080"/>
      <w:spacing w:line="240" w:lineRule="auto"/>
      <w:ind w:firstLine="0" w:firstLineChars="0"/>
      <w:jc w:val="left"/>
    </w:pPr>
    <w:rPr>
      <w:rFonts w:ascii="Tahoma" w:hAnsi="Tahoma" w:eastAsia="宋体" w:cs="Tahoma"/>
      <w:kern w:val="0"/>
      <w:sz w:val="24"/>
      <w:szCs w:val="24"/>
    </w:rPr>
  </w:style>
  <w:style w:type="paragraph" w:customStyle="1" w:styleId="193">
    <w:name w:val="Blockquote"/>
    <w:basedOn w:val="1"/>
    <w:qFormat/>
    <w:uiPriority w:val="0"/>
    <w:pPr>
      <w:autoSpaceDE w:val="0"/>
      <w:autoSpaceDN w:val="0"/>
      <w:adjustRightInd w:val="0"/>
      <w:spacing w:before="100" w:after="100" w:line="240" w:lineRule="auto"/>
      <w:ind w:left="360" w:right="360" w:firstLine="0" w:firstLineChars="0"/>
      <w:jc w:val="left"/>
    </w:pPr>
    <w:rPr>
      <w:rFonts w:ascii="Calibri" w:hAnsi="Calibri" w:eastAsia="宋体"/>
      <w:kern w:val="0"/>
      <w:sz w:val="32"/>
      <w:szCs w:val="20"/>
    </w:rPr>
  </w:style>
  <w:style w:type="paragraph" w:customStyle="1" w:styleId="194">
    <w:name w:val="Char19"/>
    <w:basedOn w:val="16"/>
    <w:qFormat/>
    <w:uiPriority w:val="0"/>
    <w:pPr>
      <w:widowControl/>
      <w:shd w:val="clear" w:color="auto" w:fill="000080"/>
      <w:spacing w:line="240" w:lineRule="auto"/>
      <w:ind w:firstLine="0" w:firstLineChars="0"/>
    </w:pPr>
    <w:rPr>
      <w:rFonts w:ascii="Times New Roman" w:eastAsia="宋体"/>
      <w:sz w:val="21"/>
      <w:szCs w:val="24"/>
    </w:rPr>
  </w:style>
  <w:style w:type="paragraph" w:customStyle="1" w:styleId="195">
    <w:name w:val="样式 标题 2 + Times New Roman 四号 非加粗 段前: 5 磅 段后: 0 磅 行距: 固定值 20..."/>
    <w:basedOn w:val="4"/>
    <w:qFormat/>
    <w:uiPriority w:val="0"/>
    <w:pPr>
      <w:spacing w:before="100" w:after="0" w:line="400" w:lineRule="exact"/>
      <w:ind w:firstLine="0" w:firstLineChars="0"/>
    </w:pPr>
    <w:rPr>
      <w:rFonts w:ascii="Times New Roman" w:hAnsi="Times New Roman" w:eastAsia="黑体" w:cs="宋体"/>
      <w:b w:val="0"/>
      <w:bCs w:val="0"/>
      <w:kern w:val="2"/>
      <w:szCs w:val="20"/>
    </w:rPr>
  </w:style>
  <w:style w:type="paragraph" w:customStyle="1" w:styleId="196">
    <w:name w:val="TOC 标题1"/>
    <w:basedOn w:val="3"/>
    <w:next w:val="1"/>
    <w:qFormat/>
    <w:uiPriority w:val="0"/>
    <w:pPr>
      <w:spacing w:line="576" w:lineRule="auto"/>
      <w:ind w:firstLine="0" w:firstLineChars="0"/>
      <w:outlineLvl w:val="9"/>
    </w:pPr>
    <w:rPr>
      <w:rFonts w:ascii="Calibri" w:hAnsi="Calibri" w:eastAsia="宋体"/>
    </w:rPr>
  </w:style>
  <w:style w:type="paragraph" w:customStyle="1" w:styleId="197">
    <w:name w:val="CM19"/>
    <w:basedOn w:val="87"/>
    <w:next w:val="87"/>
    <w:qFormat/>
    <w:uiPriority w:val="0"/>
    <w:pPr>
      <w:spacing w:line="398" w:lineRule="atLeast"/>
    </w:pPr>
    <w:rPr>
      <w:rFonts w:cs="Times New Roman"/>
      <w:color w:val="auto"/>
    </w:rPr>
  </w:style>
  <w:style w:type="paragraph" w:customStyle="1" w:styleId="198">
    <w:name w:val="目录"/>
    <w:basedOn w:val="1"/>
    <w:qFormat/>
    <w:uiPriority w:val="0"/>
    <w:pPr>
      <w:widowControl/>
      <w:spacing w:line="240" w:lineRule="auto"/>
      <w:ind w:firstLine="0" w:firstLineChars="0"/>
      <w:jc w:val="center"/>
    </w:pPr>
    <w:rPr>
      <w:rFonts w:ascii="宋体" w:eastAsia="宋体"/>
      <w:b/>
      <w:kern w:val="0"/>
      <w:sz w:val="36"/>
      <w:szCs w:val="20"/>
    </w:rPr>
  </w:style>
  <w:style w:type="paragraph" w:customStyle="1" w:styleId="199">
    <w:name w:val="CM56"/>
    <w:basedOn w:val="87"/>
    <w:next w:val="87"/>
    <w:qFormat/>
    <w:uiPriority w:val="0"/>
    <w:rPr>
      <w:rFonts w:cs="Times New Roman"/>
      <w:color w:val="auto"/>
    </w:rPr>
  </w:style>
  <w:style w:type="paragraph" w:customStyle="1" w:styleId="200">
    <w:name w:val="CM49"/>
    <w:basedOn w:val="87"/>
    <w:next w:val="87"/>
    <w:qFormat/>
    <w:uiPriority w:val="0"/>
    <w:pPr>
      <w:spacing w:line="440" w:lineRule="atLeast"/>
    </w:pPr>
    <w:rPr>
      <w:rFonts w:cs="Times New Roman"/>
      <w:color w:val="auto"/>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0" Type="http://schemas.openxmlformats.org/officeDocument/2006/relationships/fontTable" Target="fontTable.xml"/><Relationship Id="rId4" Type="http://schemas.openxmlformats.org/officeDocument/2006/relationships/endnotes" Target="endnotes.xml"/><Relationship Id="rId39" Type="http://schemas.openxmlformats.org/officeDocument/2006/relationships/numbering" Target="numbering.xml"/><Relationship Id="rId38" Type="http://schemas.openxmlformats.org/officeDocument/2006/relationships/image" Target="media/image2.wmf"/><Relationship Id="rId37" Type="http://schemas.openxmlformats.org/officeDocument/2006/relationships/oleObject" Target="embeddings/oleObject1.bin"/><Relationship Id="rId36" Type="http://schemas.openxmlformats.org/officeDocument/2006/relationships/image" Target="media/image1.png"/><Relationship Id="rId35" Type="http://schemas.openxmlformats.org/officeDocument/2006/relationships/theme" Target="theme/theme1.xml"/><Relationship Id="rId34" Type="http://schemas.openxmlformats.org/officeDocument/2006/relationships/footer" Target="footer12.xml"/><Relationship Id="rId33" Type="http://schemas.openxmlformats.org/officeDocument/2006/relationships/header" Target="header18.xml"/><Relationship Id="rId32" Type="http://schemas.openxmlformats.org/officeDocument/2006/relationships/footer" Target="footer11.xml"/><Relationship Id="rId31" Type="http://schemas.openxmlformats.org/officeDocument/2006/relationships/header" Target="header17.xml"/><Relationship Id="rId30" Type="http://schemas.openxmlformats.org/officeDocument/2006/relationships/header" Target="header16.xml"/><Relationship Id="rId3" Type="http://schemas.openxmlformats.org/officeDocument/2006/relationships/footnotes" Target="footnotes.xml"/><Relationship Id="rId29" Type="http://schemas.openxmlformats.org/officeDocument/2006/relationships/footer" Target="footer10.xml"/><Relationship Id="rId28" Type="http://schemas.openxmlformats.org/officeDocument/2006/relationships/header" Target="header15.xml"/><Relationship Id="rId27" Type="http://schemas.openxmlformats.org/officeDocument/2006/relationships/header" Target="header14.xml"/><Relationship Id="rId26" Type="http://schemas.openxmlformats.org/officeDocument/2006/relationships/header" Target="header13.xml"/><Relationship Id="rId25" Type="http://schemas.openxmlformats.org/officeDocument/2006/relationships/footer" Target="footer9.xml"/><Relationship Id="rId24" Type="http://schemas.openxmlformats.org/officeDocument/2006/relationships/header" Target="header12.xml"/><Relationship Id="rId23" Type="http://schemas.openxmlformats.org/officeDocument/2006/relationships/footer" Target="footer8.xml"/><Relationship Id="rId22" Type="http://schemas.openxmlformats.org/officeDocument/2006/relationships/header" Target="header11.xml"/><Relationship Id="rId21" Type="http://schemas.openxmlformats.org/officeDocument/2006/relationships/footer" Target="footer7.xml"/><Relationship Id="rId20" Type="http://schemas.openxmlformats.org/officeDocument/2006/relationships/header" Target="header10.xml"/><Relationship Id="rId2" Type="http://schemas.openxmlformats.org/officeDocument/2006/relationships/settings" Target="settings.xml"/><Relationship Id="rId19" Type="http://schemas.openxmlformats.org/officeDocument/2006/relationships/header" Target="header9.xml"/><Relationship Id="rId18" Type="http://schemas.openxmlformats.org/officeDocument/2006/relationships/footer" Target="footer6.xml"/><Relationship Id="rId17" Type="http://schemas.openxmlformats.org/officeDocument/2006/relationships/header" Target="header8.xml"/><Relationship Id="rId16" Type="http://schemas.openxmlformats.org/officeDocument/2006/relationships/footer" Target="footer5.xml"/><Relationship Id="rId15" Type="http://schemas.openxmlformats.org/officeDocument/2006/relationships/header" Target="header7.xml"/><Relationship Id="rId14" Type="http://schemas.openxmlformats.org/officeDocument/2006/relationships/footer" Target="footer4.xml"/><Relationship Id="rId13" Type="http://schemas.openxmlformats.org/officeDocument/2006/relationships/header" Target="header6.xml"/><Relationship Id="rId12" Type="http://schemas.openxmlformats.org/officeDocument/2006/relationships/header" Target="header5.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微软中国</Company>
  <Pages>158</Pages>
  <Words>21310</Words>
  <Characters>22926</Characters>
  <Lines>700</Lines>
  <Paragraphs>197</Paragraphs>
  <TotalTime>47</TotalTime>
  <ScaleCrop>false</ScaleCrop>
  <LinksUpToDate>false</LinksUpToDate>
  <CharactersWithSpaces>23074</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2022-11-17T02:31:00Z</dcterms:created>
  <dc:creator>柯 耀辉</dc:creator>
  <cp:lastModifiedBy>旗开得胜</cp:lastModifiedBy>
  <cp:lastPrinted>2022-11-17T00:04:00Z</cp:lastPrinted>
  <dcterms:modified xsi:type="dcterms:W3CDTF">2024-12-26T02:28:34Z</dcterms:modified>
  <cp:revision>16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5C850E536E8746F78CE051ED06562103_13</vt:lpwstr>
  </property>
  <property fmtid="{D5CDD505-2E9C-101B-9397-08002B2CF9AE}" pid="4" name="KSOTemplateDocerSaveRecord">
    <vt:lpwstr>eyJoZGlkIjoiMjJlNDViNzk0MWViYzNjOTg4ZjYxZGJiYjEwOTk3YzQiLCJ1c2VySWQiOiI0OTUxNjUwNjgifQ==</vt:lpwstr>
  </property>
</Properties>
</file>