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29880">
      <w:pPr>
        <w:widowControl/>
        <w:adjustRightInd w:val="0"/>
        <w:spacing w:line="240" w:lineRule="atLeast"/>
        <w:jc w:val="center"/>
        <w:rPr>
          <w:rFonts w:eastAsia="方正小标宋简体" w:cs="宋体"/>
          <w:color w:val="auto"/>
          <w:sz w:val="36"/>
          <w:szCs w:val="36"/>
          <w:highlight w:val="none"/>
        </w:rPr>
      </w:pPr>
      <w:bookmarkStart w:id="0" w:name="_GoBack"/>
    </w:p>
    <w:p w14:paraId="4D2996C0">
      <w:pPr>
        <w:spacing w:line="360" w:lineRule="exact"/>
        <w:rPr>
          <w:rFonts w:ascii="宋体" w:hAnsi="宋体"/>
          <w:color w:val="auto"/>
          <w:szCs w:val="21"/>
          <w:highlight w:val="none"/>
        </w:rPr>
      </w:pPr>
    </w:p>
    <w:p w14:paraId="013ECC57">
      <w:pPr>
        <w:spacing w:line="360" w:lineRule="exact"/>
        <w:rPr>
          <w:rFonts w:ascii="宋体" w:hAnsi="宋体"/>
          <w:color w:val="auto"/>
          <w:szCs w:val="21"/>
          <w:highlight w:val="none"/>
        </w:rPr>
      </w:pPr>
    </w:p>
    <w:p w14:paraId="6ACC7CA5">
      <w:pPr>
        <w:spacing w:line="360" w:lineRule="auto"/>
        <w:ind w:firstLine="565" w:firstLineChars="201"/>
        <w:jc w:val="center"/>
        <w:rPr>
          <w:rFonts w:ascii="宋体" w:hAnsi="宋体"/>
          <w:b/>
          <w:bCs/>
          <w:color w:val="auto"/>
          <w:kern w:val="0"/>
          <w:sz w:val="28"/>
          <w:szCs w:val="28"/>
          <w:highlight w:val="none"/>
        </w:rPr>
      </w:pPr>
    </w:p>
    <w:p w14:paraId="606E3EC4">
      <w:pPr>
        <w:snapToGrid w:val="0"/>
        <w:jc w:val="center"/>
        <w:rPr>
          <w:rFonts w:hint="eastAsia" w:ascii="方正小标宋简体" w:hAnsi="黑体" w:eastAsia="方正小标宋简体" w:cs="方正小标宋简体"/>
          <w:color w:val="auto"/>
          <w:kern w:val="0"/>
          <w:sz w:val="56"/>
          <w:szCs w:val="52"/>
          <w:highlight w:val="none"/>
          <w:lang w:eastAsia="zh-CN"/>
        </w:rPr>
      </w:pPr>
      <w:r>
        <w:rPr>
          <w:rFonts w:hint="eastAsia" w:ascii="方正小标宋简体" w:hAnsi="黑体" w:eastAsia="方正小标宋简体" w:cs="方正小标宋简体"/>
          <w:color w:val="auto"/>
          <w:kern w:val="0"/>
          <w:sz w:val="56"/>
          <w:szCs w:val="52"/>
          <w:highlight w:val="none"/>
          <w:lang w:eastAsia="zh-CN"/>
        </w:rPr>
        <w:t>乳山市城市管理综合服务中心</w:t>
      </w:r>
    </w:p>
    <w:p w14:paraId="42FAB853">
      <w:pPr>
        <w:spacing w:before="624" w:beforeLines="200" w:line="360" w:lineRule="auto"/>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52"/>
          <w:highlight w:val="none"/>
        </w:rPr>
        <w:t>竞争性磋商文件</w:t>
      </w:r>
    </w:p>
    <w:p w14:paraId="30B07C2F">
      <w:pPr>
        <w:spacing w:line="360" w:lineRule="auto"/>
        <w:ind w:firstLine="723" w:firstLineChars="201"/>
        <w:jc w:val="left"/>
        <w:rPr>
          <w:rFonts w:ascii="宋体" w:hAnsi="宋体"/>
          <w:color w:val="auto"/>
          <w:sz w:val="36"/>
          <w:szCs w:val="36"/>
          <w:highlight w:val="none"/>
        </w:rPr>
      </w:pPr>
    </w:p>
    <w:p w14:paraId="5805CC13">
      <w:pPr>
        <w:spacing w:line="360" w:lineRule="auto"/>
        <w:jc w:val="left"/>
        <w:rPr>
          <w:rFonts w:ascii="宋体" w:hAnsi="宋体"/>
          <w:color w:val="auto"/>
          <w:sz w:val="36"/>
          <w:szCs w:val="36"/>
          <w:highlight w:val="none"/>
        </w:rPr>
      </w:pPr>
      <w:r>
        <w:rPr>
          <w:rFonts w:hint="eastAsia" w:ascii="宋体" w:hAnsi="宋体"/>
          <w:color w:val="auto"/>
          <w:sz w:val="36"/>
          <w:szCs w:val="36"/>
          <w:highlight w:val="none"/>
        </w:rPr>
        <w:t xml:space="preserve">    </w:t>
      </w:r>
    </w:p>
    <w:p w14:paraId="6C119149">
      <w:pPr>
        <w:spacing w:after="156" w:afterLines="50" w:line="360" w:lineRule="auto"/>
        <w:ind w:firstLine="726" w:firstLineChars="201"/>
        <w:jc w:val="left"/>
        <w:rPr>
          <w:rFonts w:hint="default" w:ascii="仿宋_GB2312" w:hAnsi="仿宋" w:eastAsia="仿宋_GB2312" w:cs="方正楷体简体"/>
          <w:b/>
          <w:color w:val="auto"/>
          <w:sz w:val="36"/>
          <w:szCs w:val="36"/>
          <w:highlight w:val="none"/>
        </w:rPr>
      </w:pPr>
      <w:r>
        <w:rPr>
          <w:rFonts w:hint="eastAsia" w:ascii="仿宋_GB2312" w:hAnsi="仿宋" w:eastAsia="仿宋_GB2312" w:cs="方正楷体简体"/>
          <w:b/>
          <w:color w:val="auto"/>
          <w:sz w:val="36"/>
          <w:szCs w:val="36"/>
          <w:highlight w:val="none"/>
        </w:rPr>
        <w:t>项目名称：</w:t>
      </w:r>
      <w:r>
        <w:rPr>
          <w:rFonts w:hint="eastAsia" w:ascii="仿宋_GB2312" w:hAnsi="仿宋" w:eastAsia="仿宋_GB2312" w:cs="方正楷体简体"/>
          <w:color w:val="auto"/>
          <w:sz w:val="36"/>
          <w:szCs w:val="36"/>
          <w:highlight w:val="none"/>
          <w:lang w:eastAsia="zh-CN"/>
        </w:rPr>
        <w:t>2025年市区节日灯具安装工程</w:t>
      </w:r>
    </w:p>
    <w:p w14:paraId="0550E839">
      <w:pPr>
        <w:spacing w:after="156" w:afterLines="50" w:line="360" w:lineRule="auto"/>
        <w:ind w:firstLine="726" w:firstLineChars="201"/>
        <w:jc w:val="left"/>
        <w:rPr>
          <w:rFonts w:hint="eastAsia" w:ascii="仿宋_GB2312" w:hAnsi="仿宋" w:eastAsia="仿宋_GB2312" w:cs="方正楷体简体"/>
          <w:b/>
          <w:color w:val="auto"/>
          <w:sz w:val="36"/>
          <w:szCs w:val="36"/>
          <w:highlight w:val="none"/>
          <w:lang w:eastAsia="zh-CN"/>
        </w:rPr>
      </w:pPr>
      <w:r>
        <w:rPr>
          <w:rFonts w:hint="eastAsia" w:ascii="仿宋_GB2312" w:hAnsi="仿宋" w:eastAsia="仿宋_GB2312" w:cs="方正楷体简体"/>
          <w:b/>
          <w:color w:val="auto"/>
          <w:sz w:val="36"/>
          <w:szCs w:val="36"/>
          <w:highlight w:val="none"/>
        </w:rPr>
        <w:t>项目编号：</w:t>
      </w:r>
      <w:r>
        <w:rPr>
          <w:rFonts w:hint="eastAsia" w:ascii="仿宋_GB2312" w:hAnsi="仿宋" w:eastAsia="仿宋_GB2312" w:cs="方正楷体简体"/>
          <w:color w:val="auto"/>
          <w:sz w:val="36"/>
          <w:szCs w:val="36"/>
          <w:highlight w:val="none"/>
          <w:lang w:eastAsia="zh-CN"/>
        </w:rPr>
        <w:t>SDGP371083000202402000115</w:t>
      </w:r>
    </w:p>
    <w:p w14:paraId="42327567">
      <w:pPr>
        <w:spacing w:after="156" w:afterLines="50" w:line="360" w:lineRule="auto"/>
        <w:ind w:firstLine="726" w:firstLineChars="201"/>
        <w:jc w:val="left"/>
        <w:rPr>
          <w:rFonts w:hint="default" w:ascii="仿宋_GB2312" w:hAnsi="仿宋" w:eastAsia="仿宋_GB2312" w:cs="方正楷体简体"/>
          <w:color w:val="auto"/>
          <w:sz w:val="36"/>
          <w:szCs w:val="36"/>
          <w:highlight w:val="none"/>
          <w:lang w:eastAsia="zh-CN"/>
        </w:rPr>
      </w:pPr>
      <w:r>
        <w:rPr>
          <w:rFonts w:hint="eastAsia" w:ascii="仿宋_GB2312" w:hAnsi="仿宋" w:eastAsia="仿宋_GB2312" w:cs="方正楷体简体"/>
          <w:b/>
          <w:color w:val="auto"/>
          <w:sz w:val="36"/>
          <w:szCs w:val="36"/>
          <w:highlight w:val="none"/>
        </w:rPr>
        <w:t>包段名称：</w:t>
      </w:r>
      <w:r>
        <w:rPr>
          <w:rFonts w:hint="eastAsia" w:ascii="仿宋_GB2312" w:hAnsi="仿宋" w:eastAsia="仿宋_GB2312" w:cs="方正楷体简体"/>
          <w:color w:val="auto"/>
          <w:sz w:val="36"/>
          <w:szCs w:val="36"/>
          <w:highlight w:val="none"/>
          <w:lang w:eastAsia="zh-CN"/>
        </w:rPr>
        <w:t>2025年市区节日灯具安装工程</w:t>
      </w:r>
    </w:p>
    <w:p w14:paraId="44E26604">
      <w:pPr>
        <w:spacing w:after="156" w:afterLines="50" w:line="360" w:lineRule="auto"/>
        <w:ind w:firstLine="2548" w:firstLineChars="708"/>
        <w:jc w:val="left"/>
        <w:rPr>
          <w:rFonts w:ascii="仿宋_GB2312" w:hAnsi="仿宋" w:eastAsia="仿宋_GB2312" w:cs="方正楷体简体"/>
          <w:b/>
          <w:color w:val="auto"/>
          <w:sz w:val="36"/>
          <w:szCs w:val="36"/>
          <w:highlight w:val="none"/>
        </w:rPr>
      </w:pPr>
      <w:r>
        <w:rPr>
          <w:rFonts w:hint="eastAsia" w:ascii="仿宋_GB2312" w:hAnsi="仿宋" w:eastAsia="仿宋_GB2312" w:cs="方正楷体简体"/>
          <w:color w:val="auto"/>
          <w:sz w:val="36"/>
          <w:szCs w:val="36"/>
          <w:highlight w:val="none"/>
        </w:rPr>
        <w:t>(第</w:t>
      </w:r>
      <w:r>
        <w:rPr>
          <w:rFonts w:ascii="仿宋_GB2312" w:hAnsi="仿宋" w:eastAsia="仿宋_GB2312" w:cs="方正楷体简体"/>
          <w:color w:val="auto"/>
          <w:sz w:val="36"/>
          <w:szCs w:val="36"/>
          <w:highlight w:val="none"/>
        </w:rPr>
        <w:t>A</w:t>
      </w:r>
      <w:r>
        <w:rPr>
          <w:rFonts w:hint="eastAsia" w:ascii="仿宋_GB2312" w:hAnsi="仿宋" w:eastAsia="仿宋_GB2312" w:cs="方正楷体简体"/>
          <w:color w:val="auto"/>
          <w:sz w:val="36"/>
          <w:szCs w:val="36"/>
          <w:highlight w:val="none"/>
        </w:rPr>
        <w:t>包，共</w:t>
      </w:r>
      <w:r>
        <w:rPr>
          <w:rFonts w:hint="eastAsia" w:ascii="仿宋_GB2312" w:hAnsi="仿宋" w:eastAsia="仿宋_GB2312" w:cs="方正楷体简体"/>
          <w:color w:val="auto"/>
          <w:sz w:val="36"/>
          <w:szCs w:val="36"/>
          <w:highlight w:val="none"/>
          <w:lang w:val="en-US" w:eastAsia="zh-CN"/>
        </w:rPr>
        <w:t>1</w:t>
      </w:r>
      <w:r>
        <w:rPr>
          <w:rFonts w:hint="eastAsia" w:ascii="仿宋_GB2312" w:hAnsi="仿宋" w:eastAsia="仿宋_GB2312" w:cs="方正楷体简体"/>
          <w:color w:val="auto"/>
          <w:sz w:val="36"/>
          <w:szCs w:val="36"/>
          <w:highlight w:val="none"/>
        </w:rPr>
        <w:t xml:space="preserve">包) </w:t>
      </w:r>
    </w:p>
    <w:p w14:paraId="131CF255">
      <w:pPr>
        <w:spacing w:after="156" w:afterLines="50" w:line="360" w:lineRule="auto"/>
        <w:ind w:firstLine="726" w:firstLineChars="201"/>
        <w:jc w:val="left"/>
        <w:rPr>
          <w:rFonts w:ascii="仿宋_GB2312" w:hAnsi="仿宋" w:eastAsia="仿宋_GB2312" w:cs="方正楷体简体"/>
          <w:b/>
          <w:color w:val="auto"/>
          <w:sz w:val="36"/>
          <w:szCs w:val="36"/>
          <w:highlight w:val="none"/>
        </w:rPr>
      </w:pPr>
      <w:r>
        <w:rPr>
          <w:rFonts w:hint="eastAsia" w:ascii="仿宋_GB2312" w:hAnsi="仿宋" w:eastAsia="仿宋_GB2312" w:cs="方正楷体简体"/>
          <w:b/>
          <w:color w:val="auto"/>
          <w:sz w:val="36"/>
          <w:szCs w:val="36"/>
          <w:highlight w:val="none"/>
        </w:rPr>
        <w:t>采购方式：</w:t>
      </w:r>
      <w:r>
        <w:rPr>
          <w:rFonts w:hint="eastAsia" w:ascii="仿宋_GB2312" w:hAnsi="仿宋" w:eastAsia="仿宋_GB2312" w:cs="方正楷体简体"/>
          <w:color w:val="auto"/>
          <w:sz w:val="36"/>
          <w:szCs w:val="36"/>
          <w:highlight w:val="none"/>
        </w:rPr>
        <w:t>竞争性磋商</w:t>
      </w:r>
    </w:p>
    <w:p w14:paraId="0E55E1DE">
      <w:pPr>
        <w:spacing w:line="360" w:lineRule="auto"/>
        <w:rPr>
          <w:rFonts w:ascii="仿宋_GB2312" w:hAnsi="仿宋" w:eastAsia="仿宋_GB2312" w:cs="方正楷体简体"/>
          <w:b/>
          <w:color w:val="auto"/>
          <w:sz w:val="16"/>
          <w:szCs w:val="36"/>
          <w:highlight w:val="none"/>
        </w:rPr>
      </w:pPr>
    </w:p>
    <w:p w14:paraId="07AAEF7E">
      <w:pPr>
        <w:spacing w:line="360" w:lineRule="auto"/>
        <w:ind w:firstLine="363" w:firstLineChars="201"/>
        <w:jc w:val="center"/>
        <w:rPr>
          <w:rFonts w:ascii="仿宋_GB2312" w:hAnsi="仿宋" w:eastAsia="仿宋_GB2312" w:cs="方正楷体简体"/>
          <w:b/>
          <w:color w:val="auto"/>
          <w:sz w:val="18"/>
          <w:szCs w:val="36"/>
          <w:highlight w:val="none"/>
        </w:rPr>
      </w:pPr>
    </w:p>
    <w:p w14:paraId="28531585">
      <w:pPr>
        <w:spacing w:before="156" w:beforeLines="50" w:line="360" w:lineRule="auto"/>
        <w:ind w:firstLine="726" w:firstLineChars="201"/>
        <w:jc w:val="center"/>
        <w:rPr>
          <w:rFonts w:hint="eastAsia" w:ascii="仿宋_GB2312" w:hAnsi="仿宋" w:eastAsia="仿宋_GB2312"/>
          <w:b/>
          <w:bCs/>
          <w:color w:val="auto"/>
          <w:kern w:val="0"/>
          <w:sz w:val="36"/>
          <w:szCs w:val="36"/>
          <w:highlight w:val="none"/>
          <w:lang w:eastAsia="zh-CN"/>
        </w:rPr>
      </w:pPr>
      <w:r>
        <w:rPr>
          <w:rFonts w:hint="eastAsia" w:ascii="仿宋_GB2312" w:hAnsi="仿宋" w:eastAsia="仿宋_GB2312" w:cs="方正楷体简体"/>
          <w:b/>
          <w:color w:val="auto"/>
          <w:sz w:val="36"/>
          <w:szCs w:val="36"/>
          <w:highlight w:val="none"/>
        </w:rPr>
        <w:t>代理机构：</w:t>
      </w:r>
      <w:r>
        <w:rPr>
          <w:rFonts w:hint="eastAsia" w:ascii="仿宋_GB2312" w:hAnsi="仿宋" w:eastAsia="仿宋_GB2312" w:cs="方正楷体简体"/>
          <w:color w:val="auto"/>
          <w:sz w:val="36"/>
          <w:szCs w:val="36"/>
          <w:highlight w:val="none"/>
          <w:lang w:eastAsia="zh-CN"/>
        </w:rPr>
        <w:t>乳山天平建设工程咨询有限公司</w:t>
      </w:r>
    </w:p>
    <w:p w14:paraId="025EE773">
      <w:pPr>
        <w:spacing w:before="156" w:beforeLines="50" w:line="360" w:lineRule="auto"/>
        <w:ind w:firstLine="726" w:firstLineChars="201"/>
        <w:jc w:val="center"/>
        <w:rPr>
          <w:rFonts w:hint="eastAsia" w:ascii="仿宋_GB2312" w:hAnsi="仿宋" w:eastAsia="仿宋_GB2312" w:cs="方正楷体简体"/>
          <w:color w:val="auto"/>
          <w:sz w:val="36"/>
          <w:szCs w:val="36"/>
          <w:highlight w:val="none"/>
          <w:lang w:eastAsia="zh-CN"/>
        </w:rPr>
      </w:pPr>
      <w:r>
        <w:rPr>
          <w:rFonts w:hint="eastAsia" w:ascii="仿宋_GB2312" w:hAnsi="仿宋" w:eastAsia="仿宋_GB2312" w:cs="方正楷体简体"/>
          <w:b/>
          <w:color w:val="auto"/>
          <w:sz w:val="36"/>
          <w:szCs w:val="36"/>
          <w:highlight w:val="none"/>
        </w:rPr>
        <w:t>编制时间：</w:t>
      </w:r>
      <w:r>
        <w:rPr>
          <w:rFonts w:hint="eastAsia" w:ascii="仿宋_GB2312" w:hAnsi="仿宋" w:eastAsia="仿宋_GB2312" w:cs="方正楷体简体"/>
          <w:color w:val="auto"/>
          <w:sz w:val="36"/>
          <w:szCs w:val="36"/>
          <w:highlight w:val="none"/>
        </w:rPr>
        <w:t xml:space="preserve"> </w:t>
      </w:r>
      <w:r>
        <w:rPr>
          <w:rFonts w:hint="eastAsia" w:ascii="仿宋_GB2312" w:hAnsi="仿宋" w:eastAsia="仿宋_GB2312" w:cs="方正楷体简体"/>
          <w:color w:val="auto"/>
          <w:sz w:val="36"/>
          <w:szCs w:val="36"/>
          <w:highlight w:val="none"/>
          <w:lang w:eastAsia="zh-CN"/>
        </w:rPr>
        <w:t>2024年12月</w:t>
      </w:r>
    </w:p>
    <w:p w14:paraId="759C998C">
      <w:pPr>
        <w:spacing w:before="156" w:beforeLines="50" w:line="360" w:lineRule="auto"/>
        <w:ind w:firstLine="726" w:firstLineChars="201"/>
        <w:jc w:val="center"/>
        <w:rPr>
          <w:rFonts w:ascii="仿宋_GB2312" w:hAnsi="仿宋" w:eastAsia="仿宋_GB2312" w:cs="方正楷体简体"/>
          <w:b/>
          <w:color w:val="auto"/>
          <w:sz w:val="36"/>
          <w:szCs w:val="36"/>
          <w:highlight w:val="none"/>
        </w:rPr>
      </w:pPr>
    </w:p>
    <w:p w14:paraId="2465F657">
      <w:pPr>
        <w:spacing w:line="360" w:lineRule="auto"/>
        <w:ind w:firstLine="1045" w:firstLineChars="201"/>
        <w:jc w:val="center"/>
        <w:rPr>
          <w:rFonts w:ascii="黑体" w:hAnsi="黑体" w:eastAsia="黑体" w:cs="方正小标宋简体"/>
          <w:color w:val="auto"/>
          <w:kern w:val="0"/>
          <w:sz w:val="52"/>
          <w:szCs w:val="52"/>
          <w:highlight w:val="none"/>
        </w:rPr>
        <w:sectPr>
          <w:headerReference r:id="rId3" w:type="default"/>
          <w:pgSz w:w="11906" w:h="16838"/>
          <w:pgMar w:top="1440" w:right="1080" w:bottom="1440" w:left="1080" w:header="851" w:footer="992" w:gutter="0"/>
          <w:pgNumType w:start="1"/>
          <w:cols w:space="720" w:num="1"/>
          <w:docGrid w:type="lines" w:linePitch="312" w:charSpace="0"/>
        </w:sectPr>
      </w:pPr>
    </w:p>
    <w:p w14:paraId="6C384859">
      <w:pPr>
        <w:spacing w:line="360" w:lineRule="auto"/>
        <w:ind w:firstLine="1045" w:firstLineChars="201"/>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337F3A28">
      <w:pPr>
        <w:spacing w:line="560" w:lineRule="exact"/>
        <w:ind w:firstLine="562" w:firstLineChars="201"/>
        <w:jc w:val="left"/>
        <w:rPr>
          <w:rFonts w:ascii="宋体" w:hAnsi="宋体" w:cs="方正楷体简体"/>
          <w:color w:val="auto"/>
          <w:sz w:val="28"/>
          <w:szCs w:val="28"/>
          <w:highlight w:val="none"/>
        </w:rPr>
      </w:pPr>
    </w:p>
    <w:p w14:paraId="69705DEC">
      <w:pPr>
        <w:spacing w:line="560" w:lineRule="exact"/>
        <w:ind w:firstLine="565" w:firstLineChars="201"/>
        <w:jc w:val="left"/>
        <w:rPr>
          <w:rFonts w:ascii="仿宋_GB2312" w:hAnsi="宋体" w:eastAsia="仿宋_GB2312" w:cs="宋体"/>
          <w:b/>
          <w:bCs/>
          <w:caps/>
          <w:color w:val="auto"/>
          <w:sz w:val="28"/>
          <w:szCs w:val="28"/>
          <w:highlight w:val="none"/>
        </w:rPr>
      </w:pPr>
    </w:p>
    <w:p w14:paraId="21FB834D">
      <w:pPr>
        <w:rPr>
          <w:rFonts w:ascii="仿宋_GB2312" w:hAnsi="宋体" w:eastAsia="仿宋_GB2312"/>
          <w:b/>
          <w:color w:val="auto"/>
          <w:highlight w:val="none"/>
        </w:rPr>
      </w:pPr>
    </w:p>
    <w:p w14:paraId="3CD8F8C8">
      <w:pPr>
        <w:spacing w:line="560" w:lineRule="exact"/>
        <w:ind w:firstLine="565" w:firstLineChars="201"/>
        <w:jc w:val="left"/>
        <w:rPr>
          <w:rFonts w:ascii="仿宋_GB2312" w:hAnsi="宋体" w:eastAsia="仿宋_GB2312"/>
          <w:b/>
          <w:bCs/>
          <w:caps/>
          <w:color w:val="auto"/>
          <w:sz w:val="28"/>
          <w:szCs w:val="28"/>
          <w:highlight w:val="none"/>
        </w:rPr>
      </w:pPr>
    </w:p>
    <w:p w14:paraId="42C31FC1">
      <w:pPr>
        <w:spacing w:line="560" w:lineRule="exact"/>
        <w:ind w:firstLine="565" w:firstLineChars="201"/>
        <w:jc w:val="left"/>
        <w:rPr>
          <w:rFonts w:ascii="仿宋_GB2312" w:hAnsi="宋体" w:eastAsia="仿宋_GB2312" w:cs="方正楷体简体"/>
          <w:b/>
          <w:color w:val="auto"/>
          <w:sz w:val="28"/>
          <w:szCs w:val="28"/>
          <w:highlight w:val="none"/>
        </w:rPr>
      </w:pPr>
    </w:p>
    <w:p w14:paraId="606B6C2A">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 xml:space="preserve">第一章   竞争性磋商公告 </w:t>
      </w:r>
    </w:p>
    <w:p w14:paraId="25BF0378">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第二章   磋商须知</w:t>
      </w:r>
    </w:p>
    <w:p w14:paraId="6821373B">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第三章   采购内容与要求</w:t>
      </w:r>
    </w:p>
    <w:p w14:paraId="5CC31C98">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第四章   磋商原则、程序与方法</w:t>
      </w:r>
    </w:p>
    <w:p w14:paraId="18E2C929">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第五章   响应文件格式与要求</w:t>
      </w:r>
    </w:p>
    <w:p w14:paraId="2EEEFF8F">
      <w:pPr>
        <w:spacing w:line="720" w:lineRule="exact"/>
        <w:ind w:firstLine="565" w:firstLineChars="201"/>
        <w:jc w:val="left"/>
        <w:rPr>
          <w:rFonts w:ascii="仿宋_GB2312" w:hAnsi="黑体" w:eastAsia="仿宋_GB2312" w:cs="宋体"/>
          <w:b/>
          <w:bCs/>
          <w:caps/>
          <w:color w:val="auto"/>
          <w:sz w:val="28"/>
          <w:szCs w:val="28"/>
          <w:highlight w:val="none"/>
        </w:rPr>
      </w:pPr>
      <w:r>
        <w:rPr>
          <w:rFonts w:hint="eastAsia" w:ascii="仿宋_GB2312" w:hAnsi="黑体" w:eastAsia="仿宋_GB2312" w:cs="宋体"/>
          <w:b/>
          <w:bCs/>
          <w:caps/>
          <w:color w:val="auto"/>
          <w:sz w:val="28"/>
          <w:szCs w:val="28"/>
          <w:highlight w:val="none"/>
        </w:rPr>
        <w:t>第六章   政府采购合同（范本）</w:t>
      </w:r>
    </w:p>
    <w:p w14:paraId="3D4376F0">
      <w:pPr>
        <w:spacing w:line="560" w:lineRule="exact"/>
        <w:ind w:firstLine="424" w:firstLineChars="151"/>
        <w:jc w:val="left"/>
        <w:rPr>
          <w:rFonts w:ascii="仿宋_GB2312" w:hAnsi="宋体" w:eastAsia="仿宋_GB2312" w:cs="宋体"/>
          <w:b/>
          <w:bCs/>
          <w:caps/>
          <w:color w:val="auto"/>
          <w:sz w:val="28"/>
          <w:szCs w:val="28"/>
          <w:highlight w:val="none"/>
        </w:rPr>
      </w:pPr>
    </w:p>
    <w:p w14:paraId="4B943AFA">
      <w:pPr>
        <w:spacing w:line="560" w:lineRule="exact"/>
        <w:ind w:firstLine="424" w:firstLineChars="151"/>
        <w:jc w:val="left"/>
        <w:rPr>
          <w:rFonts w:ascii="仿宋_GB2312" w:hAnsi="宋体" w:eastAsia="仿宋_GB2312"/>
          <w:b/>
          <w:bCs/>
          <w:caps/>
          <w:color w:val="auto"/>
          <w:sz w:val="28"/>
          <w:szCs w:val="28"/>
          <w:highlight w:val="none"/>
        </w:rPr>
      </w:pPr>
    </w:p>
    <w:p w14:paraId="40592D14">
      <w:pPr>
        <w:rPr>
          <w:rFonts w:ascii="宋体" w:hAnsi="宋体"/>
          <w:color w:val="auto"/>
          <w:kern w:val="0"/>
          <w:highlight w:val="none"/>
        </w:rPr>
        <w:sectPr>
          <w:headerReference r:id="rId4" w:type="default"/>
          <w:pgSz w:w="11906" w:h="16838"/>
          <w:pgMar w:top="1440" w:right="1080" w:bottom="1440" w:left="1080" w:header="851" w:footer="992" w:gutter="0"/>
          <w:pgNumType w:start="1"/>
          <w:cols w:space="720" w:num="1"/>
          <w:docGrid w:type="lines" w:linePitch="312" w:charSpace="0"/>
        </w:sectPr>
      </w:pPr>
    </w:p>
    <w:p w14:paraId="57ABA9E7">
      <w:pPr>
        <w:pStyle w:val="33"/>
        <w:spacing w:before="100" w:beforeAutospacing="1" w:after="100" w:afterAutospacing="1" w:line="415" w:lineRule="auto"/>
        <w:rPr>
          <w:rFonts w:ascii="宋体" w:hAnsi="宋体" w:cs="宋体"/>
          <w:color w:val="auto"/>
          <w:sz w:val="24"/>
          <w:szCs w:val="44"/>
          <w:highlight w:val="none"/>
        </w:rPr>
      </w:pPr>
      <w:r>
        <w:rPr>
          <w:rFonts w:hint="eastAsia" w:ascii="楷体_GB2312" w:hAnsi="宋体" w:eastAsia="楷体_GB2312" w:cs="宋体"/>
          <w:color w:val="auto"/>
          <w:sz w:val="44"/>
          <w:szCs w:val="44"/>
          <w:highlight w:val="none"/>
        </w:rPr>
        <w:t>第一章 采购公告</w:t>
      </w:r>
    </w:p>
    <w:p w14:paraId="50E77CFD">
      <w:pPr>
        <w:rPr>
          <w:color w:val="auto"/>
          <w:highlight w:val="none"/>
        </w:rPr>
      </w:pPr>
    </w:p>
    <w:p w14:paraId="4096E156">
      <w:pPr>
        <w:rPr>
          <w:color w:val="auto"/>
          <w:highlight w:val="none"/>
        </w:rPr>
        <w:sectPr>
          <w:headerReference r:id="rId6" w:type="first"/>
          <w:footerReference r:id="rId7" w:type="default"/>
          <w:headerReference r:id="rId5" w:type="even"/>
          <w:pgSz w:w="11906" w:h="16838"/>
          <w:pgMar w:top="1440" w:right="1077" w:bottom="1440" w:left="1077" w:header="851" w:footer="992" w:gutter="0"/>
          <w:cols w:space="720" w:num="1"/>
          <w:docGrid w:type="lines" w:linePitch="312" w:charSpace="0"/>
        </w:sectPr>
      </w:pPr>
    </w:p>
    <w:p w14:paraId="7B9D6944">
      <w:pPr>
        <w:spacing w:line="360" w:lineRule="auto"/>
        <w:jc w:val="center"/>
        <w:rPr>
          <w:rFonts w:ascii="方正小标宋简体" w:eastAsia="方正小标宋简体"/>
          <w:b/>
          <w:color w:val="auto"/>
          <w:sz w:val="30"/>
          <w:szCs w:val="30"/>
          <w:highlight w:val="none"/>
        </w:rPr>
      </w:pPr>
      <w:r>
        <w:rPr>
          <w:rFonts w:hint="eastAsia" w:ascii="方正小标宋简体" w:eastAsia="方正小标宋简体"/>
          <w:b/>
          <w:color w:val="auto"/>
          <w:sz w:val="30"/>
          <w:szCs w:val="30"/>
          <w:highlight w:val="none"/>
          <w:lang w:eastAsia="zh-CN"/>
        </w:rPr>
        <w:t>2025年市区节日灯具安装工程</w:t>
      </w:r>
      <w:r>
        <w:rPr>
          <w:rFonts w:hint="eastAsia" w:ascii="方正小标宋简体" w:eastAsia="方正小标宋简体"/>
          <w:b/>
          <w:color w:val="auto"/>
          <w:sz w:val="30"/>
          <w:szCs w:val="30"/>
          <w:highlight w:val="none"/>
        </w:rPr>
        <w:t>竞争性磋商公告</w:t>
      </w:r>
    </w:p>
    <w:p w14:paraId="143A3E32">
      <w:pPr>
        <w:spacing w:line="360" w:lineRule="auto"/>
        <w:jc w:val="center"/>
        <w:rPr>
          <w:rFonts w:ascii="方正小标宋简体" w:eastAsia="方正小标宋简体"/>
          <w:b/>
          <w:color w:val="auto"/>
          <w:sz w:val="30"/>
          <w:szCs w:val="30"/>
          <w:highlight w:val="none"/>
        </w:rPr>
      </w:pPr>
    </w:p>
    <w:p w14:paraId="608E7554">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项目概况</w:t>
      </w:r>
    </w:p>
    <w:p w14:paraId="2FF378A9">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lang w:eastAsia="zh-CN"/>
        </w:rPr>
        <w:t>2025年市区节日灯具安装工程</w:t>
      </w:r>
      <w:r>
        <w:rPr>
          <w:rFonts w:hint="eastAsia" w:ascii="仿宋_GB2312" w:hAnsi="仿宋" w:eastAsia="仿宋_GB2312" w:cs="宋体"/>
          <w:color w:val="auto"/>
          <w:spacing w:val="8"/>
          <w:sz w:val="28"/>
          <w:szCs w:val="28"/>
          <w:highlight w:val="none"/>
        </w:rPr>
        <w:t>采购项目的潜在供应商应在</w:t>
      </w:r>
      <w:r>
        <w:rPr>
          <w:rFonts w:hint="eastAsia" w:ascii="仿宋_GB2312" w:hAnsi="仿宋" w:eastAsia="仿宋_GB2312" w:cs="宋体"/>
          <w:color w:val="auto"/>
          <w:spacing w:val="8"/>
          <w:sz w:val="28"/>
          <w:szCs w:val="28"/>
          <w:highlight w:val="none"/>
          <w:u w:val="single"/>
        </w:rPr>
        <w:t xml:space="preserve"> 威海市政府采购电子交易系统</w:t>
      </w:r>
      <w:r>
        <w:rPr>
          <w:rFonts w:hint="eastAsia" w:ascii="仿宋_GB2312" w:hAnsi="仿宋" w:eastAsia="仿宋_GB2312" w:cs="宋体"/>
          <w:color w:val="auto"/>
          <w:spacing w:val="8"/>
          <w:sz w:val="28"/>
          <w:szCs w:val="28"/>
          <w:highlight w:val="none"/>
          <w:u w:val="single"/>
          <w:lang w:eastAsia="zh-CN"/>
        </w:rPr>
        <w:t>威海市公共资源交易网（乳山分中心）</w:t>
      </w:r>
      <w:r>
        <w:rPr>
          <w:rFonts w:hint="eastAsia" w:ascii="仿宋_GB2312" w:hAnsi="仿宋" w:eastAsia="仿宋_GB2312" w:cs="宋体"/>
          <w:color w:val="auto"/>
          <w:spacing w:val="8"/>
          <w:sz w:val="28"/>
          <w:szCs w:val="28"/>
          <w:highlight w:val="none"/>
          <w:u w:val="single"/>
        </w:rPr>
        <w:t>右侧“交易服务一网通办”登录后选择“政府采购”按钮</w:t>
      </w:r>
      <w:r>
        <w:rPr>
          <w:rFonts w:hint="eastAsia" w:ascii="仿宋_GB2312" w:hAnsi="仿宋" w:eastAsia="仿宋_GB2312" w:cs="宋体"/>
          <w:color w:val="auto"/>
          <w:spacing w:val="8"/>
          <w:sz w:val="28"/>
          <w:szCs w:val="28"/>
          <w:highlight w:val="none"/>
        </w:rPr>
        <w:t>获取采购文件，并于</w:t>
      </w:r>
      <w:r>
        <w:rPr>
          <w:rFonts w:hint="eastAsia" w:ascii="仿宋_GB2312" w:hAnsi="宋体" w:eastAsia="仿宋_GB2312" w:cs="宋体"/>
          <w:color w:val="auto"/>
          <w:spacing w:val="8"/>
          <w:sz w:val="28"/>
          <w:szCs w:val="28"/>
          <w:highlight w:val="none"/>
          <w:u w:val="single"/>
          <w:lang w:eastAsia="zh-CN"/>
        </w:rPr>
        <w:t xml:space="preserve"> 2024年12月25日14时00分</w:t>
      </w:r>
      <w:r>
        <w:rPr>
          <w:rFonts w:hint="eastAsia" w:ascii="仿宋_GB2312" w:hAnsi="仿宋" w:eastAsia="仿宋_GB2312" w:cs="宋体"/>
          <w:color w:val="auto"/>
          <w:spacing w:val="8"/>
          <w:sz w:val="28"/>
          <w:szCs w:val="28"/>
          <w:highlight w:val="none"/>
          <w:u w:val="single"/>
        </w:rPr>
        <w:t>（北京时间）</w:t>
      </w:r>
      <w:r>
        <w:rPr>
          <w:rFonts w:hint="eastAsia" w:ascii="仿宋_GB2312" w:hAnsi="仿宋" w:eastAsia="仿宋_GB2312" w:cs="宋体"/>
          <w:color w:val="auto"/>
          <w:spacing w:val="8"/>
          <w:sz w:val="28"/>
          <w:szCs w:val="28"/>
          <w:highlight w:val="none"/>
        </w:rPr>
        <w:t>前递交响应文件。</w:t>
      </w:r>
    </w:p>
    <w:p w14:paraId="58F22056">
      <w:pPr>
        <w:spacing w:line="360" w:lineRule="auto"/>
        <w:ind w:firstLine="560" w:firstLineChars="200"/>
        <w:rPr>
          <w:rFonts w:ascii="黑体" w:hAnsi="黑体" w:eastAsia="黑体" w:cs="宋体"/>
          <w:color w:val="auto"/>
          <w:sz w:val="28"/>
          <w:szCs w:val="28"/>
          <w:highlight w:val="none"/>
        </w:rPr>
      </w:pPr>
    </w:p>
    <w:p w14:paraId="7772F134">
      <w:pPr>
        <w:spacing w:line="360" w:lineRule="auto"/>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一、项目基本情况</w:t>
      </w:r>
    </w:p>
    <w:p w14:paraId="5170CAB1">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项目编号：</w:t>
      </w:r>
      <w:r>
        <w:rPr>
          <w:rFonts w:hint="eastAsia" w:ascii="仿宋_GB2312" w:hAnsi="仿宋" w:eastAsia="仿宋_GB2312" w:cs="宋体"/>
          <w:color w:val="auto"/>
          <w:spacing w:val="8"/>
          <w:sz w:val="28"/>
          <w:szCs w:val="28"/>
          <w:highlight w:val="none"/>
          <w:lang w:eastAsia="zh-CN"/>
        </w:rPr>
        <w:t>SDGP371083000202402000115</w:t>
      </w:r>
    </w:p>
    <w:p w14:paraId="5BC1011E">
      <w:pPr>
        <w:widowControl/>
        <w:adjustRightInd w:val="0"/>
        <w:spacing w:line="360" w:lineRule="auto"/>
        <w:ind w:firstLine="592" w:firstLineChars="200"/>
        <w:jc w:val="left"/>
        <w:rPr>
          <w:rFonts w:hint="default"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项目名称：</w:t>
      </w:r>
      <w:r>
        <w:rPr>
          <w:rFonts w:hint="eastAsia" w:ascii="仿宋_GB2312" w:hAnsi="仿宋" w:eastAsia="仿宋_GB2312" w:cs="宋体"/>
          <w:color w:val="auto"/>
          <w:spacing w:val="8"/>
          <w:sz w:val="28"/>
          <w:szCs w:val="28"/>
          <w:highlight w:val="none"/>
          <w:lang w:eastAsia="zh-CN"/>
        </w:rPr>
        <w:t>2025年市区节日灯具安装工程</w:t>
      </w:r>
    </w:p>
    <w:p w14:paraId="229478A6">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采购方式：竞争性磋商</w:t>
      </w:r>
    </w:p>
    <w:p w14:paraId="4E42DD3B">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采购项目分包情况：</w:t>
      </w:r>
    </w:p>
    <w:tbl>
      <w:tblPr>
        <w:tblStyle w:val="35"/>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2268"/>
        <w:gridCol w:w="709"/>
        <w:gridCol w:w="1818"/>
        <w:gridCol w:w="1559"/>
        <w:gridCol w:w="1417"/>
        <w:gridCol w:w="1357"/>
      </w:tblGrid>
      <w:tr w14:paraId="162D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bottom w:val="single" w:color="auto" w:sz="4" w:space="0"/>
            </w:tcBorders>
            <w:vAlign w:val="center"/>
          </w:tcPr>
          <w:p w14:paraId="086DD1A1">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标包</w:t>
            </w:r>
          </w:p>
        </w:tc>
        <w:tc>
          <w:tcPr>
            <w:tcW w:w="2268" w:type="dxa"/>
            <w:vAlign w:val="center"/>
          </w:tcPr>
          <w:p w14:paraId="170699D0">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名称</w:t>
            </w:r>
          </w:p>
        </w:tc>
        <w:tc>
          <w:tcPr>
            <w:tcW w:w="709" w:type="dxa"/>
            <w:vAlign w:val="center"/>
          </w:tcPr>
          <w:p w14:paraId="08D35E81">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数量</w:t>
            </w:r>
          </w:p>
        </w:tc>
        <w:tc>
          <w:tcPr>
            <w:tcW w:w="1818" w:type="dxa"/>
            <w:tcBorders>
              <w:right w:val="single" w:color="auto" w:sz="4" w:space="0"/>
            </w:tcBorders>
            <w:vAlign w:val="center"/>
          </w:tcPr>
          <w:p w14:paraId="5F78E793">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包预算金额</w:t>
            </w:r>
          </w:p>
          <w:p w14:paraId="5B2A75A2">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（元）</w:t>
            </w:r>
          </w:p>
        </w:tc>
        <w:tc>
          <w:tcPr>
            <w:tcW w:w="1559" w:type="dxa"/>
            <w:vAlign w:val="center"/>
          </w:tcPr>
          <w:p w14:paraId="2402BF0A">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最高限价（元）</w:t>
            </w:r>
          </w:p>
        </w:tc>
        <w:tc>
          <w:tcPr>
            <w:tcW w:w="1417" w:type="dxa"/>
            <w:tcBorders>
              <w:right w:val="single" w:color="auto" w:sz="4" w:space="0"/>
            </w:tcBorders>
            <w:vAlign w:val="center"/>
          </w:tcPr>
          <w:p w14:paraId="1F2C3EEA">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采购需求</w:t>
            </w:r>
          </w:p>
        </w:tc>
        <w:tc>
          <w:tcPr>
            <w:tcW w:w="1357" w:type="dxa"/>
            <w:tcBorders>
              <w:right w:val="single" w:color="auto" w:sz="4" w:space="0"/>
            </w:tcBorders>
            <w:vAlign w:val="center"/>
          </w:tcPr>
          <w:p w14:paraId="474AC95F">
            <w:pPr>
              <w:widowControl/>
              <w:adjustRightInd w:val="0"/>
              <w:snapToGrid w:val="0"/>
              <w:jc w:val="center"/>
              <w:rPr>
                <w:rFonts w:ascii="仿宋_GB2312" w:hAnsi="宋体" w:eastAsia="仿宋_GB2312" w:cs="宋体"/>
                <w:b/>
                <w:color w:val="auto"/>
                <w:sz w:val="28"/>
                <w:highlight w:val="none"/>
              </w:rPr>
            </w:pPr>
            <w:r>
              <w:rPr>
                <w:rFonts w:hint="eastAsia" w:ascii="仿宋_GB2312" w:hAnsi="宋体" w:eastAsia="仿宋_GB2312" w:cs="宋体"/>
                <w:b/>
                <w:color w:val="auto"/>
                <w:sz w:val="28"/>
                <w:highlight w:val="none"/>
              </w:rPr>
              <w:t>合同履行期限</w:t>
            </w:r>
          </w:p>
        </w:tc>
      </w:tr>
      <w:tr w14:paraId="76CE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top w:val="single" w:color="auto" w:sz="4" w:space="0"/>
              <w:bottom w:val="single" w:color="auto" w:sz="4" w:space="0"/>
            </w:tcBorders>
            <w:vAlign w:val="center"/>
          </w:tcPr>
          <w:p w14:paraId="25B4C551">
            <w:pPr>
              <w:widowControl/>
              <w:adjustRightInd w:val="0"/>
              <w:snapToGrid w:val="0"/>
              <w:jc w:val="center"/>
              <w:rPr>
                <w:rFonts w:ascii="仿宋_GB2312" w:hAnsi="宋体" w:eastAsia="仿宋_GB2312" w:cs="宋体"/>
                <w:color w:val="auto"/>
                <w:sz w:val="28"/>
                <w:highlight w:val="none"/>
              </w:rPr>
            </w:pPr>
            <w:r>
              <w:rPr>
                <w:rFonts w:ascii="仿宋_GB2312" w:hAnsi="宋体" w:eastAsia="仿宋_GB2312" w:cs="宋体"/>
                <w:color w:val="auto"/>
                <w:sz w:val="28"/>
                <w:highlight w:val="none"/>
              </w:rPr>
              <w:t>A</w:t>
            </w:r>
          </w:p>
        </w:tc>
        <w:tc>
          <w:tcPr>
            <w:tcW w:w="2268" w:type="dxa"/>
            <w:vAlign w:val="center"/>
          </w:tcPr>
          <w:p w14:paraId="05D54D9B">
            <w:pPr>
              <w:widowControl/>
              <w:adjustRightInd w:val="0"/>
              <w:snapToGrid w:val="0"/>
              <w:jc w:val="center"/>
              <w:rPr>
                <w:rFonts w:hint="default" w:ascii="仿宋_GB2312" w:hAnsi="宋体" w:eastAsia="仿宋_GB2312" w:cs="宋体"/>
                <w:color w:val="auto"/>
                <w:sz w:val="28"/>
                <w:highlight w:val="none"/>
                <w:lang w:eastAsia="zh-CN"/>
              </w:rPr>
            </w:pPr>
            <w:r>
              <w:rPr>
                <w:rFonts w:hint="eastAsia" w:ascii="仿宋_GB2312" w:hAnsi="宋体" w:eastAsia="仿宋_GB2312" w:cs="宋体"/>
                <w:color w:val="auto"/>
                <w:sz w:val="28"/>
                <w:highlight w:val="none"/>
                <w:lang w:eastAsia="zh-CN"/>
              </w:rPr>
              <w:t>2025年市区节日灯具安装工程</w:t>
            </w:r>
          </w:p>
        </w:tc>
        <w:tc>
          <w:tcPr>
            <w:tcW w:w="709" w:type="dxa"/>
            <w:vAlign w:val="center"/>
          </w:tcPr>
          <w:p w14:paraId="2AC3BADD">
            <w:pPr>
              <w:widowControl/>
              <w:adjustRightInd w:val="0"/>
              <w:snapToGrid w:val="0"/>
              <w:jc w:val="center"/>
              <w:rPr>
                <w:rFonts w:ascii="仿宋_GB2312" w:hAnsi="宋体" w:eastAsia="仿宋_GB2312" w:cs="宋体"/>
                <w:color w:val="auto"/>
                <w:sz w:val="28"/>
                <w:highlight w:val="none"/>
              </w:rPr>
            </w:pPr>
            <w:r>
              <w:rPr>
                <w:rFonts w:ascii="仿宋_GB2312" w:hAnsi="宋体" w:eastAsia="仿宋_GB2312" w:cs="宋体"/>
                <w:color w:val="auto"/>
                <w:sz w:val="28"/>
                <w:highlight w:val="none"/>
              </w:rPr>
              <w:t>1宗</w:t>
            </w:r>
          </w:p>
        </w:tc>
        <w:tc>
          <w:tcPr>
            <w:tcW w:w="1818" w:type="dxa"/>
            <w:tcBorders>
              <w:right w:val="single" w:color="auto" w:sz="4" w:space="0"/>
            </w:tcBorders>
            <w:vAlign w:val="center"/>
          </w:tcPr>
          <w:p w14:paraId="195D7AF2">
            <w:pPr>
              <w:widowControl/>
              <w:adjustRightInd w:val="0"/>
              <w:snapToGrid w:val="0"/>
              <w:jc w:val="center"/>
              <w:rPr>
                <w:rFonts w:hint="eastAsia" w:ascii="仿宋_GB2312" w:hAnsi="宋体" w:eastAsia="仿宋_GB2312" w:cs="宋体"/>
                <w:color w:val="auto"/>
                <w:sz w:val="28"/>
                <w:highlight w:val="none"/>
                <w:lang w:eastAsia="zh-CN"/>
              </w:rPr>
            </w:pPr>
            <w:r>
              <w:rPr>
                <w:rFonts w:hint="eastAsia" w:ascii="仿宋_GB2312" w:hAnsi="宋体" w:eastAsia="仿宋_GB2312" w:cs="宋体"/>
                <w:color w:val="auto"/>
                <w:sz w:val="28"/>
                <w:highlight w:val="none"/>
                <w:lang w:eastAsia="zh-CN"/>
              </w:rPr>
              <w:t>1420000.00</w:t>
            </w:r>
          </w:p>
        </w:tc>
        <w:tc>
          <w:tcPr>
            <w:tcW w:w="1559" w:type="dxa"/>
            <w:vAlign w:val="center"/>
          </w:tcPr>
          <w:p w14:paraId="5040FC81">
            <w:pPr>
              <w:widowControl/>
              <w:adjustRightInd w:val="0"/>
              <w:snapToGrid w:val="0"/>
              <w:jc w:val="center"/>
              <w:rPr>
                <w:rFonts w:hint="eastAsia" w:ascii="仿宋_GB2312" w:hAnsi="宋体" w:eastAsia="仿宋_GB2312" w:cs="宋体"/>
                <w:color w:val="auto"/>
                <w:sz w:val="28"/>
                <w:highlight w:val="none"/>
                <w:lang w:eastAsia="zh-CN"/>
              </w:rPr>
            </w:pPr>
            <w:r>
              <w:rPr>
                <w:rFonts w:hint="eastAsia" w:ascii="仿宋_GB2312" w:hAnsi="宋体" w:eastAsia="仿宋_GB2312" w:cs="宋体"/>
                <w:color w:val="auto"/>
                <w:sz w:val="28"/>
                <w:highlight w:val="none"/>
                <w:lang w:eastAsia="zh-CN"/>
              </w:rPr>
              <w:t>1420000.00</w:t>
            </w:r>
          </w:p>
        </w:tc>
        <w:tc>
          <w:tcPr>
            <w:tcW w:w="1417" w:type="dxa"/>
            <w:tcBorders>
              <w:right w:val="single" w:color="auto" w:sz="4" w:space="0"/>
            </w:tcBorders>
            <w:vAlign w:val="center"/>
          </w:tcPr>
          <w:p w14:paraId="059A4870">
            <w:pPr>
              <w:widowControl/>
              <w:adjustRightInd w:val="0"/>
              <w:snapToGrid w:val="0"/>
              <w:jc w:val="center"/>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详见采购文件</w:t>
            </w:r>
          </w:p>
        </w:tc>
        <w:tc>
          <w:tcPr>
            <w:tcW w:w="1357" w:type="dxa"/>
            <w:tcBorders>
              <w:right w:val="single" w:color="auto" w:sz="4" w:space="0"/>
            </w:tcBorders>
            <w:vAlign w:val="center"/>
          </w:tcPr>
          <w:p w14:paraId="148CA7CA">
            <w:pPr>
              <w:widowControl/>
              <w:adjustRightInd w:val="0"/>
              <w:snapToGrid w:val="0"/>
              <w:jc w:val="center"/>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详见采购文件</w:t>
            </w:r>
          </w:p>
        </w:tc>
      </w:tr>
    </w:tbl>
    <w:p w14:paraId="489E57DC">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本项目不接受联合体响应</w:t>
      </w:r>
    </w:p>
    <w:p w14:paraId="738D20EC">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二、申请人的资格要求：</w:t>
      </w:r>
    </w:p>
    <w:p w14:paraId="1146C03E">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1.供应商应符合《中华人民共和国政府采购法》第二十二条规定(第一款 银行、保险、石油石化、电力、电信等特殊行业除外)且应为未被列入信用中国网站（www.creditchina.gov.cn）、中国政府采购网(www.ccgp.gov.cn)、信用山东（credit.shandong.gov.cn）、等渠道信用记录失信被执行人、重大税收违法案件当事人名单、政府采购严重违法失信行为记录名单；</w:t>
      </w:r>
    </w:p>
    <w:p w14:paraId="3FCC38B2">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2.法律、法规其他规定要求；</w:t>
      </w:r>
    </w:p>
    <w:p w14:paraId="112144C2">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3.落实政府采购政策需满足的资格要求：</w:t>
      </w:r>
      <w:r>
        <w:rPr>
          <w:rFonts w:ascii="仿宋_GB2312" w:hAnsi="仿宋" w:eastAsia="仿宋_GB2312" w:cs="宋体"/>
          <w:color w:val="auto"/>
          <w:spacing w:val="8"/>
          <w:sz w:val="28"/>
          <w:szCs w:val="28"/>
          <w:highlight w:val="none"/>
        </w:rPr>
        <w:t>面向中小企业采购</w:t>
      </w:r>
    </w:p>
    <w:p w14:paraId="630C698A">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4.本项目的特定资格要求：</w:t>
      </w:r>
    </w:p>
    <w:p w14:paraId="2F1F2963">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（1）本项目</w:t>
      </w:r>
      <w:r>
        <w:rPr>
          <w:rFonts w:ascii="仿宋_GB2312" w:hAnsi="仿宋" w:eastAsia="仿宋_GB2312" w:cs="宋体"/>
          <w:color w:val="auto"/>
          <w:spacing w:val="8"/>
          <w:sz w:val="28"/>
          <w:szCs w:val="28"/>
          <w:highlight w:val="none"/>
        </w:rPr>
        <w:t>为</w:t>
      </w:r>
      <w:r>
        <w:rPr>
          <w:rFonts w:hint="eastAsia" w:ascii="仿宋_GB2312" w:hAnsi="仿宋" w:eastAsia="仿宋_GB2312" w:cs="宋体"/>
          <w:color w:val="auto"/>
          <w:spacing w:val="8"/>
          <w:sz w:val="28"/>
          <w:szCs w:val="28"/>
          <w:highlight w:val="none"/>
        </w:rPr>
        <w:t>专门面向中小企业实施采购</w:t>
      </w:r>
    </w:p>
    <w:p w14:paraId="6293CC8C">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三、获取采购文件</w:t>
      </w:r>
    </w:p>
    <w:p w14:paraId="673D2C61">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1.时间：</w:t>
      </w:r>
      <w:r>
        <w:rPr>
          <w:rFonts w:hint="eastAsia" w:ascii="仿宋_GB2312" w:hAnsi="仿宋" w:eastAsia="仿宋_GB2312" w:cs="宋体"/>
          <w:color w:val="auto"/>
          <w:spacing w:val="8"/>
          <w:sz w:val="28"/>
          <w:szCs w:val="28"/>
          <w:highlight w:val="none"/>
          <w:lang w:eastAsia="zh-CN"/>
        </w:rPr>
        <w:t>2024年12月13日</w:t>
      </w:r>
      <w:r>
        <w:rPr>
          <w:rFonts w:ascii="仿宋_GB2312" w:hAnsi="仿宋" w:eastAsia="仿宋_GB2312" w:cs="宋体"/>
          <w:color w:val="auto"/>
          <w:spacing w:val="8"/>
          <w:sz w:val="28"/>
          <w:szCs w:val="28"/>
          <w:highlight w:val="none"/>
        </w:rPr>
        <w:t>17时00分</w:t>
      </w:r>
      <w:r>
        <w:rPr>
          <w:rFonts w:hint="eastAsia" w:ascii="仿宋_GB2312" w:hAnsi="仿宋" w:eastAsia="仿宋_GB2312" w:cs="宋体"/>
          <w:color w:val="auto"/>
          <w:spacing w:val="8"/>
          <w:sz w:val="28"/>
          <w:szCs w:val="28"/>
          <w:highlight w:val="none"/>
        </w:rPr>
        <w:t>至</w:t>
      </w:r>
      <w:r>
        <w:rPr>
          <w:rFonts w:hint="eastAsia" w:ascii="仿宋_GB2312" w:hAnsi="仿宋" w:eastAsia="仿宋_GB2312" w:cs="宋体"/>
          <w:color w:val="auto"/>
          <w:spacing w:val="8"/>
          <w:sz w:val="28"/>
          <w:szCs w:val="28"/>
          <w:highlight w:val="none"/>
          <w:lang w:eastAsia="zh-CN"/>
        </w:rPr>
        <w:t>2024年12月20日</w:t>
      </w:r>
      <w:r>
        <w:rPr>
          <w:rFonts w:ascii="仿宋_GB2312" w:hAnsi="仿宋" w:eastAsia="仿宋_GB2312" w:cs="宋体"/>
          <w:color w:val="auto"/>
          <w:spacing w:val="8"/>
          <w:sz w:val="28"/>
          <w:szCs w:val="28"/>
          <w:highlight w:val="none"/>
        </w:rPr>
        <w:t>17时00分</w:t>
      </w:r>
      <w:r>
        <w:rPr>
          <w:rFonts w:hint="eastAsia" w:ascii="仿宋_GB2312" w:hAnsi="仿宋" w:eastAsia="仿宋_GB2312" w:cs="宋体"/>
          <w:color w:val="auto"/>
          <w:spacing w:val="8"/>
          <w:sz w:val="28"/>
          <w:szCs w:val="28"/>
          <w:highlight w:val="none"/>
        </w:rPr>
        <w:t>（北京时间）</w:t>
      </w:r>
    </w:p>
    <w:p w14:paraId="1DC378A3">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2.地点：登录“威海市政府采购电子交易系统”（</w:t>
      </w:r>
      <w:r>
        <w:rPr>
          <w:rFonts w:hint="eastAsia" w:ascii="仿宋_GB2312" w:hAnsi="仿宋" w:eastAsia="仿宋_GB2312" w:cs="宋体"/>
          <w:color w:val="auto"/>
          <w:spacing w:val="8"/>
          <w:sz w:val="28"/>
          <w:szCs w:val="28"/>
          <w:highlight w:val="none"/>
          <w:lang w:eastAsia="zh-CN"/>
        </w:rPr>
        <w:t>威海市公共资源交易网（乳山分中心）</w:t>
      </w:r>
      <w:r>
        <w:rPr>
          <w:rFonts w:hint="eastAsia" w:ascii="仿宋_GB2312" w:hAnsi="仿宋" w:eastAsia="仿宋_GB2312" w:cs="宋体"/>
          <w:color w:val="auto"/>
          <w:spacing w:val="8"/>
          <w:sz w:val="28"/>
          <w:szCs w:val="28"/>
          <w:highlight w:val="none"/>
        </w:rPr>
        <w:t>右侧“交易服务一网通办”登录后选择“政府采购”按钮）获取文件。逾期无法从威海市政府采购电子交易系统中获取文件，未在规定时间内从系统中获取文件的供应商将无法递交电子投标（响应）文件。</w:t>
      </w:r>
    </w:p>
    <w:p w14:paraId="268715D9">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3.方式：本项目须网上获取文件。参加本项目供应商须首先在“中国山东政府采购网”完成注册入库（已注册入库无需重复注册），然后在“威海市交易服务一网通办系统”（</w:t>
      </w:r>
      <w:r>
        <w:rPr>
          <w:rFonts w:hint="eastAsia" w:ascii="仿宋_GB2312" w:hAnsi="仿宋" w:eastAsia="仿宋_GB2312" w:cs="宋体"/>
          <w:color w:val="auto"/>
          <w:spacing w:val="8"/>
          <w:sz w:val="28"/>
          <w:szCs w:val="28"/>
          <w:highlight w:val="none"/>
          <w:lang w:eastAsia="zh-CN"/>
        </w:rPr>
        <w:t>威海市公共资源交易网（乳山分中心）</w:t>
      </w:r>
      <w:r>
        <w:rPr>
          <w:rFonts w:hint="eastAsia" w:ascii="仿宋_GB2312" w:hAnsi="仿宋" w:eastAsia="仿宋_GB2312" w:cs="宋体"/>
          <w:color w:val="auto"/>
          <w:spacing w:val="8"/>
          <w:sz w:val="28"/>
          <w:szCs w:val="28"/>
          <w:highlight w:val="none"/>
        </w:rPr>
        <w:t>右侧“交易服务一网通办”按钮）登录端口注册登记，并办理“安全证书（CA）”和“电子签章”进行获取文件。“安全证书（CA）”和“电子签章”办理详见“</w:t>
      </w:r>
      <w:r>
        <w:rPr>
          <w:rFonts w:hint="eastAsia" w:ascii="仿宋_GB2312" w:hAnsi="仿宋" w:eastAsia="仿宋_GB2312" w:cs="宋体"/>
          <w:color w:val="auto"/>
          <w:spacing w:val="8"/>
          <w:sz w:val="28"/>
          <w:szCs w:val="28"/>
          <w:highlight w:val="none"/>
          <w:lang w:eastAsia="zh-CN"/>
        </w:rPr>
        <w:t>威海市公共资源交易网（乳山分中心）</w:t>
      </w:r>
      <w:r>
        <w:rPr>
          <w:rFonts w:hint="eastAsia" w:ascii="仿宋_GB2312" w:hAnsi="仿宋" w:eastAsia="仿宋_GB2312" w:cs="宋体"/>
          <w:color w:val="auto"/>
          <w:spacing w:val="8"/>
          <w:sz w:val="28"/>
          <w:szCs w:val="28"/>
          <w:highlight w:val="none"/>
        </w:rPr>
        <w:t>”（http://ggzyjy.weihai.cn/rushan/）“办事指南”-“政府采购专区”中“威海市政府采购交易系统供应商使用指南”。</w:t>
      </w:r>
    </w:p>
    <w:p w14:paraId="0D595DB7">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4.售价：免费</w:t>
      </w:r>
    </w:p>
    <w:p w14:paraId="072CACBA">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四、响应文件提交</w:t>
      </w:r>
    </w:p>
    <w:p w14:paraId="5D424B73">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时间：</w:t>
      </w:r>
      <w:r>
        <w:rPr>
          <w:rFonts w:hint="eastAsia" w:ascii="仿宋_GB2312" w:hAnsi="仿宋" w:eastAsia="仿宋_GB2312" w:cs="宋体"/>
          <w:color w:val="auto"/>
          <w:spacing w:val="8"/>
          <w:sz w:val="28"/>
          <w:szCs w:val="28"/>
          <w:highlight w:val="none"/>
          <w:lang w:eastAsia="zh-CN"/>
        </w:rPr>
        <w:t>2024年12月13日</w:t>
      </w:r>
      <w:r>
        <w:rPr>
          <w:rFonts w:ascii="仿宋_GB2312" w:hAnsi="仿宋" w:eastAsia="仿宋_GB2312" w:cs="宋体"/>
          <w:color w:val="auto"/>
          <w:spacing w:val="8"/>
          <w:sz w:val="28"/>
          <w:szCs w:val="28"/>
          <w:highlight w:val="none"/>
        </w:rPr>
        <w:t>18时00分</w:t>
      </w:r>
      <w:r>
        <w:rPr>
          <w:rFonts w:hint="eastAsia" w:ascii="仿宋_GB2312" w:hAnsi="仿宋" w:eastAsia="仿宋_GB2312" w:cs="宋体"/>
          <w:color w:val="auto"/>
          <w:spacing w:val="8"/>
          <w:sz w:val="28"/>
          <w:szCs w:val="28"/>
          <w:highlight w:val="none"/>
        </w:rPr>
        <w:t>至</w:t>
      </w:r>
      <w:r>
        <w:rPr>
          <w:rFonts w:hint="eastAsia" w:ascii="仿宋_GB2312" w:hAnsi="仿宋" w:eastAsia="仿宋_GB2312" w:cs="宋体"/>
          <w:color w:val="auto"/>
          <w:spacing w:val="8"/>
          <w:sz w:val="28"/>
          <w:szCs w:val="28"/>
          <w:highlight w:val="none"/>
          <w:lang w:eastAsia="zh-CN"/>
        </w:rPr>
        <w:t>2024年12月25日14时00分</w:t>
      </w:r>
    </w:p>
    <w:p w14:paraId="5D1C17A8">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地点：</w:t>
      </w:r>
      <w:r>
        <w:rPr>
          <w:rFonts w:hint="eastAsia" w:ascii="仿宋_GB2312" w:hAnsi="黑体" w:eastAsia="仿宋_GB2312" w:cs="宋体"/>
          <w:color w:val="auto"/>
          <w:spacing w:val="8"/>
          <w:sz w:val="28"/>
          <w:szCs w:val="28"/>
          <w:highlight w:val="none"/>
        </w:rPr>
        <w:t>登录“威海市政府采购电子交易系统”（</w:t>
      </w:r>
      <w:r>
        <w:rPr>
          <w:rFonts w:hint="eastAsia" w:ascii="仿宋_GB2312" w:hAnsi="黑体" w:eastAsia="仿宋_GB2312" w:cs="宋体"/>
          <w:color w:val="auto"/>
          <w:spacing w:val="8"/>
          <w:sz w:val="28"/>
          <w:szCs w:val="28"/>
          <w:highlight w:val="none"/>
          <w:lang w:eastAsia="zh-CN"/>
        </w:rPr>
        <w:t>威海市公共资源交易网（乳山分中心）</w:t>
      </w:r>
      <w:r>
        <w:rPr>
          <w:rFonts w:hint="eastAsia" w:ascii="仿宋_GB2312" w:hAnsi="黑体" w:eastAsia="仿宋_GB2312" w:cs="宋体"/>
          <w:color w:val="auto"/>
          <w:spacing w:val="8"/>
          <w:sz w:val="28"/>
          <w:szCs w:val="28"/>
          <w:highlight w:val="none"/>
        </w:rPr>
        <w:t>右侧“交易服务一网通办”登录后选择“政府采购”</w:t>
      </w:r>
      <w:r>
        <w:rPr>
          <w:rFonts w:hint="eastAsia" w:ascii="仿宋_GB2312" w:hAnsi="仿宋" w:eastAsia="仿宋_GB2312" w:cs="宋体"/>
          <w:color w:val="auto"/>
          <w:spacing w:val="8"/>
          <w:sz w:val="28"/>
          <w:szCs w:val="28"/>
          <w:highlight w:val="none"/>
        </w:rPr>
        <w:t>网上递交。已在威海市政府采购电子交易系统获取文件的供应商在规定时间内递交电子投标（响应）文件。</w:t>
      </w:r>
    </w:p>
    <w:p w14:paraId="5FEC57D1">
      <w:pPr>
        <w:widowControl/>
        <w:adjustRightInd w:val="0"/>
        <w:spacing w:line="360" w:lineRule="auto"/>
        <w:ind w:firstLine="560" w:firstLineChars="200"/>
        <w:jc w:val="left"/>
        <w:outlineLvl w:val="0"/>
        <w:rPr>
          <w:rFonts w:ascii="仿宋_GB2312" w:hAnsi="仿宋" w:eastAsia="仿宋_GB2312" w:cs="宋体"/>
          <w:color w:val="auto"/>
          <w:spacing w:val="8"/>
          <w:sz w:val="28"/>
          <w:szCs w:val="28"/>
          <w:highlight w:val="none"/>
        </w:rPr>
      </w:pPr>
      <w:r>
        <w:rPr>
          <w:rFonts w:hint="eastAsia" w:ascii="黑体" w:hAnsi="黑体" w:eastAsia="黑体" w:cs="宋体"/>
          <w:color w:val="auto"/>
          <w:sz w:val="28"/>
          <w:szCs w:val="28"/>
          <w:highlight w:val="none"/>
        </w:rPr>
        <w:t>五、开启</w:t>
      </w:r>
    </w:p>
    <w:p w14:paraId="0489C84F">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时间：</w:t>
      </w:r>
      <w:r>
        <w:rPr>
          <w:rFonts w:hint="eastAsia" w:ascii="仿宋_GB2312" w:hAnsi="仿宋" w:eastAsia="仿宋_GB2312" w:cs="宋体"/>
          <w:color w:val="auto"/>
          <w:spacing w:val="8"/>
          <w:sz w:val="28"/>
          <w:szCs w:val="28"/>
          <w:highlight w:val="none"/>
          <w:lang w:eastAsia="zh-CN"/>
        </w:rPr>
        <w:t xml:space="preserve"> 2024年12月25日14时00分</w:t>
      </w:r>
      <w:r>
        <w:rPr>
          <w:rFonts w:hint="eastAsia" w:ascii="仿宋_GB2312" w:hAnsi="仿宋" w:eastAsia="仿宋_GB2312" w:cs="宋体"/>
          <w:color w:val="auto"/>
          <w:spacing w:val="8"/>
          <w:sz w:val="28"/>
          <w:szCs w:val="28"/>
          <w:highlight w:val="none"/>
        </w:rPr>
        <w:t>（北京时间）</w:t>
      </w:r>
    </w:p>
    <w:p w14:paraId="0EEC294D">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地点：威海市乳山市深圳路108号市民服务中心三楼</w:t>
      </w:r>
    </w:p>
    <w:p w14:paraId="48400092">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六、公告期限</w:t>
      </w:r>
    </w:p>
    <w:p w14:paraId="785DE380">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自本公告发布之日起3个工作日。</w:t>
      </w:r>
    </w:p>
    <w:p w14:paraId="4BB3011B">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七、其他补充事宜</w:t>
      </w:r>
    </w:p>
    <w:p w14:paraId="7757BBD2">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1、同时发布公告的媒体：山东省政府采购信息公开平台、威海市公共资源交易网、</w:t>
      </w:r>
      <w:r>
        <w:rPr>
          <w:rFonts w:hint="eastAsia" w:ascii="仿宋_GB2312" w:hAnsi="仿宋" w:eastAsia="仿宋_GB2312" w:cs="宋体"/>
          <w:color w:val="auto"/>
          <w:spacing w:val="8"/>
          <w:sz w:val="28"/>
          <w:szCs w:val="28"/>
          <w:highlight w:val="none"/>
          <w:lang w:eastAsia="zh-CN"/>
        </w:rPr>
        <w:t>威海市公共资源交易网（乳山分中心）</w:t>
      </w:r>
      <w:r>
        <w:rPr>
          <w:rFonts w:hint="eastAsia" w:ascii="仿宋_GB2312" w:hAnsi="仿宋" w:eastAsia="仿宋_GB2312" w:cs="宋体"/>
          <w:color w:val="auto"/>
          <w:spacing w:val="8"/>
          <w:sz w:val="28"/>
          <w:szCs w:val="28"/>
          <w:highlight w:val="none"/>
        </w:rPr>
        <w:t>。</w:t>
      </w:r>
    </w:p>
    <w:p w14:paraId="7A1104D4">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2、本项目实行全流程电子化</w:t>
      </w:r>
      <w:r>
        <w:rPr>
          <w:rFonts w:hint="eastAsia" w:ascii="仿宋_GB2312" w:hAnsi="仿宋" w:eastAsia="仿宋_GB2312" w:cs="宋体"/>
          <w:color w:val="auto"/>
          <w:spacing w:val="8"/>
          <w:sz w:val="28"/>
          <w:szCs w:val="28"/>
          <w:highlight w:val="none"/>
          <w:lang w:eastAsia="zh-CN"/>
        </w:rPr>
        <w:t>，</w:t>
      </w:r>
      <w:r>
        <w:rPr>
          <w:rFonts w:hint="eastAsia" w:ascii="仿宋_GB2312" w:hAnsi="仿宋" w:eastAsia="仿宋_GB2312" w:cs="宋体"/>
          <w:color w:val="auto"/>
          <w:spacing w:val="8"/>
          <w:sz w:val="28"/>
          <w:szCs w:val="28"/>
          <w:highlight w:val="none"/>
        </w:rPr>
        <w:t>供应商应保持通讯畅通并提前在个人电脑上进行测试确保音频、视频功能可正常使用，因通讯不畅造成的一切后果由供应商自行承担。</w:t>
      </w:r>
    </w:p>
    <w:p w14:paraId="06C73AF2">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3、报价截止时间前，随时关注山东省政府采购信息公开平台、威海市公共资源交易网、</w:t>
      </w:r>
      <w:r>
        <w:rPr>
          <w:rFonts w:hint="eastAsia" w:ascii="仿宋_GB2312" w:hAnsi="仿宋" w:eastAsia="仿宋_GB2312" w:cs="宋体"/>
          <w:color w:val="auto"/>
          <w:spacing w:val="8"/>
          <w:sz w:val="28"/>
          <w:szCs w:val="28"/>
          <w:highlight w:val="none"/>
          <w:lang w:eastAsia="zh-CN"/>
        </w:rPr>
        <w:t>威海市公共资源交易网（乳山分中心）</w:t>
      </w:r>
      <w:r>
        <w:rPr>
          <w:rFonts w:hint="eastAsia" w:ascii="仿宋_GB2312" w:hAnsi="仿宋" w:eastAsia="仿宋_GB2312" w:cs="宋体"/>
          <w:color w:val="auto"/>
          <w:spacing w:val="8"/>
          <w:sz w:val="28"/>
          <w:szCs w:val="28"/>
          <w:highlight w:val="none"/>
        </w:rPr>
        <w:t>及威海市乳山市政府采购电子交易系统内变更提醒。</w:t>
      </w:r>
    </w:p>
    <w:p w14:paraId="413980CA">
      <w:pPr>
        <w:spacing w:line="360" w:lineRule="auto"/>
        <w:ind w:firstLine="560" w:firstLineChars="200"/>
        <w:outlineLvl w:val="0"/>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八、对本次采购提出询问，请按以下方式联系。</w:t>
      </w:r>
    </w:p>
    <w:p w14:paraId="54EE9C60">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1.采购人信息</w:t>
      </w:r>
    </w:p>
    <w:p w14:paraId="34FBFB8B">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名  称：</w:t>
      </w:r>
      <w:r>
        <w:rPr>
          <w:rFonts w:hint="eastAsia" w:ascii="仿宋_GB2312" w:hAnsi="仿宋" w:eastAsia="仿宋_GB2312" w:cs="宋体"/>
          <w:color w:val="auto"/>
          <w:spacing w:val="8"/>
          <w:sz w:val="28"/>
          <w:szCs w:val="28"/>
          <w:highlight w:val="none"/>
          <w:lang w:eastAsia="zh-CN"/>
        </w:rPr>
        <w:t>乳山市城市管理综合服务中心</w:t>
      </w:r>
    </w:p>
    <w:p w14:paraId="0CB121E3">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地  址：</w:t>
      </w:r>
      <w:r>
        <w:rPr>
          <w:rFonts w:hint="eastAsia" w:ascii="仿宋_GB2312" w:hAnsi="仿宋" w:eastAsia="仿宋_GB2312" w:cs="宋体"/>
          <w:color w:val="auto"/>
          <w:spacing w:val="8"/>
          <w:sz w:val="28"/>
          <w:szCs w:val="28"/>
          <w:highlight w:val="none"/>
          <w:lang w:eastAsia="zh-CN"/>
        </w:rPr>
        <w:t>乳山市胜利街38号</w:t>
      </w:r>
    </w:p>
    <w:p w14:paraId="7B19C67E">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联系方式：</w:t>
      </w:r>
      <w:r>
        <w:rPr>
          <w:rFonts w:hint="eastAsia" w:ascii="仿宋_GB2312" w:hAnsi="仿宋" w:eastAsia="仿宋_GB2312" w:cs="宋体"/>
          <w:color w:val="auto"/>
          <w:spacing w:val="8"/>
          <w:sz w:val="28"/>
          <w:szCs w:val="28"/>
          <w:highlight w:val="none"/>
          <w:lang w:eastAsia="zh-CN"/>
        </w:rPr>
        <w:t xml:space="preserve">0631-6624158 </w:t>
      </w:r>
    </w:p>
    <w:p w14:paraId="20A55077">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2.采购代理机构信息</w:t>
      </w:r>
    </w:p>
    <w:p w14:paraId="037001EF">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名  称：</w:t>
      </w:r>
      <w:r>
        <w:rPr>
          <w:rFonts w:hint="eastAsia" w:ascii="仿宋_GB2312" w:hAnsi="仿宋" w:eastAsia="仿宋_GB2312" w:cs="宋体"/>
          <w:color w:val="auto"/>
          <w:spacing w:val="8"/>
          <w:sz w:val="28"/>
          <w:szCs w:val="28"/>
          <w:highlight w:val="none"/>
          <w:lang w:eastAsia="zh-CN"/>
        </w:rPr>
        <w:t>乳山天平建设工程咨询有限公司</w:t>
      </w:r>
    </w:p>
    <w:p w14:paraId="6B28B70E">
      <w:pPr>
        <w:widowControl/>
        <w:adjustRightInd w:val="0"/>
        <w:spacing w:line="360" w:lineRule="auto"/>
        <w:ind w:firstLine="592" w:firstLineChars="200"/>
        <w:jc w:val="left"/>
        <w:rPr>
          <w:rFonts w:hint="default" w:ascii="仿宋_GB2312" w:hAnsi="仿宋" w:eastAsia="仿宋_GB2312" w:cs="宋体"/>
          <w:color w:val="auto"/>
          <w:spacing w:val="8"/>
          <w:sz w:val="28"/>
          <w:szCs w:val="28"/>
          <w:highlight w:val="none"/>
          <w:lang w:val="en-US"/>
        </w:rPr>
      </w:pPr>
      <w:r>
        <w:rPr>
          <w:rFonts w:hint="eastAsia" w:ascii="仿宋_GB2312" w:hAnsi="仿宋" w:eastAsia="仿宋_GB2312" w:cs="宋体"/>
          <w:color w:val="auto"/>
          <w:spacing w:val="8"/>
          <w:sz w:val="28"/>
          <w:szCs w:val="28"/>
          <w:highlight w:val="none"/>
        </w:rPr>
        <w:t>地  址：</w:t>
      </w:r>
      <w:r>
        <w:rPr>
          <w:rFonts w:hint="eastAsia" w:ascii="仿宋_GB2312" w:hAnsi="仿宋" w:eastAsia="仿宋_GB2312" w:cs="宋体"/>
          <w:color w:val="auto"/>
          <w:spacing w:val="8"/>
          <w:sz w:val="28"/>
          <w:szCs w:val="28"/>
          <w:highlight w:val="none"/>
          <w:lang w:val="en-US" w:eastAsia="zh-CN"/>
        </w:rPr>
        <w:t>乳山市深圳路久久发8号楼东门</w:t>
      </w:r>
    </w:p>
    <w:p w14:paraId="3A1095EB">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联系方式：</w:t>
      </w:r>
      <w:r>
        <w:rPr>
          <w:rFonts w:hint="eastAsia" w:ascii="仿宋_GB2312" w:hAnsi="仿宋" w:eastAsia="仿宋_GB2312" w:cs="宋体"/>
          <w:color w:val="auto"/>
          <w:spacing w:val="8"/>
          <w:sz w:val="28"/>
          <w:szCs w:val="28"/>
          <w:highlight w:val="none"/>
          <w:lang w:eastAsia="zh-CN"/>
        </w:rPr>
        <w:t>0631-6868778</w:t>
      </w:r>
    </w:p>
    <w:p w14:paraId="187B530D">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r>
        <w:rPr>
          <w:rFonts w:hint="eastAsia" w:ascii="仿宋_GB2312" w:hAnsi="仿宋" w:eastAsia="仿宋_GB2312" w:cs="宋体"/>
          <w:color w:val="auto"/>
          <w:spacing w:val="8"/>
          <w:sz w:val="28"/>
          <w:szCs w:val="28"/>
          <w:highlight w:val="none"/>
        </w:rPr>
        <w:t>3.项目联系方式</w:t>
      </w:r>
    </w:p>
    <w:p w14:paraId="17B900B3">
      <w:pPr>
        <w:widowControl/>
        <w:adjustRightInd w:val="0"/>
        <w:spacing w:line="360" w:lineRule="auto"/>
        <w:ind w:firstLine="592" w:firstLineChars="200"/>
        <w:jc w:val="left"/>
        <w:rPr>
          <w:rFonts w:hint="default" w:ascii="仿宋_GB2312" w:hAnsi="仿宋" w:eastAsia="仿宋_GB2312" w:cs="宋体"/>
          <w:color w:val="auto"/>
          <w:spacing w:val="8"/>
          <w:sz w:val="28"/>
          <w:szCs w:val="28"/>
          <w:highlight w:val="none"/>
          <w:lang w:val="en-US" w:eastAsia="zh-CN"/>
        </w:rPr>
      </w:pPr>
      <w:r>
        <w:rPr>
          <w:rFonts w:hint="eastAsia" w:ascii="仿宋_GB2312" w:hAnsi="仿宋" w:eastAsia="仿宋_GB2312" w:cs="宋体"/>
          <w:color w:val="auto"/>
          <w:spacing w:val="8"/>
          <w:sz w:val="28"/>
          <w:szCs w:val="28"/>
          <w:highlight w:val="none"/>
        </w:rPr>
        <w:t>项目联系人：</w:t>
      </w:r>
      <w:r>
        <w:rPr>
          <w:rFonts w:hint="eastAsia" w:ascii="仿宋_GB2312" w:hAnsi="仿宋" w:eastAsia="仿宋_GB2312" w:cs="宋体"/>
          <w:color w:val="auto"/>
          <w:spacing w:val="8"/>
          <w:sz w:val="28"/>
          <w:szCs w:val="28"/>
          <w:highlight w:val="none"/>
          <w:lang w:val="en-US" w:eastAsia="zh-CN"/>
        </w:rPr>
        <w:t>招标代理业务室</w:t>
      </w:r>
    </w:p>
    <w:p w14:paraId="24FB3906">
      <w:pPr>
        <w:widowControl/>
        <w:adjustRightInd w:val="0"/>
        <w:spacing w:line="360" w:lineRule="auto"/>
        <w:ind w:firstLine="592" w:firstLineChars="200"/>
        <w:jc w:val="left"/>
        <w:rPr>
          <w:rFonts w:hint="eastAsia" w:ascii="仿宋_GB2312" w:hAnsi="仿宋" w:eastAsia="仿宋_GB2312" w:cs="宋体"/>
          <w:color w:val="auto"/>
          <w:spacing w:val="8"/>
          <w:sz w:val="28"/>
          <w:szCs w:val="28"/>
          <w:highlight w:val="none"/>
          <w:lang w:eastAsia="zh-CN"/>
        </w:rPr>
      </w:pPr>
      <w:r>
        <w:rPr>
          <w:rFonts w:hint="eastAsia" w:ascii="仿宋_GB2312" w:hAnsi="仿宋" w:eastAsia="仿宋_GB2312" w:cs="宋体"/>
          <w:color w:val="auto"/>
          <w:spacing w:val="8"/>
          <w:sz w:val="28"/>
          <w:szCs w:val="28"/>
          <w:highlight w:val="none"/>
        </w:rPr>
        <w:t>电  话：</w:t>
      </w:r>
      <w:r>
        <w:rPr>
          <w:rFonts w:hint="eastAsia" w:ascii="仿宋_GB2312" w:hAnsi="仿宋" w:eastAsia="仿宋_GB2312" w:cs="宋体"/>
          <w:color w:val="auto"/>
          <w:spacing w:val="8"/>
          <w:sz w:val="28"/>
          <w:szCs w:val="28"/>
          <w:highlight w:val="none"/>
          <w:lang w:eastAsia="zh-CN"/>
        </w:rPr>
        <w:t>0631-6868778</w:t>
      </w:r>
    </w:p>
    <w:p w14:paraId="60A6DD53">
      <w:pPr>
        <w:widowControl/>
        <w:adjustRightInd w:val="0"/>
        <w:spacing w:line="360" w:lineRule="auto"/>
        <w:ind w:firstLine="592" w:firstLineChars="200"/>
        <w:jc w:val="left"/>
        <w:rPr>
          <w:rFonts w:ascii="仿宋_GB2312" w:hAnsi="仿宋" w:eastAsia="仿宋_GB2312" w:cs="宋体"/>
          <w:color w:val="auto"/>
          <w:spacing w:val="8"/>
          <w:sz w:val="28"/>
          <w:szCs w:val="28"/>
          <w:highlight w:val="none"/>
        </w:rPr>
      </w:pPr>
    </w:p>
    <w:p w14:paraId="3F90BDE0">
      <w:pPr>
        <w:spacing w:line="360" w:lineRule="auto"/>
        <w:jc w:val="right"/>
        <w:rPr>
          <w:rFonts w:ascii="仿宋_GB2312" w:hAnsi="宋体" w:eastAsia="仿宋_GB2312"/>
          <w:color w:val="auto"/>
          <w:sz w:val="28"/>
          <w:szCs w:val="28"/>
          <w:highlight w:val="none"/>
        </w:rPr>
      </w:pPr>
      <w:r>
        <w:rPr>
          <w:rFonts w:hint="eastAsia" w:ascii="仿宋_GB2312" w:hAnsi="宋体" w:eastAsia="仿宋_GB2312" w:cs="宋体"/>
          <w:color w:val="auto"/>
          <w:sz w:val="28"/>
          <w:szCs w:val="28"/>
          <w:highlight w:val="none"/>
        </w:rPr>
        <w:t>发布人：</w:t>
      </w:r>
      <w:r>
        <w:rPr>
          <w:rFonts w:hint="eastAsia" w:ascii="仿宋_GB2312" w:hAnsi="宋体" w:eastAsia="仿宋_GB2312" w:cs="宋体"/>
          <w:color w:val="auto"/>
          <w:sz w:val="28"/>
          <w:szCs w:val="28"/>
          <w:highlight w:val="none"/>
          <w:lang w:eastAsia="zh-CN"/>
        </w:rPr>
        <w:t>乳山天平建设工程咨询有限公司</w:t>
      </w:r>
      <w:r>
        <w:rPr>
          <w:rFonts w:hint="eastAsia" w:ascii="仿宋_GB2312" w:hAnsi="宋体" w:eastAsia="仿宋_GB2312"/>
          <w:color w:val="auto"/>
          <w:sz w:val="28"/>
          <w:szCs w:val="28"/>
          <w:highlight w:val="none"/>
        </w:rPr>
        <w:t xml:space="preserve"> </w:t>
      </w:r>
    </w:p>
    <w:p w14:paraId="718EC294">
      <w:pPr>
        <w:widowControl/>
        <w:adjustRightInd w:val="0"/>
        <w:spacing w:line="360" w:lineRule="auto"/>
        <w:ind w:left="-240"/>
        <w:jc w:val="righ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发布时间：</w:t>
      </w:r>
      <w:r>
        <w:rPr>
          <w:rFonts w:hint="eastAsia" w:ascii="仿宋_GB2312" w:hAnsi="宋体" w:eastAsia="仿宋_GB2312" w:cs="宋体"/>
          <w:color w:val="auto"/>
          <w:sz w:val="28"/>
          <w:szCs w:val="28"/>
          <w:highlight w:val="none"/>
          <w:lang w:eastAsia="zh-CN"/>
        </w:rPr>
        <w:t>2024年12月13日</w:t>
      </w:r>
    </w:p>
    <w:p w14:paraId="4727E4F6">
      <w:pPr>
        <w:widowControl/>
        <w:adjustRightInd w:val="0"/>
        <w:spacing w:line="360" w:lineRule="auto"/>
        <w:ind w:left="-240"/>
        <w:jc w:val="right"/>
        <w:rPr>
          <w:rFonts w:ascii="仿宋_GB2312" w:hAnsi="宋体" w:eastAsia="仿宋_GB2312" w:cs="宋体"/>
          <w:color w:val="auto"/>
          <w:sz w:val="28"/>
          <w:szCs w:val="28"/>
          <w:highlight w:val="none"/>
        </w:rPr>
      </w:pPr>
    </w:p>
    <w:p w14:paraId="68A10C66">
      <w:pPr>
        <w:rPr>
          <w:rFonts w:ascii="黑体" w:hAnsi="黑体" w:eastAsia="黑体" w:cs="宋体"/>
          <w:color w:val="auto"/>
          <w:sz w:val="32"/>
          <w:szCs w:val="32"/>
          <w:highlight w:val="none"/>
        </w:rPr>
      </w:pPr>
      <w:r>
        <w:rPr>
          <w:rFonts w:ascii="黑体" w:hAnsi="黑体" w:eastAsia="黑体" w:cs="宋体"/>
          <w:color w:val="auto"/>
          <w:sz w:val="32"/>
          <w:szCs w:val="32"/>
          <w:highlight w:val="none"/>
        </w:rPr>
        <w:br w:type="page"/>
      </w:r>
    </w:p>
    <w:p w14:paraId="005C90E8">
      <w:pPr>
        <w:widowControl/>
        <w:adjustRightInd w:val="0"/>
        <w:spacing w:line="360" w:lineRule="auto"/>
        <w:ind w:left="-298" w:leftChars="-142" w:right="280"/>
        <w:jc w:val="left"/>
        <w:rPr>
          <w:rFonts w:ascii="黑体" w:hAnsi="黑体" w:eastAsia="黑体" w:cs="宋体"/>
          <w:color w:val="auto"/>
          <w:sz w:val="32"/>
          <w:szCs w:val="32"/>
          <w:highlight w:val="none"/>
        </w:rPr>
      </w:pPr>
      <w:r>
        <w:rPr>
          <w:rFonts w:ascii="黑体" w:hAnsi="黑体" w:eastAsia="黑体" w:cs="宋体"/>
          <w:color w:val="auto"/>
          <w:sz w:val="32"/>
          <w:szCs w:val="32"/>
          <w:highlight w:val="none"/>
        </w:rPr>
        <w:t>温馨提示</w:t>
      </w:r>
      <w:r>
        <w:rPr>
          <w:rFonts w:hint="eastAsia" w:ascii="黑体" w:hAnsi="黑体" w:eastAsia="黑体" w:cs="宋体"/>
          <w:color w:val="auto"/>
          <w:sz w:val="32"/>
          <w:szCs w:val="32"/>
          <w:highlight w:val="none"/>
        </w:rPr>
        <w:t>：</w:t>
      </w:r>
    </w:p>
    <w:p w14:paraId="7AD214BD">
      <w:pPr>
        <w:widowControl/>
        <w:adjustRightInd w:val="0"/>
        <w:spacing w:line="360" w:lineRule="auto"/>
        <w:ind w:left="-238" w:firstLine="560" w:firstLineChars="200"/>
        <w:jc w:val="left"/>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为缓解中小企业融资困难，山东省财政厅、威海市财政局等部门出台了政府采购合同融资措施，贵单位如有融资需求，可登录“威海市公共资源交易网-企业融资服务平台专区”了解详情。</w:t>
      </w:r>
    </w:p>
    <w:p w14:paraId="0FD5F0B9">
      <w:pPr>
        <w:widowControl/>
        <w:adjustRightInd w:val="0"/>
        <w:spacing w:line="360" w:lineRule="auto"/>
        <w:ind w:left="-238" w:firstLine="560" w:firstLineChars="200"/>
        <w:jc w:val="left"/>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1.山东省政府采购 合同融资与履约保函服务平台</w:t>
      </w:r>
    </w:p>
    <w:p w14:paraId="10529EA1">
      <w:pPr>
        <w:widowControl/>
        <w:adjustRightInd w:val="0"/>
        <w:spacing w:line="360" w:lineRule="auto"/>
        <w:ind w:left="480" w:right="280"/>
        <w:rPr>
          <w:rFonts w:ascii="仿宋_GB2312" w:hAnsi="宋体" w:eastAsia="仿宋_GB2312" w:cs="宋体"/>
          <w:color w:val="auto"/>
          <w:sz w:val="28"/>
          <w:highlight w:val="none"/>
        </w:rPr>
      </w:pPr>
      <w:r>
        <w:rPr>
          <w:color w:val="auto"/>
          <w:highlight w:val="none"/>
        </w:rPr>
        <w:drawing>
          <wp:anchor distT="0" distB="0" distL="114300" distR="114300" simplePos="0" relativeHeight="251659264" behindDoc="0" locked="0" layoutInCell="1" allowOverlap="1">
            <wp:simplePos x="0" y="0"/>
            <wp:positionH relativeFrom="column">
              <wp:posOffset>3992245</wp:posOffset>
            </wp:positionH>
            <wp:positionV relativeFrom="paragraph">
              <wp:posOffset>64135</wp:posOffset>
            </wp:positionV>
            <wp:extent cx="993775" cy="836295"/>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93775" cy="836295"/>
                    </a:xfrm>
                    <a:prstGeom prst="rect">
                      <a:avLst/>
                    </a:prstGeom>
                    <a:noFill/>
                    <a:ln>
                      <a:noFill/>
                    </a:ln>
                  </pic:spPr>
                </pic:pic>
              </a:graphicData>
            </a:graphic>
          </wp:anchor>
        </w:drawing>
      </w:r>
    </w:p>
    <w:p w14:paraId="5EA2B536">
      <w:pPr>
        <w:widowControl/>
        <w:adjustRightInd w:val="0"/>
        <w:spacing w:line="360" w:lineRule="auto"/>
        <w:ind w:left="480" w:right="280"/>
        <w:rPr>
          <w:rFonts w:ascii="仿宋_GB2312" w:hAnsi="宋体" w:eastAsia="仿宋_GB2312" w:cs="宋体"/>
          <w:color w:val="auto"/>
          <w:sz w:val="28"/>
          <w:highlight w:val="none"/>
        </w:rPr>
      </w:pPr>
    </w:p>
    <w:p w14:paraId="32A62AD6">
      <w:pPr>
        <w:widowControl/>
        <w:adjustRightInd w:val="0"/>
        <w:spacing w:line="360" w:lineRule="auto"/>
        <w:ind w:right="560" w:firstLine="280" w:firstLineChars="100"/>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网址：</w:t>
      </w:r>
      <w:r>
        <w:rPr>
          <w:color w:val="auto"/>
          <w:highlight w:val="none"/>
        </w:rPr>
        <w:fldChar w:fldCharType="begin"/>
      </w:r>
      <w:r>
        <w:rPr>
          <w:color w:val="auto"/>
          <w:highlight w:val="none"/>
        </w:rPr>
        <w:instrText xml:space="preserve"> HYPERLINK "http://www.ccgp-shandong-rz.cn/" </w:instrText>
      </w:r>
      <w:r>
        <w:rPr>
          <w:color w:val="auto"/>
          <w:highlight w:val="none"/>
        </w:rPr>
        <w:fldChar w:fldCharType="separate"/>
      </w:r>
      <w:r>
        <w:rPr>
          <w:rFonts w:hint="eastAsia" w:ascii="仿宋_GB2312" w:hAnsi="宋体" w:eastAsia="仿宋_GB2312" w:cs="宋体"/>
          <w:color w:val="auto"/>
          <w:sz w:val="28"/>
          <w:highlight w:val="none"/>
        </w:rPr>
        <w:t>http://www.ccgp-shandong-rz.cn/</w:t>
      </w:r>
      <w:r>
        <w:rPr>
          <w:rFonts w:hint="eastAsia" w:ascii="仿宋_GB2312" w:hAnsi="宋体" w:eastAsia="仿宋_GB2312" w:cs="宋体"/>
          <w:color w:val="auto"/>
          <w:sz w:val="28"/>
          <w:highlight w:val="none"/>
        </w:rPr>
        <w:fldChar w:fldCharType="end"/>
      </w:r>
    </w:p>
    <w:p w14:paraId="157973A7">
      <w:pPr>
        <w:widowControl/>
        <w:adjustRightInd w:val="0"/>
        <w:spacing w:line="360" w:lineRule="auto"/>
        <w:ind w:firstLine="280" w:firstLineChars="100"/>
        <w:jc w:val="left"/>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2.信财银保 企业融资担保服务平台</w:t>
      </w:r>
    </w:p>
    <w:p w14:paraId="7F2F8649">
      <w:pPr>
        <w:widowControl/>
        <w:adjustRightInd w:val="0"/>
        <w:spacing w:line="360" w:lineRule="auto"/>
        <w:ind w:firstLine="280" w:firstLineChars="100"/>
        <w:jc w:val="left"/>
        <w:rPr>
          <w:rFonts w:ascii="仿宋_GB2312" w:hAnsi="宋体" w:eastAsia="仿宋_GB2312" w:cs="宋体"/>
          <w:color w:val="auto"/>
          <w:sz w:val="28"/>
          <w:highlight w:val="none"/>
        </w:rPr>
      </w:pPr>
      <w:r>
        <w:rPr>
          <w:rFonts w:hint="eastAsia" w:ascii="仿宋_GB2312" w:hAnsi="宋体" w:eastAsia="仿宋_GB2312" w:cs="宋体"/>
          <w:color w:val="auto"/>
          <w:sz w:val="28"/>
          <w:highlight w:val="none"/>
        </w:rPr>
        <w:t>网址：</w:t>
      </w:r>
      <w:r>
        <w:rPr>
          <w:color w:val="auto"/>
          <w:highlight w:val="none"/>
        </w:rPr>
        <w:fldChar w:fldCharType="begin"/>
      </w:r>
      <w:r>
        <w:rPr>
          <w:color w:val="auto"/>
          <w:highlight w:val="none"/>
        </w:rPr>
        <w:instrText xml:space="preserve"> HYPERLINK "http://xcyb.weihai.cn/tz/financing-service" </w:instrText>
      </w:r>
      <w:r>
        <w:rPr>
          <w:color w:val="auto"/>
          <w:highlight w:val="none"/>
        </w:rPr>
        <w:fldChar w:fldCharType="separate"/>
      </w:r>
      <w:r>
        <w:rPr>
          <w:rFonts w:hint="eastAsia" w:ascii="仿宋_GB2312" w:hAnsi="宋体" w:eastAsia="仿宋_GB2312" w:cs="宋体"/>
          <w:color w:val="auto"/>
          <w:sz w:val="28"/>
          <w:highlight w:val="none"/>
        </w:rPr>
        <w:t>http://xcyb.weihai.cn/tz/financing-service</w:t>
      </w:r>
      <w:r>
        <w:rPr>
          <w:rFonts w:hint="eastAsia" w:ascii="仿宋_GB2312" w:hAnsi="宋体" w:eastAsia="仿宋_GB2312" w:cs="宋体"/>
          <w:color w:val="auto"/>
          <w:sz w:val="28"/>
          <w:highlight w:val="none"/>
        </w:rPr>
        <w:fldChar w:fldCharType="end"/>
      </w:r>
    </w:p>
    <w:p w14:paraId="40EE4685">
      <w:pPr>
        <w:widowControl/>
        <w:adjustRightInd w:val="0"/>
        <w:spacing w:line="360" w:lineRule="auto"/>
        <w:ind w:left="-240"/>
        <w:jc w:val="right"/>
        <w:rPr>
          <w:rFonts w:ascii="仿宋_GB2312" w:hAnsi="宋体" w:eastAsia="仿宋_GB2312" w:cs="宋体"/>
          <w:color w:val="auto"/>
          <w:sz w:val="28"/>
          <w:szCs w:val="28"/>
          <w:highlight w:val="none"/>
        </w:rPr>
      </w:pPr>
    </w:p>
    <w:p w14:paraId="7180DF13">
      <w:pPr>
        <w:widowControl/>
        <w:adjustRightInd w:val="0"/>
        <w:spacing w:line="360" w:lineRule="auto"/>
        <w:ind w:left="-240"/>
        <w:jc w:val="right"/>
        <w:rPr>
          <w:rFonts w:ascii="仿宋_GB2312" w:hAnsi="宋体" w:eastAsia="仿宋_GB2312" w:cs="宋体"/>
          <w:color w:val="auto"/>
          <w:sz w:val="28"/>
          <w:szCs w:val="28"/>
          <w:highlight w:val="none"/>
        </w:rPr>
      </w:pPr>
    </w:p>
    <w:p w14:paraId="442CFB77">
      <w:pPr>
        <w:widowControl/>
        <w:adjustRightInd w:val="0"/>
        <w:spacing w:line="360" w:lineRule="auto"/>
        <w:ind w:left="-240"/>
        <w:jc w:val="right"/>
        <w:rPr>
          <w:rFonts w:ascii="仿宋_GB2312" w:hAnsi="宋体" w:eastAsia="仿宋_GB2312" w:cs="宋体"/>
          <w:color w:val="auto"/>
          <w:sz w:val="28"/>
          <w:szCs w:val="28"/>
          <w:highlight w:val="none"/>
        </w:rPr>
      </w:pPr>
    </w:p>
    <w:p w14:paraId="2416DCB0">
      <w:pPr>
        <w:pStyle w:val="33"/>
        <w:spacing w:before="100" w:beforeAutospacing="1" w:after="100" w:afterAutospacing="1" w:line="415" w:lineRule="auto"/>
        <w:ind w:left="1440"/>
        <w:rPr>
          <w:color w:val="auto"/>
          <w:highlight w:val="none"/>
        </w:rPr>
        <w:sectPr>
          <w:headerReference r:id="rId8" w:type="default"/>
          <w:footerReference r:id="rId9" w:type="default"/>
          <w:pgSz w:w="11906" w:h="16838"/>
          <w:pgMar w:top="1440" w:right="1077" w:bottom="1440" w:left="1077" w:header="851" w:footer="992" w:gutter="0"/>
          <w:cols w:space="720" w:num="1"/>
          <w:docGrid w:type="lines" w:linePitch="312" w:charSpace="0"/>
        </w:sectPr>
      </w:pPr>
      <w:r>
        <w:rPr>
          <w:rFonts w:ascii="楷体_GB2312" w:hAnsi="宋体" w:eastAsia="楷体_GB2312" w:cs="宋体"/>
          <w:color w:val="auto"/>
          <w:sz w:val="44"/>
          <w:szCs w:val="44"/>
          <w:highlight w:val="none"/>
        </w:rPr>
        <w:br w:type="page"/>
      </w:r>
      <w:r>
        <w:rPr>
          <w:rFonts w:hint="eastAsia" w:ascii="楷体_GB2312" w:hAnsi="宋体" w:eastAsia="楷体_GB2312" w:cs="宋体"/>
          <w:color w:val="auto"/>
          <w:sz w:val="44"/>
          <w:szCs w:val="44"/>
          <w:highlight w:val="none"/>
        </w:rPr>
        <w:t>第二章 投标（响应）须知</w:t>
      </w:r>
    </w:p>
    <w:p w14:paraId="1330DF47">
      <w:pPr>
        <w:tabs>
          <w:tab w:val="left" w:pos="4111"/>
        </w:tabs>
        <w:spacing w:line="560" w:lineRule="exact"/>
        <w:jc w:val="left"/>
        <w:rPr>
          <w:rFonts w:ascii="宋体" w:hAnsi="宋体"/>
          <w:color w:val="auto"/>
          <w:szCs w:val="21"/>
          <w:highlight w:val="none"/>
        </w:rPr>
      </w:pPr>
    </w:p>
    <w:p w14:paraId="54CA8CF5">
      <w:pPr>
        <w:spacing w:line="5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响应</w:t>
      </w:r>
      <w:r>
        <w:rPr>
          <w:rFonts w:ascii="黑体" w:hAnsi="黑体" w:eastAsia="黑体"/>
          <w:color w:val="auto"/>
          <w:sz w:val="32"/>
          <w:szCs w:val="32"/>
          <w:highlight w:val="none"/>
        </w:rPr>
        <w:t>须知前附表</w:t>
      </w:r>
    </w:p>
    <w:p w14:paraId="4792DB83">
      <w:pPr>
        <w:spacing w:line="560" w:lineRule="exact"/>
        <w:ind w:firstLine="560" w:firstLineChars="200"/>
        <w:jc w:val="left"/>
        <w:rPr>
          <w:rFonts w:ascii="仿宋_GB2312" w:hAnsi="宋体" w:eastAsia="仿宋_GB2312"/>
          <w:color w:val="auto"/>
          <w:sz w:val="28"/>
          <w:szCs w:val="28"/>
          <w:highlight w:val="none"/>
        </w:rPr>
      </w:pPr>
    </w:p>
    <w:p w14:paraId="4599196B">
      <w:pPr>
        <w:spacing w:line="560" w:lineRule="exact"/>
        <w:ind w:firstLine="560" w:firstLineChars="200"/>
        <w:jc w:val="lef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本表是本采购项目的具体资料，是对投标（响应）须知的汇总和补充，如有矛盾，应以本资料表为准。</w:t>
      </w:r>
    </w:p>
    <w:p w14:paraId="052A08BA">
      <w:pPr>
        <w:spacing w:line="560" w:lineRule="exact"/>
        <w:ind w:firstLine="560" w:firstLineChars="200"/>
        <w:jc w:val="left"/>
        <w:rPr>
          <w:rFonts w:ascii="仿宋_GB2312" w:hAnsi="宋体" w:eastAsia="仿宋_GB2312"/>
          <w:color w:val="auto"/>
          <w:sz w:val="28"/>
          <w:szCs w:val="28"/>
          <w:highlight w:val="none"/>
        </w:rPr>
      </w:pPr>
    </w:p>
    <w:tbl>
      <w:tblPr>
        <w:tblStyle w:val="3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291"/>
      </w:tblGrid>
      <w:tr w14:paraId="2A249A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93DDF13">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序号</w:t>
            </w:r>
          </w:p>
        </w:tc>
        <w:tc>
          <w:tcPr>
            <w:tcW w:w="8291" w:type="dxa"/>
            <w:tcBorders>
              <w:top w:val="single" w:color="auto" w:sz="4" w:space="0"/>
              <w:left w:val="single" w:color="auto" w:sz="4" w:space="0"/>
              <w:bottom w:val="single" w:color="auto" w:sz="4" w:space="0"/>
            </w:tcBorders>
            <w:vAlign w:val="center"/>
          </w:tcPr>
          <w:p w14:paraId="16633B44">
            <w:pPr>
              <w:spacing w:line="560" w:lineRule="exact"/>
              <w:jc w:val="center"/>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内           容</w:t>
            </w:r>
          </w:p>
        </w:tc>
      </w:tr>
      <w:tr w14:paraId="50827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04B67D1">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w:t>
            </w:r>
          </w:p>
        </w:tc>
        <w:tc>
          <w:tcPr>
            <w:tcW w:w="8291" w:type="dxa"/>
            <w:tcBorders>
              <w:top w:val="single" w:color="auto" w:sz="4" w:space="0"/>
              <w:left w:val="single" w:color="auto" w:sz="4" w:space="0"/>
              <w:bottom w:val="single" w:color="auto" w:sz="4" w:space="0"/>
            </w:tcBorders>
            <w:vAlign w:val="center"/>
          </w:tcPr>
          <w:p w14:paraId="56BBDEFA">
            <w:pPr>
              <w:spacing w:line="560" w:lineRule="exact"/>
              <w:rPr>
                <w:rFonts w:hint="default"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项目名称：</w:t>
            </w:r>
            <w:r>
              <w:rPr>
                <w:rFonts w:hint="eastAsia" w:ascii="仿宋_GB2312" w:hAnsi="宋体" w:eastAsia="仿宋_GB2312"/>
                <w:color w:val="auto"/>
                <w:sz w:val="28"/>
                <w:szCs w:val="28"/>
                <w:highlight w:val="none"/>
                <w:lang w:eastAsia="zh-CN"/>
              </w:rPr>
              <w:t>2025年市区节日灯具安装工程</w:t>
            </w:r>
          </w:p>
        </w:tc>
      </w:tr>
      <w:tr w14:paraId="68350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713716F">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w:t>
            </w:r>
          </w:p>
        </w:tc>
        <w:tc>
          <w:tcPr>
            <w:tcW w:w="8291" w:type="dxa"/>
            <w:tcBorders>
              <w:top w:val="single" w:color="auto" w:sz="4" w:space="0"/>
              <w:left w:val="single" w:color="auto" w:sz="4" w:space="0"/>
              <w:bottom w:val="single" w:color="auto" w:sz="4" w:space="0"/>
            </w:tcBorders>
            <w:vAlign w:val="center"/>
          </w:tcPr>
          <w:p w14:paraId="47F95F7A">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项目编号：</w:t>
            </w:r>
            <w:r>
              <w:rPr>
                <w:rFonts w:hint="eastAsia" w:ascii="仿宋_GB2312" w:hAnsi="宋体" w:eastAsia="仿宋_GB2312"/>
                <w:color w:val="auto"/>
                <w:sz w:val="28"/>
                <w:szCs w:val="28"/>
                <w:highlight w:val="none"/>
                <w:lang w:eastAsia="zh-CN"/>
              </w:rPr>
              <w:t>SDGP371083000202402000115</w:t>
            </w:r>
          </w:p>
        </w:tc>
      </w:tr>
      <w:tr w14:paraId="264B9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6C7F404C">
            <w:pPr>
              <w:spacing w:line="560" w:lineRule="exact"/>
              <w:jc w:val="center"/>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w:t>
            </w:r>
          </w:p>
        </w:tc>
        <w:tc>
          <w:tcPr>
            <w:tcW w:w="8291" w:type="dxa"/>
            <w:tcBorders>
              <w:top w:val="single" w:color="auto" w:sz="4" w:space="0"/>
              <w:left w:val="single" w:color="auto" w:sz="4" w:space="0"/>
              <w:bottom w:val="single" w:color="auto" w:sz="4" w:space="0"/>
            </w:tcBorders>
            <w:vAlign w:val="center"/>
          </w:tcPr>
          <w:p w14:paraId="1E86C5A6">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采购人名称：</w:t>
            </w:r>
            <w:r>
              <w:rPr>
                <w:rFonts w:hint="eastAsia" w:ascii="仿宋_GB2312" w:hAnsi="宋体" w:eastAsia="仿宋_GB2312"/>
                <w:color w:val="auto"/>
                <w:sz w:val="28"/>
                <w:szCs w:val="28"/>
                <w:highlight w:val="none"/>
                <w:lang w:eastAsia="zh-CN"/>
              </w:rPr>
              <w:t>乳山市城市管理综合服务中心</w:t>
            </w:r>
          </w:p>
          <w:p w14:paraId="7D3C06C8">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地址：</w:t>
            </w:r>
            <w:r>
              <w:rPr>
                <w:rFonts w:hint="eastAsia" w:ascii="仿宋_GB2312" w:hAnsi="仿宋" w:eastAsia="仿宋_GB2312" w:cs="宋体"/>
                <w:color w:val="auto"/>
                <w:spacing w:val="8"/>
                <w:sz w:val="28"/>
                <w:szCs w:val="28"/>
                <w:highlight w:val="none"/>
                <w:lang w:eastAsia="zh-CN"/>
              </w:rPr>
              <w:t>乳山市胜利街38号</w:t>
            </w:r>
          </w:p>
          <w:p w14:paraId="57443B99">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联系人：</w:t>
            </w:r>
            <w:r>
              <w:rPr>
                <w:rFonts w:hint="eastAsia" w:ascii="仿宋_GB2312" w:hAnsi="宋体" w:eastAsia="仿宋_GB2312"/>
                <w:color w:val="auto"/>
                <w:sz w:val="28"/>
                <w:szCs w:val="28"/>
                <w:highlight w:val="none"/>
                <w:lang w:eastAsia="zh-CN"/>
              </w:rPr>
              <w:t>杜俊科</w:t>
            </w:r>
          </w:p>
          <w:p w14:paraId="76663BD3">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联系方式：</w:t>
            </w:r>
            <w:r>
              <w:rPr>
                <w:rFonts w:hint="eastAsia" w:ascii="仿宋_GB2312" w:hAnsi="宋体" w:eastAsia="仿宋_GB2312"/>
                <w:color w:val="auto"/>
                <w:sz w:val="28"/>
                <w:szCs w:val="28"/>
                <w:highlight w:val="none"/>
                <w:lang w:eastAsia="zh-CN"/>
              </w:rPr>
              <w:t xml:space="preserve">0631-6624158 </w:t>
            </w:r>
          </w:p>
        </w:tc>
      </w:tr>
      <w:tr w14:paraId="3AF0E5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4DC88280">
            <w:pPr>
              <w:spacing w:line="560" w:lineRule="exact"/>
              <w:jc w:val="center"/>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w:t>
            </w:r>
          </w:p>
        </w:tc>
        <w:tc>
          <w:tcPr>
            <w:tcW w:w="8291" w:type="dxa"/>
            <w:tcBorders>
              <w:top w:val="single" w:color="auto" w:sz="4" w:space="0"/>
              <w:left w:val="single" w:color="auto" w:sz="4" w:space="0"/>
              <w:bottom w:val="single" w:color="auto" w:sz="4" w:space="0"/>
            </w:tcBorders>
            <w:vAlign w:val="center"/>
          </w:tcPr>
          <w:p w14:paraId="28A1E8D9">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采购代理机构名称：</w:t>
            </w:r>
            <w:r>
              <w:rPr>
                <w:rFonts w:hint="eastAsia" w:ascii="仿宋_GB2312" w:hAnsi="宋体" w:eastAsia="仿宋_GB2312"/>
                <w:color w:val="auto"/>
                <w:sz w:val="28"/>
                <w:szCs w:val="28"/>
                <w:highlight w:val="none"/>
                <w:lang w:eastAsia="zh-CN"/>
              </w:rPr>
              <w:t>乳山天平建设工程咨询有限公司</w:t>
            </w:r>
          </w:p>
          <w:p w14:paraId="42AF120A">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地址：</w:t>
            </w:r>
            <w:r>
              <w:rPr>
                <w:rFonts w:hint="eastAsia" w:ascii="仿宋_GB2312" w:hAnsi="宋体" w:eastAsia="仿宋_GB2312"/>
                <w:color w:val="auto"/>
                <w:sz w:val="28"/>
                <w:szCs w:val="28"/>
                <w:highlight w:val="none"/>
                <w:lang w:val="en-US" w:eastAsia="zh-CN"/>
              </w:rPr>
              <w:t>乳山市深圳路久久发8号楼东门</w:t>
            </w:r>
            <w:r>
              <w:rPr>
                <w:rFonts w:ascii="仿宋_GB2312" w:hAnsi="宋体" w:eastAsia="仿宋_GB2312"/>
                <w:color w:val="auto"/>
                <w:sz w:val="28"/>
                <w:szCs w:val="28"/>
                <w:highlight w:val="none"/>
              </w:rPr>
              <w:t xml:space="preserve"> </w:t>
            </w:r>
          </w:p>
          <w:p w14:paraId="5505CC48">
            <w:pPr>
              <w:spacing w:line="560" w:lineRule="exact"/>
              <w:rPr>
                <w:rFonts w:hint="default" w:ascii="仿宋_GB2312" w:hAnsi="宋体" w:eastAsia="仿宋_GB2312"/>
                <w:color w:val="auto"/>
                <w:sz w:val="28"/>
                <w:szCs w:val="28"/>
                <w:highlight w:val="none"/>
                <w:lang w:val="en-US" w:eastAsia="zh-CN"/>
              </w:rPr>
            </w:pPr>
            <w:r>
              <w:rPr>
                <w:rFonts w:hint="eastAsia" w:ascii="仿宋_GB2312" w:hAnsi="宋体" w:eastAsia="仿宋_GB2312"/>
                <w:color w:val="auto"/>
                <w:sz w:val="28"/>
                <w:szCs w:val="28"/>
                <w:highlight w:val="none"/>
              </w:rPr>
              <w:t>联系人：</w:t>
            </w:r>
            <w:r>
              <w:rPr>
                <w:rFonts w:hint="eastAsia" w:ascii="仿宋_GB2312" w:hAnsi="宋体" w:eastAsia="仿宋_GB2312"/>
                <w:color w:val="auto"/>
                <w:sz w:val="28"/>
                <w:szCs w:val="28"/>
                <w:highlight w:val="none"/>
                <w:lang w:val="en-US" w:eastAsia="zh-CN"/>
              </w:rPr>
              <w:t>招标代理业务室</w:t>
            </w:r>
          </w:p>
          <w:p w14:paraId="2AC21515">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联系方式：</w:t>
            </w:r>
            <w:r>
              <w:rPr>
                <w:rFonts w:hint="eastAsia" w:ascii="仿宋_GB2312" w:hAnsi="宋体" w:eastAsia="仿宋_GB2312"/>
                <w:color w:val="auto"/>
                <w:sz w:val="28"/>
                <w:szCs w:val="28"/>
                <w:highlight w:val="none"/>
                <w:lang w:eastAsia="zh-CN"/>
              </w:rPr>
              <w:t>0631-6868778</w:t>
            </w:r>
          </w:p>
        </w:tc>
      </w:tr>
      <w:tr w14:paraId="48E89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95F3AAB">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w:t>
            </w:r>
          </w:p>
        </w:tc>
        <w:tc>
          <w:tcPr>
            <w:tcW w:w="8291" w:type="dxa"/>
            <w:tcBorders>
              <w:top w:val="single" w:color="auto" w:sz="4" w:space="0"/>
              <w:left w:val="single" w:color="auto" w:sz="4" w:space="0"/>
              <w:bottom w:val="single" w:color="auto" w:sz="4" w:space="0"/>
            </w:tcBorders>
            <w:vAlign w:val="center"/>
          </w:tcPr>
          <w:p w14:paraId="37E359A1">
            <w:pPr>
              <w:spacing w:line="560" w:lineRule="exact"/>
              <w:jc w:val="lef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资质证明文件原件：无需提供资质证明文件原件</w:t>
            </w:r>
          </w:p>
        </w:tc>
      </w:tr>
      <w:tr w14:paraId="142239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9BBB35A">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w:t>
            </w:r>
          </w:p>
        </w:tc>
        <w:tc>
          <w:tcPr>
            <w:tcW w:w="8291" w:type="dxa"/>
            <w:tcBorders>
              <w:top w:val="single" w:color="auto" w:sz="4" w:space="0"/>
              <w:left w:val="single" w:color="auto" w:sz="4" w:space="0"/>
              <w:bottom w:val="single" w:color="auto" w:sz="4" w:space="0"/>
            </w:tcBorders>
            <w:vAlign w:val="center"/>
          </w:tcPr>
          <w:p w14:paraId="020F938B">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响应文件份数：网上按时递交电子响应文件1份</w:t>
            </w:r>
          </w:p>
        </w:tc>
      </w:tr>
      <w:tr w14:paraId="2FF09D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5B46406C">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w:t>
            </w:r>
          </w:p>
        </w:tc>
        <w:tc>
          <w:tcPr>
            <w:tcW w:w="8291" w:type="dxa"/>
            <w:tcBorders>
              <w:top w:val="single" w:color="auto" w:sz="4" w:space="0"/>
              <w:left w:val="single" w:color="auto" w:sz="4" w:space="0"/>
              <w:bottom w:val="single" w:color="auto" w:sz="4" w:space="0"/>
            </w:tcBorders>
            <w:vAlign w:val="center"/>
          </w:tcPr>
          <w:p w14:paraId="39C6A72F">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实物样品：</w:t>
            </w:r>
            <w:r>
              <w:rPr>
                <w:rFonts w:hint="eastAsia" w:ascii="仿宋_GB2312" w:hAnsi="宋体" w:eastAsia="仿宋_GB2312" w:cs="Times New Roman"/>
                <w:color w:val="auto"/>
                <w:sz w:val="28"/>
                <w:szCs w:val="28"/>
                <w:highlight w:val="none"/>
              </w:rPr>
              <w:t>开标时需提供实际性响应产品，需现场点亮，未提供样品或携带不齐全者样品分不得分。</w:t>
            </w:r>
            <w:r>
              <w:rPr>
                <w:rFonts w:hint="eastAsia" w:ascii="仿宋_GB2312" w:hAnsi="宋体" w:eastAsia="仿宋_GB2312" w:cs="Times New Roman"/>
                <w:color w:val="auto"/>
                <w:sz w:val="28"/>
                <w:szCs w:val="28"/>
                <w:highlight w:val="none"/>
                <w:lang w:eastAsia="zh-CN"/>
              </w:rPr>
              <w:t>成交候选人成交</w:t>
            </w:r>
            <w:r>
              <w:rPr>
                <w:rFonts w:hint="eastAsia" w:ascii="仿宋_GB2312" w:hAnsi="宋体" w:eastAsia="仿宋_GB2312" w:cs="Times New Roman"/>
                <w:color w:val="auto"/>
                <w:sz w:val="28"/>
                <w:szCs w:val="28"/>
                <w:highlight w:val="none"/>
              </w:rPr>
              <w:t>后样品送达甲方封存，未</w:t>
            </w:r>
            <w:r>
              <w:rPr>
                <w:rFonts w:hint="eastAsia" w:ascii="仿宋_GB2312" w:hAnsi="宋体" w:eastAsia="仿宋_GB2312" w:cs="Times New Roman"/>
                <w:color w:val="auto"/>
                <w:sz w:val="28"/>
                <w:szCs w:val="28"/>
                <w:highlight w:val="none"/>
                <w:lang w:eastAsia="zh-CN"/>
              </w:rPr>
              <w:t>成交</w:t>
            </w:r>
            <w:r>
              <w:rPr>
                <w:rFonts w:hint="eastAsia" w:ascii="仿宋_GB2312" w:hAnsi="宋体" w:eastAsia="仿宋_GB2312" w:cs="Times New Roman"/>
                <w:color w:val="auto"/>
                <w:sz w:val="28"/>
                <w:szCs w:val="28"/>
                <w:highlight w:val="none"/>
              </w:rPr>
              <w:t>者样品自行带回，</w:t>
            </w:r>
            <w:r>
              <w:rPr>
                <w:rFonts w:hint="eastAsia" w:ascii="仿宋_GB2312" w:hAnsi="宋体" w:eastAsia="仿宋_GB2312" w:cs="Times New Roman"/>
                <w:color w:val="auto"/>
                <w:sz w:val="28"/>
                <w:szCs w:val="28"/>
                <w:highlight w:val="none"/>
                <w:lang w:eastAsia="zh-CN"/>
              </w:rPr>
              <w:t>采购</w:t>
            </w:r>
            <w:r>
              <w:rPr>
                <w:rFonts w:hint="eastAsia" w:ascii="仿宋_GB2312" w:hAnsi="宋体" w:eastAsia="仿宋_GB2312" w:cs="Times New Roman"/>
                <w:color w:val="auto"/>
                <w:sz w:val="28"/>
                <w:szCs w:val="28"/>
                <w:highlight w:val="none"/>
              </w:rPr>
              <w:t>人与代理公司不承担任何费用（供应商需单独打印一份“样品明细表”</w:t>
            </w:r>
            <w:r>
              <w:rPr>
                <w:rFonts w:hint="eastAsia" w:ascii="仿宋_GB2312" w:hAnsi="宋体" w:eastAsia="仿宋_GB2312" w:cs="Times New Roman"/>
                <w:color w:val="auto"/>
                <w:sz w:val="28"/>
                <w:szCs w:val="28"/>
                <w:highlight w:val="none"/>
                <w:lang w:eastAsia="zh-CN"/>
              </w:rPr>
              <w:t>附带样品同时提交</w:t>
            </w:r>
            <w:r>
              <w:rPr>
                <w:rFonts w:hint="eastAsia" w:ascii="仿宋_GB2312" w:hAnsi="宋体" w:eastAsia="仿宋_GB2312" w:cs="Times New Roman"/>
                <w:color w:val="auto"/>
                <w:sz w:val="28"/>
                <w:szCs w:val="28"/>
                <w:highlight w:val="none"/>
              </w:rPr>
              <w:t>）。</w:t>
            </w:r>
            <w:r>
              <w:rPr>
                <w:rFonts w:hint="eastAsia" w:ascii="仿宋_GB2312" w:hAnsi="宋体" w:eastAsia="仿宋_GB2312"/>
                <w:color w:val="auto"/>
                <w:sz w:val="28"/>
                <w:szCs w:val="28"/>
                <w:highlight w:val="none"/>
              </w:rPr>
              <w:t xml:space="preserve"> </w:t>
            </w:r>
          </w:p>
        </w:tc>
      </w:tr>
      <w:tr w14:paraId="4BB59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586BB18">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8</w:t>
            </w:r>
          </w:p>
        </w:tc>
        <w:tc>
          <w:tcPr>
            <w:tcW w:w="8291" w:type="dxa"/>
            <w:tcBorders>
              <w:top w:val="single" w:color="auto" w:sz="4" w:space="0"/>
              <w:left w:val="single" w:color="auto" w:sz="4" w:space="0"/>
              <w:bottom w:val="single" w:color="auto" w:sz="4" w:space="0"/>
            </w:tcBorders>
            <w:vAlign w:val="center"/>
          </w:tcPr>
          <w:p w14:paraId="00F505BA">
            <w:pPr>
              <w:spacing w:line="560" w:lineRule="exact"/>
              <w:textAlignment w:val="top"/>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现场踏勘：无 </w:t>
            </w:r>
          </w:p>
        </w:tc>
      </w:tr>
      <w:tr w14:paraId="5AE9B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38FE4AFC">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w:t>
            </w:r>
          </w:p>
        </w:tc>
        <w:tc>
          <w:tcPr>
            <w:tcW w:w="8291" w:type="dxa"/>
            <w:tcBorders>
              <w:top w:val="single" w:color="auto" w:sz="4" w:space="0"/>
              <w:left w:val="single" w:color="auto" w:sz="4" w:space="0"/>
              <w:bottom w:val="single" w:color="auto" w:sz="4" w:space="0"/>
            </w:tcBorders>
            <w:vAlign w:val="center"/>
          </w:tcPr>
          <w:p w14:paraId="480B5EB7">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现场演示：无 </w:t>
            </w:r>
          </w:p>
        </w:tc>
      </w:tr>
      <w:tr w14:paraId="2EEB22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2DF14F9">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w:t>
            </w:r>
          </w:p>
        </w:tc>
        <w:tc>
          <w:tcPr>
            <w:tcW w:w="8291" w:type="dxa"/>
            <w:tcBorders>
              <w:top w:val="single" w:color="auto" w:sz="4" w:space="0"/>
              <w:left w:val="single" w:color="auto" w:sz="4" w:space="0"/>
              <w:bottom w:val="single" w:color="auto" w:sz="4" w:space="0"/>
            </w:tcBorders>
            <w:vAlign w:val="center"/>
          </w:tcPr>
          <w:p w14:paraId="60B3D7F1">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报价有效期：开标之日起90天</w:t>
            </w:r>
          </w:p>
        </w:tc>
      </w:tr>
      <w:tr w14:paraId="574C5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F6B73EA">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11</w:t>
            </w:r>
          </w:p>
        </w:tc>
        <w:tc>
          <w:tcPr>
            <w:tcW w:w="8291" w:type="dxa"/>
            <w:tcBorders>
              <w:top w:val="single" w:color="auto" w:sz="4" w:space="0"/>
              <w:left w:val="single" w:color="auto" w:sz="4" w:space="0"/>
              <w:bottom w:val="single" w:color="auto" w:sz="4" w:space="0"/>
            </w:tcBorders>
            <w:vAlign w:val="center"/>
          </w:tcPr>
          <w:p w14:paraId="44B13CBE">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是否专门面向</w:t>
            </w:r>
            <w:r>
              <w:rPr>
                <w:rFonts w:ascii="仿宋_GB2312" w:hAnsi="宋体" w:eastAsia="仿宋_GB2312"/>
                <w:color w:val="auto"/>
                <w:sz w:val="28"/>
                <w:szCs w:val="28"/>
                <w:highlight w:val="none"/>
              </w:rPr>
              <w:t>中小企业采购</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是</w:t>
            </w:r>
          </w:p>
        </w:tc>
      </w:tr>
      <w:tr w14:paraId="6A9F13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2943209">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12</w:t>
            </w:r>
          </w:p>
        </w:tc>
        <w:tc>
          <w:tcPr>
            <w:tcW w:w="8291" w:type="dxa"/>
            <w:tcBorders>
              <w:top w:val="single" w:color="auto" w:sz="4" w:space="0"/>
              <w:left w:val="single" w:color="auto" w:sz="4" w:space="0"/>
              <w:bottom w:val="single" w:color="auto" w:sz="4" w:space="0"/>
            </w:tcBorders>
            <w:vAlign w:val="center"/>
          </w:tcPr>
          <w:p w14:paraId="34B01A91">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本项目不</w:t>
            </w:r>
            <w:r>
              <w:rPr>
                <w:rFonts w:ascii="仿宋_GB2312" w:hAnsi="宋体" w:eastAsia="仿宋_GB2312"/>
                <w:color w:val="auto"/>
                <w:sz w:val="28"/>
                <w:szCs w:val="28"/>
                <w:highlight w:val="none"/>
              </w:rPr>
              <w:t>允许</w:t>
            </w:r>
            <w:r>
              <w:rPr>
                <w:rFonts w:hint="eastAsia" w:ascii="仿宋_GB2312" w:hAnsi="宋体" w:eastAsia="仿宋_GB2312"/>
                <w:color w:val="auto"/>
                <w:sz w:val="28"/>
                <w:szCs w:val="28"/>
                <w:highlight w:val="none"/>
              </w:rPr>
              <w:t>投报</w:t>
            </w:r>
            <w:r>
              <w:rPr>
                <w:rFonts w:ascii="仿宋_GB2312" w:hAnsi="宋体" w:eastAsia="仿宋_GB2312"/>
                <w:color w:val="auto"/>
                <w:sz w:val="28"/>
                <w:szCs w:val="28"/>
                <w:highlight w:val="none"/>
              </w:rPr>
              <w:t>进口产品</w:t>
            </w:r>
          </w:p>
        </w:tc>
      </w:tr>
      <w:tr w14:paraId="43080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4D20E3E6">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w:t>
            </w:r>
          </w:p>
        </w:tc>
        <w:tc>
          <w:tcPr>
            <w:tcW w:w="8291" w:type="dxa"/>
            <w:tcBorders>
              <w:top w:val="single" w:color="auto" w:sz="4" w:space="0"/>
              <w:left w:val="single" w:color="auto" w:sz="4" w:space="0"/>
              <w:bottom w:val="single" w:color="auto" w:sz="4" w:space="0"/>
            </w:tcBorders>
            <w:vAlign w:val="center"/>
          </w:tcPr>
          <w:p w14:paraId="5D86B8B7">
            <w:pPr>
              <w:spacing w:line="60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本分包最高限价：</w:t>
            </w:r>
            <w:r>
              <w:rPr>
                <w:rFonts w:hint="eastAsia" w:ascii="仿宋_GB2312" w:hAnsi="宋体" w:eastAsia="仿宋_GB2312"/>
                <w:color w:val="auto"/>
                <w:sz w:val="28"/>
                <w:szCs w:val="28"/>
                <w:highlight w:val="none"/>
                <w:u w:val="single"/>
                <w:lang w:eastAsia="zh-CN"/>
              </w:rPr>
              <w:t>1420000.00</w:t>
            </w:r>
            <w:r>
              <w:rPr>
                <w:rFonts w:hint="eastAsia" w:ascii="仿宋_GB2312" w:hAnsi="宋体" w:eastAsia="仿宋_GB2312"/>
                <w:color w:val="auto"/>
                <w:sz w:val="28"/>
                <w:szCs w:val="28"/>
                <w:highlight w:val="none"/>
              </w:rPr>
              <w:t>元</w:t>
            </w:r>
          </w:p>
        </w:tc>
      </w:tr>
      <w:tr w14:paraId="07B36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3F07931">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14</w:t>
            </w:r>
          </w:p>
        </w:tc>
        <w:tc>
          <w:tcPr>
            <w:tcW w:w="8291" w:type="dxa"/>
            <w:tcBorders>
              <w:top w:val="single" w:color="auto" w:sz="4" w:space="0"/>
              <w:left w:val="single" w:color="auto" w:sz="4" w:space="0"/>
              <w:bottom w:val="single" w:color="auto" w:sz="4" w:space="0"/>
            </w:tcBorders>
            <w:vAlign w:val="center"/>
          </w:tcPr>
          <w:p w14:paraId="7D9DC6E5">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本项目不接受联合体响应</w:t>
            </w:r>
          </w:p>
        </w:tc>
      </w:tr>
      <w:tr w14:paraId="43A07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81FFC9A">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15</w:t>
            </w:r>
          </w:p>
        </w:tc>
        <w:tc>
          <w:tcPr>
            <w:tcW w:w="8291" w:type="dxa"/>
            <w:tcBorders>
              <w:top w:val="single" w:color="auto" w:sz="4" w:space="0"/>
              <w:left w:val="single" w:color="auto" w:sz="4" w:space="0"/>
              <w:bottom w:val="single" w:color="auto" w:sz="4" w:space="0"/>
            </w:tcBorders>
            <w:vAlign w:val="center"/>
          </w:tcPr>
          <w:p w14:paraId="68EC9247">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本项目不收取磋商保证金</w:t>
            </w:r>
          </w:p>
        </w:tc>
      </w:tr>
      <w:tr w14:paraId="1C0C8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3BE80F70">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16</w:t>
            </w:r>
          </w:p>
        </w:tc>
        <w:tc>
          <w:tcPr>
            <w:tcW w:w="8291" w:type="dxa"/>
            <w:tcBorders>
              <w:top w:val="single" w:color="auto" w:sz="4" w:space="0"/>
              <w:left w:val="single" w:color="auto" w:sz="4" w:space="0"/>
              <w:bottom w:val="single" w:color="auto" w:sz="4" w:space="0"/>
            </w:tcBorders>
            <w:vAlign w:val="center"/>
          </w:tcPr>
          <w:p w14:paraId="62DE95D2">
            <w:pPr>
              <w:spacing w:line="560" w:lineRule="exact"/>
              <w:rPr>
                <w:rFonts w:hint="default" w:ascii="仿宋_GB2312" w:hAnsi="宋体" w:eastAsia="仿宋_GB2312"/>
                <w:color w:val="auto"/>
                <w:sz w:val="28"/>
                <w:szCs w:val="28"/>
                <w:highlight w:val="none"/>
                <w:lang w:val="en-US" w:eastAsia="zh-CN"/>
              </w:rPr>
            </w:pPr>
            <w:r>
              <w:rPr>
                <w:rFonts w:hint="eastAsia" w:ascii="仿宋_GB2312" w:hAnsi="宋体" w:eastAsia="仿宋_GB2312"/>
                <w:color w:val="auto"/>
                <w:sz w:val="28"/>
                <w:szCs w:val="28"/>
                <w:highlight w:val="none"/>
              </w:rPr>
              <w:t>响应文件递交时间：</w:t>
            </w:r>
            <w:r>
              <w:rPr>
                <w:rFonts w:hint="eastAsia" w:ascii="仿宋_GB2312" w:hAnsi="宋体" w:eastAsia="仿宋_GB2312"/>
                <w:color w:val="auto"/>
                <w:sz w:val="28"/>
                <w:szCs w:val="28"/>
                <w:highlight w:val="none"/>
                <w:lang w:val="en-US" w:eastAsia="zh-CN"/>
              </w:rPr>
              <w:t>详见磋商公告</w:t>
            </w:r>
          </w:p>
          <w:p w14:paraId="48A949A9">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响应文件递交网址：</w:t>
            </w:r>
          </w:p>
          <w:p w14:paraId="15748B88">
            <w:pPr>
              <w:spacing w:line="560" w:lineRule="exact"/>
              <w:rPr>
                <w:rFonts w:ascii="仿宋_GB2312" w:hAnsi="宋体" w:eastAsia="仿宋_GB2312"/>
                <w:color w:val="auto"/>
                <w:sz w:val="28"/>
                <w:szCs w:val="28"/>
                <w:highlight w:val="none"/>
              </w:rPr>
            </w:pPr>
            <w:r>
              <w:rPr>
                <w:rFonts w:hint="eastAsia" w:ascii="仿宋_GB2312" w:hAnsi="黑体" w:eastAsia="仿宋_GB2312" w:cs="宋体"/>
                <w:color w:val="auto"/>
                <w:spacing w:val="8"/>
                <w:sz w:val="28"/>
                <w:szCs w:val="28"/>
                <w:highlight w:val="none"/>
              </w:rPr>
              <w:t>登录“威海市政府采购电子交易系统”（</w:t>
            </w:r>
            <w:r>
              <w:rPr>
                <w:rFonts w:hint="eastAsia" w:ascii="仿宋_GB2312" w:hAnsi="黑体" w:eastAsia="仿宋_GB2312" w:cs="宋体"/>
                <w:color w:val="auto"/>
                <w:spacing w:val="8"/>
                <w:sz w:val="28"/>
                <w:szCs w:val="28"/>
                <w:highlight w:val="none"/>
                <w:lang w:eastAsia="zh-CN"/>
              </w:rPr>
              <w:t>威海市公共资源交易网（乳山分中心）</w:t>
            </w:r>
            <w:r>
              <w:rPr>
                <w:rFonts w:hint="eastAsia" w:ascii="仿宋_GB2312" w:hAnsi="黑体" w:eastAsia="仿宋_GB2312" w:cs="宋体"/>
                <w:color w:val="auto"/>
                <w:spacing w:val="8"/>
                <w:sz w:val="28"/>
                <w:szCs w:val="28"/>
                <w:highlight w:val="none"/>
              </w:rPr>
              <w:t>右侧“交易服务一网通办”登录后选择“政府采购”</w:t>
            </w:r>
          </w:p>
        </w:tc>
      </w:tr>
      <w:tr w14:paraId="5AA59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5B9DE736">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17</w:t>
            </w:r>
          </w:p>
        </w:tc>
        <w:tc>
          <w:tcPr>
            <w:tcW w:w="8291" w:type="dxa"/>
            <w:tcBorders>
              <w:top w:val="single" w:color="auto" w:sz="4" w:space="0"/>
              <w:left w:val="single" w:color="auto" w:sz="4" w:space="0"/>
              <w:bottom w:val="single" w:color="auto" w:sz="4" w:space="0"/>
            </w:tcBorders>
            <w:vAlign w:val="center"/>
          </w:tcPr>
          <w:p w14:paraId="6A8134EA">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响应文件开启（解密）时间：</w:t>
            </w:r>
            <w:r>
              <w:rPr>
                <w:rFonts w:hint="eastAsia" w:ascii="仿宋_GB2312" w:hAnsi="宋体" w:eastAsia="仿宋_GB2312"/>
                <w:color w:val="auto"/>
                <w:sz w:val="28"/>
                <w:szCs w:val="28"/>
                <w:highlight w:val="none"/>
                <w:lang w:val="en-US" w:eastAsia="zh-CN"/>
              </w:rPr>
              <w:t>详见磋商公告</w:t>
            </w:r>
          </w:p>
          <w:p w14:paraId="711B50FC">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开标地点：威海市乳山市深圳路108号市民服务中心三楼</w:t>
            </w:r>
          </w:p>
        </w:tc>
      </w:tr>
      <w:tr w14:paraId="4CEF9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5EAA8C1">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18</w:t>
            </w:r>
          </w:p>
        </w:tc>
        <w:tc>
          <w:tcPr>
            <w:tcW w:w="8291" w:type="dxa"/>
            <w:tcBorders>
              <w:top w:val="single" w:color="auto" w:sz="4" w:space="0"/>
              <w:left w:val="single" w:color="auto" w:sz="4" w:space="0"/>
              <w:bottom w:val="single" w:color="auto" w:sz="4" w:space="0"/>
            </w:tcBorders>
            <w:vAlign w:val="center"/>
          </w:tcPr>
          <w:p w14:paraId="1E83ACA9">
            <w:pPr>
              <w:spacing w:line="560" w:lineRule="exact"/>
              <w:rPr>
                <w:rFonts w:ascii="仿宋_GB2312" w:hAnsi="宋体" w:eastAsia="仿宋_GB2312"/>
                <w:b/>
                <w:bCs/>
                <w:color w:val="auto"/>
                <w:sz w:val="28"/>
                <w:szCs w:val="28"/>
                <w:highlight w:val="none"/>
              </w:rPr>
            </w:pPr>
            <w:r>
              <w:rPr>
                <w:rFonts w:hint="eastAsia" w:ascii="仿宋_GB2312" w:eastAsia="仿宋_GB2312"/>
                <w:b/>
                <w:bCs/>
                <w:color w:val="auto"/>
                <w:sz w:val="28"/>
                <w:szCs w:val="28"/>
                <w:highlight w:val="none"/>
              </w:rPr>
              <w:t>响应文件开启（解密）、磋商方式：远程解密、磋商，</w:t>
            </w:r>
            <w:r>
              <w:rPr>
                <w:rFonts w:hint="eastAsia" w:ascii="仿宋_GB2312" w:eastAsia="仿宋_GB2312"/>
                <w:b/>
                <w:bCs/>
                <w:color w:val="auto"/>
                <w:sz w:val="28"/>
                <w:szCs w:val="28"/>
                <w:highlight w:val="none"/>
                <w:u w:val="dashLongHeavy"/>
              </w:rPr>
              <w:t>供应商无需到现场参与解密、磋商</w:t>
            </w:r>
            <w:r>
              <w:rPr>
                <w:rFonts w:hint="eastAsia" w:ascii="仿宋_GB2312" w:eastAsia="仿宋_GB2312"/>
                <w:b/>
                <w:bCs/>
                <w:color w:val="auto"/>
                <w:sz w:val="28"/>
                <w:szCs w:val="28"/>
                <w:highlight w:val="none"/>
              </w:rPr>
              <w:t>，</w:t>
            </w:r>
            <w:r>
              <w:rPr>
                <w:rFonts w:hint="eastAsia" w:ascii="仿宋_GB2312" w:hAnsi="宋体" w:eastAsia="仿宋_GB2312"/>
                <w:b/>
                <w:bCs/>
                <w:color w:val="auto"/>
                <w:sz w:val="28"/>
                <w:szCs w:val="28"/>
                <w:highlight w:val="none"/>
              </w:rPr>
              <w:t>请提前熟悉电子交易系统操作流程，并实时关注电子交易系统相关通知，且联络方式应保持通讯畅通。[操作手册获取方式：操作手册请登录威海市公共资源交易网-办事指南栏目-政府采购专区-《威海市政府采购电子交易系统供应商操作手册》下载查看（网址：http://ggzyjy.weihai.cn/bszn/005002/20210702/ed187b7b-6fef-4726-8e07-c0e3ee8d5a46.html）。投标（响应）文件制作及系统使用咨询电话：18769124292。</w:t>
            </w:r>
          </w:p>
        </w:tc>
      </w:tr>
      <w:tr w14:paraId="7DBA5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6290F4B8">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19</w:t>
            </w:r>
          </w:p>
        </w:tc>
        <w:tc>
          <w:tcPr>
            <w:tcW w:w="8291" w:type="dxa"/>
            <w:tcBorders>
              <w:top w:val="single" w:color="auto" w:sz="4" w:space="0"/>
              <w:left w:val="single" w:color="auto" w:sz="4" w:space="0"/>
              <w:bottom w:val="single" w:color="auto" w:sz="4" w:space="0"/>
            </w:tcBorders>
            <w:vAlign w:val="center"/>
          </w:tcPr>
          <w:p w14:paraId="7BA81DC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响应文件开启（解密）程序：</w:t>
            </w:r>
          </w:p>
          <w:p w14:paraId="491DFA76">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响应文件开启（解密）后15分钟内完成解密</w:t>
            </w:r>
          </w:p>
        </w:tc>
      </w:tr>
      <w:tr w14:paraId="3A846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613CC44F">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w:t>
            </w:r>
          </w:p>
        </w:tc>
        <w:tc>
          <w:tcPr>
            <w:tcW w:w="8291" w:type="dxa"/>
            <w:tcBorders>
              <w:top w:val="single" w:color="auto" w:sz="4" w:space="0"/>
              <w:left w:val="single" w:color="auto" w:sz="4" w:space="0"/>
              <w:bottom w:val="single" w:color="auto" w:sz="4" w:space="0"/>
            </w:tcBorders>
            <w:vAlign w:val="center"/>
          </w:tcPr>
          <w:p w14:paraId="5CD1EEA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eastAsia="zh-CN"/>
              </w:rPr>
              <w:t>2025年市区节日灯具安装工程</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包)</w:t>
            </w:r>
          </w:p>
          <w:p w14:paraId="30F97B37">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质保期：</w:t>
            </w:r>
            <w:r>
              <w:rPr>
                <w:rFonts w:hint="eastAsia" w:ascii="仿宋_GB2312" w:hAnsi="宋体" w:eastAsia="仿宋_GB2312"/>
                <w:color w:val="auto"/>
                <w:sz w:val="28"/>
                <w:szCs w:val="28"/>
                <w:highlight w:val="none"/>
                <w:lang w:eastAsia="zh-CN"/>
              </w:rPr>
              <w:t xml:space="preserve">由报价企业提报最长的质保年限，不得低于1年，否则为无效报价。 </w:t>
            </w:r>
          </w:p>
        </w:tc>
      </w:tr>
      <w:tr w14:paraId="02A587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39350D58">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w:t>
            </w:r>
          </w:p>
        </w:tc>
        <w:tc>
          <w:tcPr>
            <w:tcW w:w="8291" w:type="dxa"/>
            <w:tcBorders>
              <w:top w:val="single" w:color="auto" w:sz="4" w:space="0"/>
              <w:left w:val="single" w:color="auto" w:sz="4" w:space="0"/>
              <w:bottom w:val="single" w:color="auto" w:sz="4" w:space="0"/>
            </w:tcBorders>
            <w:vAlign w:val="center"/>
          </w:tcPr>
          <w:p w14:paraId="35A780CE">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eastAsia="zh-CN"/>
              </w:rPr>
              <w:t>2025年市区节日灯具安装工程</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包)</w:t>
            </w:r>
          </w:p>
          <w:p w14:paraId="5909A50D">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交付期:</w:t>
            </w:r>
            <w:r>
              <w:rPr>
                <w:rFonts w:hint="eastAsia" w:ascii="仿宋_GB2312" w:hAnsi="宋体" w:eastAsia="仿宋_GB2312"/>
                <w:color w:val="auto"/>
                <w:sz w:val="28"/>
                <w:szCs w:val="28"/>
                <w:highlight w:val="none"/>
                <w:lang w:eastAsia="zh-CN"/>
              </w:rPr>
              <w:t>合同签订后20日历天内安装调试完毕。</w:t>
            </w:r>
          </w:p>
          <w:p w14:paraId="5CD374B8">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交付地点:采购人指定地点</w:t>
            </w:r>
          </w:p>
        </w:tc>
      </w:tr>
      <w:tr w14:paraId="1C1EC7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79DEE513">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w:t>
            </w:r>
          </w:p>
        </w:tc>
        <w:tc>
          <w:tcPr>
            <w:tcW w:w="8291" w:type="dxa"/>
            <w:tcBorders>
              <w:top w:val="single" w:color="auto" w:sz="4" w:space="0"/>
              <w:left w:val="single" w:color="auto" w:sz="4" w:space="0"/>
              <w:bottom w:val="single" w:color="auto" w:sz="4" w:space="0"/>
            </w:tcBorders>
            <w:vAlign w:val="center"/>
          </w:tcPr>
          <w:p w14:paraId="2FDD3F65">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评标办法：</w:t>
            </w:r>
            <w:r>
              <w:rPr>
                <w:rFonts w:hint="eastAsia" w:ascii="仿宋_GB2312" w:hAnsi="宋体" w:eastAsia="仿宋_GB2312"/>
                <w:color w:val="auto"/>
                <w:sz w:val="28"/>
                <w:szCs w:val="28"/>
                <w:highlight w:val="none"/>
                <w:lang w:eastAsia="zh-CN"/>
              </w:rPr>
              <w:t>2025年市区节日灯具安装工程</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包),综合评分法</w:t>
            </w:r>
          </w:p>
        </w:tc>
      </w:tr>
      <w:tr w14:paraId="6FF8F0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48374828">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23</w:t>
            </w:r>
          </w:p>
        </w:tc>
        <w:tc>
          <w:tcPr>
            <w:tcW w:w="8291" w:type="dxa"/>
            <w:tcBorders>
              <w:top w:val="single" w:color="auto" w:sz="4" w:space="0"/>
              <w:left w:val="single" w:color="auto" w:sz="4" w:space="0"/>
              <w:bottom w:val="single" w:color="auto" w:sz="4" w:space="0"/>
            </w:tcBorders>
            <w:vAlign w:val="center"/>
          </w:tcPr>
          <w:p w14:paraId="62CB4E0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本项目不收取履约保证金。如成交单位中标后不按采购文件相关规定执行的，按诚信体系建设要求列入信用黑名单，1-3年内禁止参加政府采购活动。</w:t>
            </w:r>
          </w:p>
        </w:tc>
      </w:tr>
      <w:tr w14:paraId="05C3F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6DA74C97">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24</w:t>
            </w:r>
          </w:p>
        </w:tc>
        <w:tc>
          <w:tcPr>
            <w:tcW w:w="8291" w:type="dxa"/>
            <w:tcBorders>
              <w:top w:val="single" w:color="auto" w:sz="4" w:space="0"/>
              <w:left w:val="single" w:color="auto" w:sz="4" w:space="0"/>
              <w:bottom w:val="single" w:color="auto" w:sz="4" w:space="0"/>
            </w:tcBorders>
            <w:vAlign w:val="center"/>
          </w:tcPr>
          <w:p w14:paraId="6E57E4C8">
            <w:pPr>
              <w:spacing w:line="60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是否兼投不兼中：否</w:t>
            </w:r>
          </w:p>
        </w:tc>
      </w:tr>
      <w:tr w14:paraId="38D6B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52C55475">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25</w:t>
            </w:r>
          </w:p>
        </w:tc>
        <w:tc>
          <w:tcPr>
            <w:tcW w:w="8291" w:type="dxa"/>
            <w:tcBorders>
              <w:top w:val="single" w:color="auto" w:sz="4" w:space="0"/>
              <w:left w:val="single" w:color="auto" w:sz="4" w:space="0"/>
              <w:bottom w:val="single" w:color="auto" w:sz="4" w:space="0"/>
            </w:tcBorders>
            <w:vAlign w:val="center"/>
          </w:tcPr>
          <w:p w14:paraId="6B72785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本项目付款方式如下：</w:t>
            </w:r>
          </w:p>
          <w:p w14:paraId="44EED238">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lang w:eastAsia="zh-CN"/>
              </w:rPr>
              <w:t>按工程形象进度付款，按月计量，在建设期内支付30%，工程竣工验收合格支付到合同价款的50%，审计结束支付到结算价款的70%，剩余资金分三年付清，每年支付10%。</w:t>
            </w:r>
          </w:p>
        </w:tc>
      </w:tr>
      <w:tr w14:paraId="6CB18B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34045E1">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w:t>
            </w:r>
          </w:p>
        </w:tc>
        <w:tc>
          <w:tcPr>
            <w:tcW w:w="8291" w:type="dxa"/>
            <w:tcBorders>
              <w:top w:val="single" w:color="auto" w:sz="4" w:space="0"/>
              <w:left w:val="single" w:color="auto" w:sz="4" w:space="0"/>
              <w:bottom w:val="single" w:color="auto" w:sz="4" w:space="0"/>
            </w:tcBorders>
            <w:vAlign w:val="center"/>
          </w:tcPr>
          <w:p w14:paraId="0263C955">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推荐成交</w:t>
            </w:r>
            <w:r>
              <w:rPr>
                <w:rFonts w:ascii="仿宋_GB2312" w:hAnsi="宋体" w:eastAsia="仿宋_GB2312"/>
                <w:color w:val="auto"/>
                <w:sz w:val="28"/>
                <w:szCs w:val="28"/>
                <w:highlight w:val="none"/>
              </w:rPr>
              <w:t>候选供应商的数量</w:t>
            </w:r>
            <w:r>
              <w:rPr>
                <w:rFonts w:hint="eastAsia" w:ascii="仿宋_GB2312" w:hAnsi="宋体" w:eastAsia="仿宋_GB2312"/>
                <w:color w:val="auto"/>
                <w:sz w:val="28"/>
                <w:szCs w:val="28"/>
                <w:highlight w:val="none"/>
              </w:rPr>
              <w:t>：1-3家（当资格性和符合性检查合格供应商家数为3家时，推荐总分排序最高的供应商为成交</w:t>
            </w:r>
            <w:r>
              <w:rPr>
                <w:rFonts w:ascii="仿宋_GB2312" w:hAnsi="宋体" w:eastAsia="仿宋_GB2312"/>
                <w:color w:val="auto"/>
                <w:sz w:val="28"/>
                <w:szCs w:val="28"/>
                <w:highlight w:val="none"/>
              </w:rPr>
              <w:t>候选供应商</w:t>
            </w:r>
            <w:r>
              <w:rPr>
                <w:rFonts w:hint="eastAsia" w:ascii="仿宋_GB2312" w:hAnsi="宋体" w:eastAsia="仿宋_GB2312"/>
                <w:color w:val="auto"/>
                <w:sz w:val="28"/>
                <w:szCs w:val="28"/>
                <w:highlight w:val="none"/>
              </w:rPr>
              <w:t>；当资格性和符合性检查合格供应商家数为4家时，推荐总分排序最高的前2名供应商为成交</w:t>
            </w:r>
            <w:r>
              <w:rPr>
                <w:rFonts w:ascii="仿宋_GB2312" w:hAnsi="宋体" w:eastAsia="仿宋_GB2312"/>
                <w:color w:val="auto"/>
                <w:sz w:val="28"/>
                <w:szCs w:val="28"/>
                <w:highlight w:val="none"/>
              </w:rPr>
              <w:t>候选供应商</w:t>
            </w:r>
            <w:r>
              <w:rPr>
                <w:rFonts w:hint="eastAsia" w:ascii="仿宋_GB2312" w:hAnsi="宋体" w:eastAsia="仿宋_GB2312"/>
                <w:color w:val="auto"/>
                <w:sz w:val="28"/>
                <w:szCs w:val="28"/>
                <w:highlight w:val="none"/>
              </w:rPr>
              <w:t>；当资格性和符合性检查合格供应商家数为5家及以上时，推荐总分排序最高的前3名供应商为成交</w:t>
            </w:r>
            <w:r>
              <w:rPr>
                <w:rFonts w:ascii="仿宋_GB2312" w:hAnsi="宋体" w:eastAsia="仿宋_GB2312"/>
                <w:color w:val="auto"/>
                <w:sz w:val="28"/>
                <w:szCs w:val="28"/>
                <w:highlight w:val="none"/>
              </w:rPr>
              <w:t>候选供应商</w:t>
            </w:r>
            <w:r>
              <w:rPr>
                <w:rFonts w:hint="eastAsia" w:ascii="仿宋_GB2312" w:hAnsi="宋体" w:eastAsia="仿宋_GB2312"/>
                <w:color w:val="auto"/>
                <w:sz w:val="28"/>
                <w:szCs w:val="28"/>
                <w:highlight w:val="none"/>
              </w:rPr>
              <w:t>。）</w:t>
            </w:r>
          </w:p>
        </w:tc>
      </w:tr>
      <w:tr w14:paraId="4A1760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08FED14">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w:t>
            </w:r>
          </w:p>
        </w:tc>
        <w:tc>
          <w:tcPr>
            <w:tcW w:w="8291" w:type="dxa"/>
            <w:tcBorders>
              <w:top w:val="single" w:color="auto" w:sz="4" w:space="0"/>
              <w:left w:val="single" w:color="auto" w:sz="4" w:space="0"/>
              <w:bottom w:val="single" w:color="auto" w:sz="4" w:space="0"/>
            </w:tcBorders>
            <w:vAlign w:val="center"/>
          </w:tcPr>
          <w:p w14:paraId="76E3F229">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是否委托评审委员会确定成交供应商：是</w:t>
            </w:r>
          </w:p>
        </w:tc>
      </w:tr>
      <w:tr w14:paraId="1B733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43C3686">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28</w:t>
            </w:r>
          </w:p>
        </w:tc>
        <w:tc>
          <w:tcPr>
            <w:tcW w:w="8291" w:type="dxa"/>
            <w:tcBorders>
              <w:top w:val="single" w:color="auto" w:sz="4" w:space="0"/>
              <w:left w:val="single" w:color="auto" w:sz="4" w:space="0"/>
              <w:bottom w:val="single" w:color="auto" w:sz="4" w:space="0"/>
            </w:tcBorders>
            <w:vAlign w:val="center"/>
          </w:tcPr>
          <w:p w14:paraId="1CF55BA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是否</w:t>
            </w:r>
            <w:r>
              <w:rPr>
                <w:rFonts w:ascii="仿宋_GB2312" w:hAnsi="宋体" w:eastAsia="仿宋_GB2312"/>
                <w:color w:val="auto"/>
                <w:sz w:val="28"/>
                <w:szCs w:val="28"/>
                <w:highlight w:val="none"/>
              </w:rPr>
              <w:t>属于信用担保试点范围</w:t>
            </w:r>
            <w:r>
              <w:rPr>
                <w:rFonts w:hint="eastAsia" w:ascii="仿宋_GB2312" w:hAnsi="宋体" w:eastAsia="仿宋_GB2312"/>
                <w:color w:val="auto"/>
                <w:sz w:val="28"/>
                <w:szCs w:val="28"/>
                <w:highlight w:val="none"/>
              </w:rPr>
              <w:t>：否</w:t>
            </w:r>
          </w:p>
        </w:tc>
      </w:tr>
      <w:tr w14:paraId="624F33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47FD2F7D">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29</w:t>
            </w:r>
          </w:p>
        </w:tc>
        <w:tc>
          <w:tcPr>
            <w:tcW w:w="8291" w:type="dxa"/>
            <w:tcBorders>
              <w:top w:val="single" w:color="auto" w:sz="4" w:space="0"/>
              <w:left w:val="single" w:color="auto" w:sz="4" w:space="0"/>
              <w:bottom w:val="single" w:color="auto" w:sz="4" w:space="0"/>
            </w:tcBorders>
            <w:vAlign w:val="center"/>
          </w:tcPr>
          <w:p w14:paraId="1367238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反腐倡廉监督联系方式：</w:t>
            </w:r>
          </w:p>
          <w:p w14:paraId="6EFF262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电话/邮箱：</w:t>
            </w:r>
            <w:r>
              <w:rPr>
                <w:rFonts w:ascii="仿宋_GB2312" w:hAnsi="宋体" w:eastAsia="仿宋_GB2312"/>
                <w:color w:val="auto"/>
                <w:sz w:val="28"/>
                <w:szCs w:val="28"/>
                <w:highlight w:val="none"/>
              </w:rPr>
              <w:t>0631-6662267/rushanjyzx@wh.shandong.cn</w:t>
            </w:r>
          </w:p>
        </w:tc>
      </w:tr>
      <w:tr w14:paraId="2E844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F3D44DD">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w:t>
            </w:r>
          </w:p>
        </w:tc>
        <w:tc>
          <w:tcPr>
            <w:tcW w:w="8291" w:type="dxa"/>
            <w:tcBorders>
              <w:top w:val="single" w:color="auto" w:sz="4" w:space="0"/>
              <w:left w:val="single" w:color="auto" w:sz="4" w:space="0"/>
              <w:bottom w:val="single" w:color="auto" w:sz="4" w:space="0"/>
            </w:tcBorders>
            <w:vAlign w:val="center"/>
          </w:tcPr>
          <w:p w14:paraId="6A1652D2">
            <w:pPr>
              <w:spacing w:line="560" w:lineRule="exact"/>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质疑受理方式：</w:t>
            </w:r>
          </w:p>
          <w:p w14:paraId="24DD4C93">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（1）当面接收：接收地址详见本表采购人及代理机构地址。</w:t>
            </w:r>
          </w:p>
          <w:p w14:paraId="6E874DC5">
            <w:pPr>
              <w:spacing w:line="560" w:lineRule="exact"/>
              <w:rPr>
                <w:rFonts w:hint="eastAsia" w:ascii="仿宋_GB2312" w:hAnsi="仿宋" w:eastAsia="仿宋_GB2312" w:cs="宋体"/>
                <w:color w:val="auto"/>
                <w:sz w:val="28"/>
                <w:szCs w:val="28"/>
                <w:highlight w:val="none"/>
                <w:lang w:eastAsia="zh-CN"/>
              </w:rPr>
            </w:pPr>
            <w:r>
              <w:rPr>
                <w:rFonts w:hint="eastAsia" w:ascii="仿宋_GB2312" w:hAnsi="仿宋" w:eastAsia="仿宋_GB2312" w:cs="宋体"/>
                <w:color w:val="auto"/>
                <w:sz w:val="28"/>
                <w:szCs w:val="28"/>
                <w:highlight w:val="none"/>
              </w:rPr>
              <w:t>（2）邮件接收：</w:t>
            </w:r>
            <w:r>
              <w:rPr>
                <w:rFonts w:hint="eastAsia" w:ascii="仿宋_GB2312" w:hAnsi="仿宋" w:eastAsia="仿宋_GB2312" w:cs="宋体"/>
                <w:color w:val="auto"/>
                <w:sz w:val="28"/>
                <w:szCs w:val="28"/>
                <w:highlight w:val="none"/>
                <w:lang w:eastAsia="zh-CN"/>
              </w:rPr>
              <w:t>rstprea@163.com</w:t>
            </w:r>
          </w:p>
          <w:p w14:paraId="201287CF">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（3）政府采购电子交易系统上传：通过威海市政府采购电子交易系统中“公文管理-供”功能上传。</w:t>
            </w:r>
          </w:p>
          <w:p w14:paraId="1D58DDB4">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以上三种方式任选其一。</w:t>
            </w:r>
          </w:p>
        </w:tc>
      </w:tr>
      <w:tr w14:paraId="2C5767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DD18619">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31</w:t>
            </w:r>
          </w:p>
        </w:tc>
        <w:tc>
          <w:tcPr>
            <w:tcW w:w="8291" w:type="dxa"/>
            <w:tcBorders>
              <w:top w:val="single" w:color="auto" w:sz="4" w:space="0"/>
              <w:left w:val="single" w:color="auto" w:sz="4" w:space="0"/>
              <w:bottom w:val="single" w:color="auto" w:sz="4" w:space="0"/>
            </w:tcBorders>
            <w:vAlign w:val="center"/>
          </w:tcPr>
          <w:p w14:paraId="000D6DA4">
            <w:pPr>
              <w:spacing w:line="560" w:lineRule="exact"/>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投诉受理方式：</w:t>
            </w:r>
          </w:p>
          <w:p w14:paraId="55F3381F">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（1）当面接收：接收地址为山东省乳山市深圳路108-7号市民服务中心社会事务类窗口70号。</w:t>
            </w:r>
          </w:p>
          <w:p w14:paraId="798FF332">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（2）邮件接收：rsczjcgb@wh.shandong.cn。</w:t>
            </w:r>
          </w:p>
          <w:p w14:paraId="43513E00">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（3）政府采购电子交易系统上传：通过威海市政府采购电子交易系统中“网上投诉”功能上传。</w:t>
            </w:r>
          </w:p>
          <w:p w14:paraId="70B08F6A">
            <w:pPr>
              <w:spacing w:line="560" w:lineRule="exact"/>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以上三种方式任选其一。</w:t>
            </w:r>
          </w:p>
        </w:tc>
      </w:tr>
      <w:tr w14:paraId="2CC7BD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A53ED94">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32</w:t>
            </w:r>
          </w:p>
        </w:tc>
        <w:tc>
          <w:tcPr>
            <w:tcW w:w="8291" w:type="dxa"/>
            <w:tcBorders>
              <w:top w:val="single" w:color="auto" w:sz="4" w:space="0"/>
              <w:left w:val="single" w:color="auto" w:sz="4" w:space="0"/>
              <w:bottom w:val="single" w:color="auto" w:sz="4" w:space="0"/>
            </w:tcBorders>
            <w:vAlign w:val="center"/>
          </w:tcPr>
          <w:p w14:paraId="4EB27E59">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代理服务费：参照“发改价格[2011]534号”规定的收费标准向成交供应商收取代理服务费。人民币</w:t>
            </w:r>
            <w:r>
              <w:rPr>
                <w:rFonts w:hint="eastAsia" w:ascii="仿宋_GB2312" w:hAnsi="宋体" w:eastAsia="仿宋_GB2312"/>
                <w:color w:val="auto"/>
                <w:sz w:val="28"/>
                <w:szCs w:val="28"/>
                <w:highlight w:val="none"/>
                <w:lang w:eastAsia="zh-CN"/>
              </w:rPr>
              <w:t>19620.00</w:t>
            </w:r>
            <w:r>
              <w:rPr>
                <w:rFonts w:hint="eastAsia" w:ascii="仿宋_GB2312" w:hAnsi="宋体" w:eastAsia="仿宋_GB2312"/>
                <w:color w:val="auto"/>
                <w:sz w:val="28"/>
                <w:szCs w:val="28"/>
                <w:highlight w:val="none"/>
              </w:rPr>
              <w:t>元，由成交单位在签订合同前向采购代理机构缴纳，包含在报价中。</w:t>
            </w:r>
          </w:p>
          <w:p w14:paraId="1B601E2C">
            <w:pPr>
              <w:spacing w:line="560" w:lineRule="exact"/>
              <w:rPr>
                <w:rFonts w:hint="eastAsia" w:ascii="仿宋_GB2312" w:hAnsi="仿宋" w:eastAsia="仿宋_GB2312" w:cs="宋体"/>
                <w:color w:val="auto"/>
                <w:sz w:val="28"/>
                <w:szCs w:val="28"/>
                <w:highlight w:val="none"/>
                <w:lang w:eastAsia="zh-CN"/>
              </w:rPr>
            </w:pPr>
            <w:r>
              <w:rPr>
                <w:rFonts w:hint="eastAsia" w:ascii="仿宋_GB2312" w:hAnsi="仿宋" w:eastAsia="仿宋_GB2312" w:cs="宋体"/>
                <w:color w:val="auto"/>
                <w:sz w:val="28"/>
                <w:szCs w:val="28"/>
                <w:highlight w:val="none"/>
              </w:rPr>
              <w:t>开户名称：</w:t>
            </w:r>
            <w:r>
              <w:rPr>
                <w:rFonts w:hint="eastAsia" w:ascii="仿宋_GB2312" w:hAnsi="仿宋" w:eastAsia="仿宋_GB2312" w:cs="宋体"/>
                <w:color w:val="auto"/>
                <w:sz w:val="28"/>
                <w:szCs w:val="28"/>
                <w:highlight w:val="none"/>
                <w:lang w:eastAsia="zh-CN"/>
              </w:rPr>
              <w:t>乳山天平建设工程咨询有限公司</w:t>
            </w:r>
          </w:p>
          <w:p w14:paraId="5E92939F">
            <w:pPr>
              <w:spacing w:line="560" w:lineRule="exact"/>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开户行：威海商业银行乳山</w:t>
            </w:r>
            <w:r>
              <w:rPr>
                <w:rFonts w:hint="eastAsia" w:ascii="仿宋_GB2312" w:hAnsi="仿宋" w:eastAsia="仿宋_GB2312" w:cs="宋体"/>
                <w:color w:val="auto"/>
                <w:sz w:val="28"/>
                <w:szCs w:val="28"/>
                <w:highlight w:val="none"/>
                <w:lang w:eastAsia="zh-CN"/>
              </w:rPr>
              <w:t>城区</w:t>
            </w:r>
            <w:r>
              <w:rPr>
                <w:rFonts w:hint="eastAsia" w:ascii="仿宋_GB2312" w:hAnsi="仿宋" w:eastAsia="仿宋_GB2312" w:cs="宋体"/>
                <w:color w:val="auto"/>
                <w:sz w:val="28"/>
                <w:szCs w:val="28"/>
                <w:highlight w:val="none"/>
              </w:rPr>
              <w:t>支行</w:t>
            </w:r>
          </w:p>
          <w:p w14:paraId="7DEB4918">
            <w:pPr>
              <w:spacing w:line="560" w:lineRule="exact"/>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账号：817894001421003969</w:t>
            </w:r>
          </w:p>
          <w:p w14:paraId="338FDB29">
            <w:pPr>
              <w:spacing w:line="560" w:lineRule="exact"/>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lang w:eastAsia="zh-CN"/>
              </w:rPr>
              <w:t>行号：</w:t>
            </w:r>
            <w:r>
              <w:rPr>
                <w:rFonts w:hint="eastAsia" w:ascii="仿宋_GB2312" w:hAnsi="仿宋" w:eastAsia="仿宋_GB2312" w:cs="宋体"/>
                <w:color w:val="auto"/>
                <w:sz w:val="28"/>
                <w:szCs w:val="28"/>
                <w:highlight w:val="none"/>
                <w:lang w:val="en-US" w:eastAsia="zh-CN"/>
              </w:rPr>
              <w:t>313465189269</w:t>
            </w:r>
          </w:p>
        </w:tc>
      </w:tr>
      <w:tr w14:paraId="26F69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38B2AC7">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w:t>
            </w:r>
          </w:p>
        </w:tc>
        <w:tc>
          <w:tcPr>
            <w:tcW w:w="8291" w:type="dxa"/>
            <w:tcBorders>
              <w:top w:val="single" w:color="auto" w:sz="4" w:space="0"/>
              <w:left w:val="single" w:color="auto" w:sz="4" w:space="0"/>
              <w:bottom w:val="single" w:color="auto" w:sz="4" w:space="0"/>
            </w:tcBorders>
            <w:vAlign w:val="center"/>
          </w:tcPr>
          <w:p w14:paraId="04F8FAAA">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公证费/见证费：无 </w:t>
            </w:r>
          </w:p>
        </w:tc>
      </w:tr>
      <w:tr w14:paraId="7776C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B5B0ED7">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34</w:t>
            </w:r>
          </w:p>
        </w:tc>
        <w:tc>
          <w:tcPr>
            <w:tcW w:w="8291" w:type="dxa"/>
            <w:tcBorders>
              <w:top w:val="single" w:color="auto" w:sz="4" w:space="0"/>
              <w:left w:val="single" w:color="auto" w:sz="4" w:space="0"/>
              <w:bottom w:val="single" w:color="auto" w:sz="4" w:space="0"/>
            </w:tcBorders>
            <w:vAlign w:val="center"/>
          </w:tcPr>
          <w:p w14:paraId="6E7486F6">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本项目按</w:t>
            </w:r>
            <w:r>
              <w:rPr>
                <w:rFonts w:ascii="仿宋_GB2312" w:hAnsi="宋体" w:eastAsia="仿宋_GB2312"/>
                <w:color w:val="auto"/>
                <w:sz w:val="28"/>
                <w:szCs w:val="28"/>
                <w:highlight w:val="none"/>
              </w:rPr>
              <w:t>货物类</w:t>
            </w:r>
            <w:r>
              <w:rPr>
                <w:rFonts w:hint="eastAsia" w:ascii="仿宋_GB2312" w:hAnsi="宋体" w:eastAsia="仿宋_GB2312"/>
                <w:color w:val="auto"/>
                <w:sz w:val="28"/>
                <w:szCs w:val="28"/>
                <w:highlight w:val="none"/>
              </w:rPr>
              <w:t>以</w:t>
            </w:r>
            <w:r>
              <w:rPr>
                <w:rFonts w:ascii="仿宋_GB2312" w:hAnsi="宋体" w:eastAsia="仿宋_GB2312"/>
                <w:color w:val="auto"/>
                <w:sz w:val="28"/>
                <w:szCs w:val="28"/>
                <w:highlight w:val="none"/>
              </w:rPr>
              <w:t>竞争性磋商</w:t>
            </w:r>
            <w:r>
              <w:rPr>
                <w:rFonts w:hint="eastAsia" w:ascii="仿宋_GB2312" w:hAnsi="宋体" w:eastAsia="仿宋_GB2312"/>
                <w:color w:val="auto"/>
                <w:sz w:val="28"/>
                <w:szCs w:val="28"/>
                <w:highlight w:val="none"/>
              </w:rPr>
              <w:t>方式实施采购</w:t>
            </w:r>
          </w:p>
        </w:tc>
      </w:tr>
      <w:tr w14:paraId="38684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6BF6A7E">
            <w:pPr>
              <w:spacing w:line="560" w:lineRule="exact"/>
              <w:ind w:firstLine="280" w:firstLineChars="1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35</w:t>
            </w:r>
          </w:p>
        </w:tc>
        <w:tc>
          <w:tcPr>
            <w:tcW w:w="8291" w:type="dxa"/>
            <w:tcBorders>
              <w:top w:val="single" w:color="auto" w:sz="4" w:space="0"/>
              <w:left w:val="single" w:color="auto" w:sz="4" w:space="0"/>
              <w:bottom w:val="single" w:color="auto" w:sz="4" w:space="0"/>
            </w:tcBorders>
            <w:vAlign w:val="center"/>
          </w:tcPr>
          <w:p w14:paraId="38ECA367">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采购标的对应的中小企业划分标准所属行业（具体划分标准详见下附表）： </w:t>
            </w:r>
          </w:p>
        </w:tc>
      </w:tr>
    </w:tbl>
    <w:p w14:paraId="19147E21">
      <w:pPr>
        <w:pStyle w:val="32"/>
        <w:spacing w:line="432" w:lineRule="auto"/>
        <w:rPr>
          <w:rFonts w:ascii="仿宋_GB2312" w:eastAsia="仿宋_GB2312"/>
          <w:bCs/>
          <w:color w:val="auto"/>
          <w:sz w:val="28"/>
          <w:szCs w:val="28"/>
          <w:highlight w:val="none"/>
        </w:rPr>
      </w:pPr>
    </w:p>
    <w:p w14:paraId="676B326B">
      <w:pPr>
        <w:pStyle w:val="32"/>
        <w:spacing w:line="432" w:lineRule="auto"/>
        <w:rPr>
          <w:rFonts w:ascii="仿宋_GB2312" w:eastAsia="仿宋_GB2312"/>
          <w:bCs/>
          <w:color w:val="auto"/>
          <w:sz w:val="28"/>
          <w:szCs w:val="28"/>
          <w:highlight w:val="none"/>
        </w:rPr>
      </w:pPr>
      <w:r>
        <w:rPr>
          <w:rFonts w:ascii="仿宋_GB2312" w:eastAsia="仿宋_GB2312"/>
          <w:bCs/>
          <w:color w:val="auto"/>
          <w:sz w:val="28"/>
          <w:szCs w:val="28"/>
          <w:highlight w:val="none"/>
        </w:rPr>
        <w:br w:type="page"/>
      </w:r>
      <w:r>
        <w:rPr>
          <w:rFonts w:hint="eastAsia" w:ascii="仿宋_GB2312" w:eastAsia="仿宋_GB2312"/>
          <w:bCs/>
          <w:color w:val="auto"/>
          <w:sz w:val="28"/>
          <w:szCs w:val="28"/>
          <w:highlight w:val="none"/>
        </w:rPr>
        <w:t>附表：</w:t>
      </w:r>
    </w:p>
    <w:p w14:paraId="7FD1C206">
      <w:pPr>
        <w:pStyle w:val="32"/>
        <w:spacing w:line="432" w:lineRule="auto"/>
        <w:jc w:val="center"/>
        <w:rPr>
          <w:rStyle w:val="38"/>
          <w:rFonts w:hint="eastAsia" w:ascii="方正小标宋简体" w:eastAsia="方正小标宋简体"/>
          <w:b w:val="0"/>
          <w:color w:val="auto"/>
          <w:sz w:val="36"/>
          <w:szCs w:val="36"/>
          <w:highlight w:val="none"/>
          <w:lang w:eastAsia="zh-CN"/>
        </w:rPr>
      </w:pPr>
      <w:r>
        <w:rPr>
          <w:rStyle w:val="38"/>
          <w:rFonts w:hint="eastAsia" w:ascii="方正小标宋简体" w:eastAsia="方正小标宋简体"/>
          <w:b w:val="0"/>
          <w:color w:val="auto"/>
          <w:sz w:val="36"/>
          <w:szCs w:val="36"/>
          <w:highlight w:val="none"/>
        </w:rPr>
        <w:t>关于印发中小企业划型标准规定的通知</w:t>
      </w:r>
    </w:p>
    <w:p w14:paraId="7B563F50">
      <w:pPr>
        <w:pStyle w:val="32"/>
        <w:spacing w:line="432" w:lineRule="auto"/>
        <w:jc w:val="center"/>
        <w:rPr>
          <w:color w:val="auto"/>
          <w:highlight w:val="none"/>
        </w:rPr>
      </w:pPr>
      <w:r>
        <w:rPr>
          <w:rFonts w:hint="eastAsia" w:ascii="楷体_GB2312" w:eastAsia="楷体_GB2312"/>
          <w:color w:val="auto"/>
          <w:sz w:val="22"/>
          <w:highlight w:val="none"/>
        </w:rPr>
        <w:t>工信部联企业〔2011〕300号</w:t>
      </w:r>
    </w:p>
    <w:p w14:paraId="24AFA60B">
      <w:pPr>
        <w:pStyle w:val="32"/>
        <w:spacing w:line="432" w:lineRule="auto"/>
        <w:rPr>
          <w:rFonts w:hint="eastAsia" w:ascii="仿宋_GB2312" w:eastAsia="仿宋_GB2312"/>
          <w:color w:val="auto"/>
          <w:sz w:val="28"/>
          <w:szCs w:val="28"/>
          <w:highlight w:val="none"/>
          <w:lang w:eastAsia="zh-CN"/>
        </w:rPr>
      </w:pPr>
      <w:r>
        <w:rPr>
          <w:rFonts w:hint="eastAsia" w:ascii="仿宋_GB2312" w:eastAsia="仿宋_GB2312"/>
          <w:color w:val="auto"/>
          <w:sz w:val="28"/>
          <w:szCs w:val="28"/>
          <w:highlight w:val="none"/>
        </w:rPr>
        <w:t>各省、自治区、直辖市人民政府，国务院各部委、各直属机构及有关单位：</w:t>
      </w:r>
    </w:p>
    <w:p w14:paraId="4C347E6C">
      <w:pPr>
        <w:pStyle w:val="32"/>
        <w:spacing w:line="432"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39A8933">
      <w:pPr>
        <w:pStyle w:val="32"/>
        <w:spacing w:line="432" w:lineRule="auto"/>
        <w:jc w:val="right"/>
        <w:rPr>
          <w:rFonts w:hint="eastAsia" w:ascii="仿宋_GB2312" w:eastAsia="仿宋_GB2312"/>
          <w:color w:val="auto"/>
          <w:sz w:val="28"/>
          <w:szCs w:val="28"/>
          <w:highlight w:val="none"/>
          <w:lang w:eastAsia="zh-CN"/>
        </w:rPr>
      </w:pPr>
    </w:p>
    <w:p w14:paraId="779D80D4">
      <w:pPr>
        <w:pStyle w:val="32"/>
        <w:spacing w:line="432" w:lineRule="auto"/>
        <w:jc w:val="right"/>
        <w:rPr>
          <w:rFonts w:ascii="仿宋_GB2312" w:eastAsia="仿宋_GB2312"/>
          <w:color w:val="auto"/>
          <w:sz w:val="28"/>
          <w:szCs w:val="28"/>
          <w:highlight w:val="none"/>
        </w:rPr>
      </w:pPr>
      <w:r>
        <w:rPr>
          <w:rFonts w:hint="eastAsia" w:ascii="仿宋_GB2312" w:eastAsia="仿宋_GB2312"/>
          <w:color w:val="auto"/>
          <w:sz w:val="28"/>
          <w:szCs w:val="28"/>
          <w:highlight w:val="none"/>
        </w:rPr>
        <w:t>　　　　　　　　　　工业和信息化部　国家统计局</w:t>
      </w:r>
    </w:p>
    <w:p w14:paraId="114D3EA9">
      <w:pPr>
        <w:pStyle w:val="32"/>
        <w:spacing w:line="432" w:lineRule="auto"/>
        <w:jc w:val="right"/>
        <w:rPr>
          <w:rFonts w:ascii="仿宋_GB2312" w:eastAsia="仿宋_GB2312"/>
          <w:color w:val="auto"/>
          <w:sz w:val="28"/>
          <w:szCs w:val="28"/>
          <w:highlight w:val="none"/>
        </w:rPr>
      </w:pPr>
      <w:r>
        <w:rPr>
          <w:rFonts w:hint="eastAsia" w:ascii="仿宋_GB2312" w:eastAsia="仿宋_GB2312"/>
          <w:color w:val="auto"/>
          <w:sz w:val="28"/>
          <w:szCs w:val="28"/>
          <w:highlight w:val="none"/>
        </w:rPr>
        <w:t>国家发展和改革委员会　财政部</w:t>
      </w:r>
    </w:p>
    <w:p w14:paraId="3464B9FE">
      <w:pPr>
        <w:pStyle w:val="32"/>
        <w:spacing w:line="432" w:lineRule="auto"/>
        <w:jc w:val="right"/>
        <w:rPr>
          <w:rFonts w:ascii="仿宋_GB2312" w:eastAsia="仿宋_GB2312"/>
          <w:color w:val="auto"/>
          <w:sz w:val="28"/>
          <w:szCs w:val="28"/>
          <w:highlight w:val="none"/>
        </w:rPr>
      </w:pPr>
      <w:r>
        <w:rPr>
          <w:rFonts w:hint="eastAsia" w:ascii="仿宋_GB2312" w:eastAsia="仿宋_GB2312"/>
          <w:color w:val="auto"/>
          <w:sz w:val="28"/>
          <w:szCs w:val="28"/>
          <w:highlight w:val="none"/>
        </w:rPr>
        <w:t>二○一一年六月十八日</w:t>
      </w:r>
    </w:p>
    <w:p w14:paraId="0C5ECDB9">
      <w:pPr>
        <w:pStyle w:val="32"/>
        <w:spacing w:line="432" w:lineRule="auto"/>
        <w:rPr>
          <w:rFonts w:ascii="仿宋_GB2312" w:eastAsia="仿宋_GB2312"/>
          <w:color w:val="auto"/>
          <w:sz w:val="28"/>
          <w:szCs w:val="28"/>
          <w:highlight w:val="none"/>
        </w:rPr>
      </w:pPr>
      <w:r>
        <w:rPr>
          <w:rFonts w:hint="eastAsia" w:eastAsia="仿宋_GB2312"/>
          <w:color w:val="auto"/>
          <w:sz w:val="28"/>
          <w:szCs w:val="28"/>
          <w:highlight w:val="none"/>
        </w:rPr>
        <w:t> </w:t>
      </w:r>
    </w:p>
    <w:p w14:paraId="14059B02">
      <w:pPr>
        <w:pStyle w:val="32"/>
        <w:spacing w:line="432" w:lineRule="auto"/>
        <w:jc w:val="center"/>
        <w:rPr>
          <w:rFonts w:ascii="方正小标宋简体" w:eastAsia="方正小标宋简体"/>
          <w:b/>
          <w:color w:val="auto"/>
          <w:sz w:val="36"/>
          <w:szCs w:val="36"/>
          <w:highlight w:val="none"/>
        </w:rPr>
      </w:pPr>
      <w:r>
        <w:rPr>
          <w:rStyle w:val="38"/>
          <w:rFonts w:hint="eastAsia" w:ascii="方正小标宋简体" w:eastAsia="方正小标宋简体"/>
          <w:b w:val="0"/>
          <w:color w:val="auto"/>
          <w:sz w:val="36"/>
          <w:szCs w:val="36"/>
          <w:highlight w:val="none"/>
        </w:rPr>
        <w:t>中小企业划型标准规定</w:t>
      </w:r>
    </w:p>
    <w:p w14:paraId="6FC0053C">
      <w:pPr>
        <w:pStyle w:val="32"/>
        <w:spacing w:line="432"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　　 一、根据《中华人民共和国中小企业促进法》和《国务院关于进一步促进中小企业发展的若干意见》(国发〔2009〕36号)，制定本规定。　　</w:t>
      </w:r>
    </w:p>
    <w:p w14:paraId="3CFE5330">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二、中小企业划分为中型、小型、微型三种类型，具体标准根据企业从业人员、营业收入、资产总额等指标，结合行业特点制定。　　</w:t>
      </w:r>
    </w:p>
    <w:p w14:paraId="6C4777D6">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14:paraId="37EABCC9">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四、各行业划型标准为：　　</w:t>
      </w:r>
    </w:p>
    <w:p w14:paraId="73CB7958">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（一）农、林、牧、渔业。营业收入20000万元以下的为中小微型企业。其中，营业收入500万元及以上的为中型企业，营业收入50万元及以上的为小型企业，营业收入50万元以下的为微型企业。　　</w:t>
      </w:r>
    </w:p>
    <w:p w14:paraId="227A382A">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2E0CAE04">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46C4FFB2">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650861DD">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6CF691F5">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84D7F88">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7363ED44">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BA0767C">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65089658">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34841F07">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565BBB4D">
      <w:pPr>
        <w:pStyle w:val="32"/>
        <w:spacing w:line="432" w:lineRule="auto"/>
        <w:ind w:firstLine="980" w:firstLineChars="350"/>
        <w:rPr>
          <w:rFonts w:ascii="仿宋_GB2312" w:eastAsia="仿宋_GB2312"/>
          <w:color w:val="auto"/>
          <w:sz w:val="28"/>
          <w:szCs w:val="28"/>
          <w:highlight w:val="none"/>
        </w:rPr>
      </w:pPr>
      <w:r>
        <w:rPr>
          <w:rFonts w:hint="eastAsia" w:ascii="仿宋_GB2312" w:eastAsia="仿宋_GB2312"/>
          <w:color w:val="auto"/>
          <w:sz w:val="28"/>
          <w:szCs w:val="28"/>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6BDF65A2">
      <w:pPr>
        <w:pStyle w:val="32"/>
        <w:spacing w:line="432"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663F233A">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7591C3D9">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DE3B7FB">
      <w:pPr>
        <w:pStyle w:val="32"/>
        <w:spacing w:line="432" w:lineRule="auto"/>
        <w:ind w:firstLine="700" w:firstLineChars="250"/>
        <w:rPr>
          <w:rFonts w:ascii="仿宋_GB2312" w:eastAsia="仿宋_GB2312"/>
          <w:color w:val="auto"/>
          <w:sz w:val="28"/>
          <w:szCs w:val="28"/>
          <w:highlight w:val="none"/>
        </w:rPr>
      </w:pPr>
      <w:r>
        <w:rPr>
          <w:rFonts w:hint="eastAsia" w:ascii="仿宋_GB2312" w:eastAsia="仿宋_GB2312"/>
          <w:color w:val="auto"/>
          <w:sz w:val="28"/>
          <w:szCs w:val="28"/>
          <w:highlight w:val="none"/>
        </w:rPr>
        <w:t>（十六）其他未列明行业。从业人员300人以下的为中小微型企业。其中，从业人员100人及以上的为中型企业；从业人员10人及以上的为小型企业；从业人员10人以下的为微型企业。　　</w:t>
      </w:r>
    </w:p>
    <w:p w14:paraId="25D6B902">
      <w:pPr>
        <w:pStyle w:val="32"/>
        <w:spacing w:line="432" w:lineRule="auto"/>
        <w:ind w:firstLine="420" w:firstLineChars="150"/>
        <w:rPr>
          <w:rFonts w:ascii="仿宋_GB2312" w:eastAsia="仿宋_GB2312"/>
          <w:color w:val="auto"/>
          <w:sz w:val="28"/>
          <w:szCs w:val="28"/>
          <w:highlight w:val="none"/>
        </w:rPr>
      </w:pPr>
      <w:r>
        <w:rPr>
          <w:rFonts w:hint="eastAsia" w:ascii="仿宋_GB2312" w:eastAsia="仿宋_GB2312"/>
          <w:color w:val="auto"/>
          <w:sz w:val="28"/>
          <w:szCs w:val="28"/>
          <w:highlight w:val="none"/>
        </w:rPr>
        <w:t>五、企业类型的划分以统计部门的统计数据为依据。　　</w:t>
      </w:r>
    </w:p>
    <w:p w14:paraId="4BD086BC">
      <w:pPr>
        <w:pStyle w:val="32"/>
        <w:spacing w:line="432" w:lineRule="auto"/>
        <w:ind w:firstLine="420" w:firstLineChars="150"/>
        <w:rPr>
          <w:rFonts w:ascii="仿宋_GB2312" w:eastAsia="仿宋_GB2312"/>
          <w:color w:val="auto"/>
          <w:sz w:val="28"/>
          <w:szCs w:val="28"/>
          <w:highlight w:val="none"/>
        </w:rPr>
      </w:pPr>
      <w:r>
        <w:rPr>
          <w:rFonts w:hint="eastAsia" w:ascii="仿宋_GB2312" w:eastAsia="仿宋_GB2312"/>
          <w:color w:val="auto"/>
          <w:sz w:val="28"/>
          <w:szCs w:val="28"/>
          <w:highlight w:val="none"/>
        </w:rPr>
        <w:t>六、本规定适用于在中华人民共和国境内依法设立的各类所有制和各种组织形式的企业。个体工商户和本规定以外的行业，参照本规定进行划型。　　</w:t>
      </w:r>
    </w:p>
    <w:p w14:paraId="68CCC851">
      <w:pPr>
        <w:pStyle w:val="32"/>
        <w:spacing w:line="432" w:lineRule="auto"/>
        <w:ind w:firstLine="420" w:firstLineChars="150"/>
        <w:rPr>
          <w:rFonts w:ascii="仿宋_GB2312" w:eastAsia="仿宋_GB2312"/>
          <w:color w:val="auto"/>
          <w:sz w:val="28"/>
          <w:szCs w:val="28"/>
          <w:highlight w:val="none"/>
        </w:rPr>
      </w:pPr>
      <w:r>
        <w:rPr>
          <w:rFonts w:hint="eastAsia" w:ascii="仿宋_GB2312" w:eastAsia="仿宋_GB2312"/>
          <w:color w:val="auto"/>
          <w:sz w:val="28"/>
          <w:szCs w:val="28"/>
          <w:highlight w:val="none"/>
        </w:rPr>
        <w:t>七、本规定的中型企业标准上限即为大型企业标准的下限，国家统计部门据此制定大中小微型企业的统计分类。国务院有关部门据此进行相关数据分析，不得制定与本规定不一致的企业划型标准。　　</w:t>
      </w:r>
    </w:p>
    <w:p w14:paraId="05BFCEA3">
      <w:pPr>
        <w:pStyle w:val="32"/>
        <w:spacing w:line="432" w:lineRule="auto"/>
        <w:ind w:firstLine="420" w:firstLineChars="150"/>
        <w:rPr>
          <w:rFonts w:ascii="仿宋_GB2312" w:eastAsia="仿宋_GB2312"/>
          <w:color w:val="auto"/>
          <w:sz w:val="28"/>
          <w:szCs w:val="28"/>
          <w:highlight w:val="none"/>
        </w:rPr>
      </w:pPr>
      <w:r>
        <w:rPr>
          <w:rFonts w:hint="eastAsia" w:ascii="仿宋_GB2312" w:eastAsia="仿宋_GB2312"/>
          <w:color w:val="auto"/>
          <w:sz w:val="28"/>
          <w:szCs w:val="28"/>
          <w:highlight w:val="none"/>
        </w:rPr>
        <w:t>八、本规定由工业和信息化部、国家统计局会同有关部门根据《国民经济行业分类》修订情况和企业发展变化情况适时修订。　　</w:t>
      </w:r>
    </w:p>
    <w:p w14:paraId="71247151">
      <w:pPr>
        <w:pStyle w:val="32"/>
        <w:spacing w:line="432" w:lineRule="auto"/>
        <w:ind w:firstLine="420" w:firstLineChars="150"/>
        <w:rPr>
          <w:rFonts w:ascii="仿宋_GB2312" w:eastAsia="仿宋_GB2312"/>
          <w:color w:val="auto"/>
          <w:sz w:val="28"/>
          <w:szCs w:val="28"/>
          <w:highlight w:val="none"/>
        </w:rPr>
      </w:pPr>
      <w:r>
        <w:rPr>
          <w:rFonts w:hint="eastAsia" w:ascii="仿宋_GB2312" w:eastAsia="仿宋_GB2312"/>
          <w:color w:val="auto"/>
          <w:sz w:val="28"/>
          <w:szCs w:val="28"/>
          <w:highlight w:val="none"/>
        </w:rPr>
        <w:t>九、本规定由工业和信息化部、国家统计局会同有关部门负责解释。　　</w:t>
      </w:r>
    </w:p>
    <w:p w14:paraId="3424786B">
      <w:pPr>
        <w:pStyle w:val="32"/>
        <w:spacing w:line="432" w:lineRule="auto"/>
        <w:ind w:firstLine="420" w:firstLineChars="150"/>
        <w:rPr>
          <w:rFonts w:eastAsia="黑体"/>
          <w:color w:val="auto"/>
          <w:sz w:val="32"/>
          <w:szCs w:val="32"/>
          <w:highlight w:val="none"/>
        </w:rPr>
      </w:pPr>
      <w:r>
        <w:rPr>
          <w:rFonts w:hint="eastAsia" w:ascii="仿宋_GB2312" w:eastAsia="仿宋_GB2312"/>
          <w:color w:val="auto"/>
          <w:sz w:val="28"/>
          <w:szCs w:val="28"/>
          <w:highlight w:val="none"/>
        </w:rPr>
        <w:t>十、本规定自发布之日起执行，原国家经贸委、原国家计委、财政部和国家统计局2003年颁布的《中小企业标准暂行规定》同时废止。</w:t>
      </w:r>
      <w:r>
        <w:rPr>
          <w:rFonts w:hint="eastAsia" w:eastAsia="黑体"/>
          <w:color w:val="auto"/>
          <w:sz w:val="32"/>
          <w:szCs w:val="32"/>
          <w:highlight w:val="none"/>
        </w:rPr>
        <w:t xml:space="preserve"> </w:t>
      </w:r>
    </w:p>
    <w:p w14:paraId="22271B3F">
      <w:pPr>
        <w:rPr>
          <w:rFonts w:hint="eastAsia" w:eastAsia="黑体"/>
          <w:color w:val="auto"/>
          <w:sz w:val="32"/>
          <w:szCs w:val="32"/>
          <w:highlight w:val="none"/>
        </w:rPr>
      </w:pPr>
      <w:r>
        <w:rPr>
          <w:rFonts w:hint="eastAsia" w:eastAsia="黑体"/>
          <w:color w:val="auto"/>
          <w:sz w:val="32"/>
          <w:szCs w:val="32"/>
          <w:highlight w:val="none"/>
        </w:rPr>
        <w:br w:type="page"/>
      </w:r>
    </w:p>
    <w:p w14:paraId="2CBBABE3">
      <w:pPr>
        <w:spacing w:line="560" w:lineRule="exact"/>
        <w:ind w:firstLine="643" w:firstLineChars="201"/>
        <w:jc w:val="center"/>
        <w:rPr>
          <w:rFonts w:eastAsia="黑体"/>
          <w:color w:val="auto"/>
          <w:sz w:val="32"/>
          <w:szCs w:val="32"/>
          <w:highlight w:val="none"/>
        </w:rPr>
      </w:pPr>
      <w:r>
        <w:rPr>
          <w:rFonts w:hint="eastAsia" w:eastAsia="黑体"/>
          <w:color w:val="auto"/>
          <w:sz w:val="32"/>
          <w:szCs w:val="32"/>
          <w:highlight w:val="none"/>
        </w:rPr>
        <w:t>《实质性条款一览表》</w:t>
      </w:r>
    </w:p>
    <w:p w14:paraId="0488F2A4">
      <w:pPr>
        <w:snapToGrid w:val="0"/>
        <w:ind w:firstLine="560"/>
        <w:jc w:val="left"/>
        <w:rPr>
          <w:rFonts w:ascii="仿宋_GB2312" w:eastAsia="仿宋_GB2312"/>
          <w:color w:val="auto"/>
          <w:sz w:val="28"/>
          <w:szCs w:val="28"/>
          <w:highlight w:val="none"/>
        </w:rPr>
      </w:pPr>
      <w:r>
        <w:rPr>
          <w:rFonts w:hint="eastAsia" w:ascii="仿宋_GB2312" w:eastAsia="仿宋_GB2312"/>
          <w:color w:val="auto"/>
          <w:sz w:val="28"/>
          <w:szCs w:val="28"/>
          <w:highlight w:val="none"/>
        </w:rPr>
        <w:t>说明：本表系采购文件及修改性文件中涉及的所有实质性条款的汇总。不允许有任何负偏离，否则报价将被否决。</w:t>
      </w:r>
    </w:p>
    <w:tbl>
      <w:tblPr>
        <w:tblStyle w:val="3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09"/>
      </w:tblGrid>
      <w:tr w14:paraId="60EB3B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vAlign w:val="center"/>
          </w:tcPr>
          <w:p w14:paraId="5DF30FBF">
            <w:pPr>
              <w:spacing w:line="560" w:lineRule="exact"/>
              <w:rPr>
                <w:rFonts w:ascii="仿宋_GB2312" w:hAnsi="宋体" w:eastAsia="仿宋_GB2312"/>
                <w:b/>
                <w:bCs/>
                <w:color w:val="auto"/>
                <w:sz w:val="28"/>
                <w:szCs w:val="28"/>
                <w:highlight w:val="none"/>
              </w:rPr>
            </w:pPr>
            <w:r>
              <w:rPr>
                <w:rFonts w:hint="eastAsia" w:ascii="仿宋_GB2312" w:hAnsi="宋体" w:eastAsia="仿宋_GB2312"/>
                <w:b/>
                <w:bCs/>
                <w:color w:val="auto"/>
                <w:sz w:val="28"/>
                <w:szCs w:val="28"/>
                <w:highlight w:val="none"/>
              </w:rPr>
              <w:t>资格性核查</w:t>
            </w:r>
          </w:p>
        </w:tc>
      </w:tr>
      <w:tr w14:paraId="39673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tcPr>
          <w:p w14:paraId="2DB02B97">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1、法人或其他组织的营业执照等证明文件扫描件；（A）包</w:t>
            </w:r>
          </w:p>
          <w:p w14:paraId="7A9BFAF6">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2、法定代表人授权委托书；被授权人身份证扫描件；</w:t>
            </w:r>
          </w:p>
          <w:p w14:paraId="16D1196C">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若响应单位代表为企业法定代表人/单位负责人的，则只需提供企业法定代表人/单位负责人身份证扫描件；（A）包</w:t>
            </w:r>
          </w:p>
          <w:p w14:paraId="56086524">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3、依法缴纳税收和社会保障资金的声明（格式自拟）；（A）包</w:t>
            </w:r>
          </w:p>
          <w:p w14:paraId="5C73E5DA">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4、参加本项目报价前三年内无重大违法记录声明（格式自定）；（A）包</w:t>
            </w:r>
          </w:p>
          <w:p w14:paraId="379725FD">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5、由代理机构查询“信用中国”、报价供应商所在地省级信用官方网站(如:“信用山东)、“中国政府采购网”，对已列入失信被执行人、重大税收违法案件当事人名单、政府采购严重违法失信行为记录名单的供应商，将拒绝其继续参与政府采购活动；（A）包</w:t>
            </w:r>
          </w:p>
          <w:p w14:paraId="4237FA37">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6、财务状况报告等相关材料</w:t>
            </w:r>
          </w:p>
          <w:p w14:paraId="1FCBF959">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供应商自行编制的近一年度公司财务报表或由中介机构出具的2022年度或2023年度财务审计报告书扫描件；</w:t>
            </w:r>
          </w:p>
          <w:p w14:paraId="7C06B931">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B.银行出具的有效期内的资信证明扫描件。</w:t>
            </w:r>
          </w:p>
          <w:p w14:paraId="7761B036">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注：A、B两项提供任意一项均可。（A）包</w:t>
            </w:r>
          </w:p>
          <w:p w14:paraId="4D9492A6">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7、具有履行合同所必需的设备和专业技术能力承诺函（格式自拟）；（A）包</w:t>
            </w:r>
          </w:p>
          <w:p w14:paraId="355EA20D">
            <w:pPr>
              <w:spacing w:line="560" w:lineRule="exact"/>
              <w:ind w:firstLine="341" w:firstLineChars="122"/>
              <w:rPr>
                <w:rFonts w:ascii="仿宋_GB2312" w:hAnsi="宋体" w:eastAsia="仿宋_GB2312"/>
                <w:color w:val="auto"/>
                <w:sz w:val="28"/>
                <w:szCs w:val="28"/>
                <w:highlight w:val="none"/>
              </w:rPr>
            </w:pPr>
            <w:r>
              <w:rPr>
                <w:rFonts w:ascii="仿宋_GB2312" w:hAnsi="宋体" w:eastAsia="仿宋_GB2312"/>
                <w:color w:val="auto"/>
                <w:sz w:val="28"/>
                <w:szCs w:val="28"/>
                <w:highlight w:val="none"/>
              </w:rPr>
              <w:t>8、中小企业声明函声明为中小企业；（A）包</w:t>
            </w:r>
          </w:p>
        </w:tc>
      </w:tr>
      <w:tr w14:paraId="7BCAA6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50053623">
            <w:pPr>
              <w:spacing w:line="560" w:lineRule="exact"/>
              <w:rPr>
                <w:rFonts w:ascii="仿宋_GB2312" w:hAnsi="宋体" w:eastAsia="仿宋_GB2312"/>
                <w:b/>
                <w:bCs/>
                <w:color w:val="auto"/>
                <w:sz w:val="28"/>
                <w:szCs w:val="28"/>
                <w:highlight w:val="none"/>
              </w:rPr>
            </w:pPr>
            <w:r>
              <w:rPr>
                <w:rFonts w:hint="eastAsia" w:ascii="仿宋_GB2312" w:hAnsi="宋体" w:eastAsia="仿宋_GB2312"/>
                <w:b/>
                <w:bCs/>
                <w:color w:val="auto"/>
                <w:sz w:val="28"/>
                <w:szCs w:val="28"/>
                <w:highlight w:val="none"/>
              </w:rPr>
              <w:t>符合性检查</w:t>
            </w:r>
          </w:p>
        </w:tc>
      </w:tr>
      <w:tr w14:paraId="46704A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3CB02E5F">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1、评审小组认为不符合采购文件其他实质性要求或法律法规规定的其他情形；作为无效报价。（A）包</w:t>
            </w:r>
          </w:p>
          <w:p w14:paraId="6D9B0C48">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2、参加同一项目的不同供应商的电子投标文件文件制作机器码（MAC地址、主硬盘序列号、CPU信息、计算机名称）一致导致串标率100%，将作为无效报价；（A）包</w:t>
            </w:r>
          </w:p>
          <w:p w14:paraId="3567990B">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3、响应报价、交付期（工期）、服务期（质保期）、付款方式、报价有效期等内容不满足采购文件要求的作为无效报价；（A）包</w:t>
            </w:r>
          </w:p>
          <w:p w14:paraId="339D3B02">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4、响应文件含有采购人不能接受的附加条件的，作为无效报价；（A）包</w:t>
            </w:r>
          </w:p>
          <w:p w14:paraId="3F74B0BD">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5、被授权人未在规定时间内答疑或澄清的，作为无效报价；（A）包</w:t>
            </w:r>
          </w:p>
          <w:p w14:paraId="06C4DD3F">
            <w:pPr>
              <w:spacing w:line="560" w:lineRule="exact"/>
              <w:rPr>
                <w:rFonts w:ascii="仿宋_GB2312" w:hAnsi="宋体" w:eastAsia="仿宋_GB2312"/>
                <w:color w:val="auto"/>
                <w:sz w:val="28"/>
                <w:szCs w:val="28"/>
                <w:highlight w:val="none"/>
              </w:rPr>
            </w:pPr>
            <w:r>
              <w:rPr>
                <w:rFonts w:ascii="仿宋_GB2312" w:hAnsi="宋体" w:eastAsia="仿宋_GB2312"/>
                <w:color w:val="auto"/>
                <w:sz w:val="28"/>
                <w:szCs w:val="28"/>
                <w:highlight w:val="none"/>
              </w:rPr>
              <w:t>6、响应文件未按规定签章的，作为无效报价；（A）包</w:t>
            </w:r>
          </w:p>
        </w:tc>
      </w:tr>
    </w:tbl>
    <w:p w14:paraId="677640C6">
      <w:pPr>
        <w:spacing w:line="560" w:lineRule="exact"/>
        <w:rPr>
          <w:rFonts w:ascii="宋体" w:hAnsi="宋体"/>
          <w:color w:val="auto"/>
          <w:sz w:val="44"/>
          <w:szCs w:val="44"/>
          <w:highlight w:val="none"/>
        </w:rPr>
      </w:pPr>
    </w:p>
    <w:p w14:paraId="2153A8FE">
      <w:pPr>
        <w:spacing w:line="560" w:lineRule="exact"/>
        <w:rPr>
          <w:rFonts w:ascii="宋体" w:hAnsi="宋体"/>
          <w:color w:val="auto"/>
          <w:sz w:val="44"/>
          <w:szCs w:val="44"/>
          <w:highlight w:val="none"/>
        </w:rPr>
        <w:sectPr>
          <w:headerReference r:id="rId10" w:type="default"/>
          <w:footerReference r:id="rId11" w:type="default"/>
          <w:pgSz w:w="11906" w:h="16838"/>
          <w:pgMar w:top="1440" w:right="1077" w:bottom="1440" w:left="1077" w:header="851" w:footer="992" w:gutter="0"/>
          <w:cols w:space="720" w:num="1"/>
          <w:docGrid w:type="lines" w:linePitch="312" w:charSpace="0"/>
        </w:sectPr>
      </w:pPr>
    </w:p>
    <w:p w14:paraId="1BCF628C">
      <w:pPr>
        <w:pStyle w:val="4"/>
        <w:ind w:firstLine="643"/>
        <w:rPr>
          <w:color w:val="auto"/>
          <w:highlight w:val="none"/>
        </w:rPr>
      </w:pPr>
      <w:r>
        <w:rPr>
          <w:rFonts w:hint="eastAsia"/>
          <w:color w:val="auto"/>
          <w:highlight w:val="none"/>
        </w:rPr>
        <w:t>一、说明</w:t>
      </w:r>
    </w:p>
    <w:p w14:paraId="20C07E9E">
      <w:pPr>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文件依据《中华人民共和国政府采购法》、《中华人民共和国政府采购法实施条例》和财政部《政府采购竞争性磋商采购方式管理暂行办法》及国家和山东省有关法律、法规、规章制度编制。参加本项目供应商应接受本采购文件关于电子招投标各项规定。</w:t>
      </w:r>
    </w:p>
    <w:p w14:paraId="13A4CBC6">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1.适用范围</w:t>
      </w:r>
    </w:p>
    <w:p w14:paraId="3DFE0C2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1.1 本竞争性磋商文件仅适用于本次采购公告中所涉及的项目和内容。</w:t>
      </w:r>
    </w:p>
    <w:p w14:paraId="7F6B9D4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1.2 本竞争性磋商文件的解释权为</w:t>
      </w:r>
      <w:r>
        <w:rPr>
          <w:rFonts w:hint="eastAsia" w:ascii="仿宋_GB2312" w:hAnsi="宋体" w:eastAsia="仿宋_GB2312"/>
          <w:color w:val="auto"/>
          <w:sz w:val="28"/>
          <w:szCs w:val="28"/>
          <w:highlight w:val="none"/>
          <w:lang w:eastAsia="zh-CN"/>
        </w:rPr>
        <w:t>乳山天平建设工程咨询有限公司</w:t>
      </w:r>
      <w:r>
        <w:rPr>
          <w:rFonts w:hint="eastAsia" w:ascii="仿宋_GB2312" w:hAnsi="仿宋" w:eastAsia="仿宋_GB2312" w:cs="宋体"/>
          <w:color w:val="auto"/>
          <w:sz w:val="28"/>
          <w:szCs w:val="28"/>
          <w:highlight w:val="none"/>
        </w:rPr>
        <w:t>，以书面解释为准。</w:t>
      </w:r>
    </w:p>
    <w:p w14:paraId="3FBA4F8D">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1.3本竞争性磋商文件未做须知明示，而又有相关法律、法规规定的，从其规定。</w:t>
      </w:r>
    </w:p>
    <w:p w14:paraId="6C73175F">
      <w:pPr>
        <w:spacing w:line="560" w:lineRule="exact"/>
        <w:ind w:firstLine="565" w:firstLineChars="201"/>
        <w:rPr>
          <w:rFonts w:ascii="楷体_GB2312" w:hAnsi="仿宋" w:eastAsia="楷体_GB2312" w:cs="宋体"/>
          <w:b/>
          <w:color w:val="auto"/>
          <w:sz w:val="28"/>
          <w:szCs w:val="28"/>
          <w:highlight w:val="none"/>
        </w:rPr>
      </w:pPr>
      <w:r>
        <w:rPr>
          <w:rFonts w:hint="eastAsia" w:ascii="楷体_GB2312" w:hAnsi="仿宋" w:eastAsia="楷体_GB2312" w:cs="宋体"/>
          <w:b/>
          <w:color w:val="auto"/>
          <w:sz w:val="28"/>
          <w:szCs w:val="28"/>
          <w:highlight w:val="none"/>
        </w:rPr>
        <w:t>2.采购人、采购代理机构及供应商</w:t>
      </w:r>
    </w:p>
    <w:p w14:paraId="4EFE7D3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2.1采购人：是指</w:t>
      </w:r>
      <w:r>
        <w:rPr>
          <w:rFonts w:ascii="仿宋_GB2312" w:hAnsi="仿宋" w:eastAsia="仿宋_GB2312" w:cs="宋体"/>
          <w:color w:val="auto"/>
          <w:sz w:val="28"/>
          <w:szCs w:val="28"/>
          <w:highlight w:val="none"/>
        </w:rPr>
        <w:t>依法</w:t>
      </w:r>
      <w:r>
        <w:rPr>
          <w:rFonts w:hint="eastAsia" w:ascii="仿宋_GB2312" w:hAnsi="仿宋" w:eastAsia="仿宋_GB2312" w:cs="宋体"/>
          <w:color w:val="auto"/>
          <w:sz w:val="28"/>
          <w:szCs w:val="28"/>
          <w:highlight w:val="none"/>
        </w:rPr>
        <w:t>开展</w:t>
      </w:r>
      <w:r>
        <w:rPr>
          <w:rFonts w:ascii="仿宋_GB2312" w:hAnsi="仿宋" w:eastAsia="仿宋_GB2312" w:cs="宋体"/>
          <w:color w:val="auto"/>
          <w:sz w:val="28"/>
          <w:szCs w:val="28"/>
          <w:highlight w:val="none"/>
        </w:rPr>
        <w:t>政府采购</w:t>
      </w:r>
      <w:r>
        <w:rPr>
          <w:rFonts w:hint="eastAsia" w:ascii="仿宋_GB2312" w:hAnsi="仿宋" w:eastAsia="仿宋_GB2312" w:cs="宋体"/>
          <w:color w:val="auto"/>
          <w:sz w:val="28"/>
          <w:szCs w:val="28"/>
          <w:highlight w:val="none"/>
        </w:rPr>
        <w:t>活动</w:t>
      </w:r>
      <w:r>
        <w:rPr>
          <w:rFonts w:ascii="仿宋_GB2312" w:hAnsi="仿宋" w:eastAsia="仿宋_GB2312" w:cs="宋体"/>
          <w:color w:val="auto"/>
          <w:sz w:val="28"/>
          <w:szCs w:val="28"/>
          <w:highlight w:val="none"/>
        </w:rPr>
        <w:t>的国家机</w:t>
      </w:r>
      <w:r>
        <w:rPr>
          <w:rFonts w:hint="eastAsia" w:ascii="仿宋_GB2312" w:hAnsi="仿宋" w:eastAsia="仿宋_GB2312" w:cs="宋体"/>
          <w:color w:val="auto"/>
          <w:sz w:val="28"/>
          <w:szCs w:val="28"/>
          <w:highlight w:val="none"/>
        </w:rPr>
        <w:t>关</w:t>
      </w:r>
      <w:r>
        <w:rPr>
          <w:rFonts w:ascii="仿宋_GB2312" w:hAnsi="仿宋" w:eastAsia="仿宋_GB2312" w:cs="宋体"/>
          <w:color w:val="auto"/>
          <w:sz w:val="28"/>
          <w:szCs w:val="28"/>
          <w:highlight w:val="none"/>
        </w:rPr>
        <w:t>、事业单位、团体组织</w:t>
      </w:r>
      <w:r>
        <w:rPr>
          <w:rFonts w:hint="eastAsia" w:ascii="仿宋_GB2312" w:hAnsi="仿宋" w:eastAsia="仿宋_GB2312" w:cs="宋体"/>
          <w:color w:val="auto"/>
          <w:sz w:val="28"/>
          <w:szCs w:val="28"/>
          <w:highlight w:val="none"/>
        </w:rPr>
        <w:t>。</w:t>
      </w:r>
    </w:p>
    <w:p w14:paraId="67D4219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本项目的采购人见</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w:t>
      </w:r>
    </w:p>
    <w:p w14:paraId="50520AF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2.2采购代理机构：是指采购代理机构或从事采购代理业务的社会中介机构。本项目的采购代理机构见</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w:t>
      </w:r>
    </w:p>
    <w:p w14:paraId="52C56EB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2.3供应商</w:t>
      </w:r>
      <w:r>
        <w:rPr>
          <w:rFonts w:ascii="仿宋_GB2312" w:hAnsi="仿宋" w:eastAsia="仿宋_GB2312" w:cs="宋体"/>
          <w:color w:val="auto"/>
          <w:sz w:val="28"/>
          <w:szCs w:val="28"/>
          <w:highlight w:val="none"/>
        </w:rPr>
        <w:t>：是指向采购人提供货物</w:t>
      </w:r>
      <w:r>
        <w:rPr>
          <w:rFonts w:hint="eastAsia" w:ascii="仿宋_GB2312" w:hAnsi="仿宋" w:eastAsia="仿宋_GB2312" w:cs="宋体"/>
          <w:color w:val="auto"/>
          <w:sz w:val="28"/>
          <w:szCs w:val="28"/>
          <w:highlight w:val="none"/>
        </w:rPr>
        <w:t>及伴随的</w:t>
      </w:r>
      <w:r>
        <w:rPr>
          <w:rFonts w:ascii="仿宋_GB2312" w:hAnsi="仿宋" w:eastAsia="仿宋_GB2312" w:cs="宋体"/>
          <w:color w:val="auto"/>
          <w:sz w:val="28"/>
          <w:szCs w:val="28"/>
          <w:highlight w:val="none"/>
        </w:rPr>
        <w:t>服务的法人、其他组织或者自然人。</w:t>
      </w:r>
      <w:r>
        <w:rPr>
          <w:rFonts w:hint="eastAsia" w:ascii="仿宋_GB2312" w:hAnsi="仿宋" w:eastAsia="仿宋_GB2312" w:cs="宋体"/>
          <w:color w:val="auto"/>
          <w:sz w:val="28"/>
          <w:szCs w:val="28"/>
          <w:highlight w:val="none"/>
        </w:rPr>
        <w:t>潜在</w:t>
      </w:r>
      <w:r>
        <w:rPr>
          <w:rFonts w:ascii="仿宋_GB2312" w:hAnsi="仿宋" w:eastAsia="仿宋_GB2312" w:cs="宋体"/>
          <w:color w:val="auto"/>
          <w:sz w:val="28"/>
          <w:szCs w:val="28"/>
          <w:highlight w:val="none"/>
        </w:rPr>
        <w:t>供应商：是指</w:t>
      </w:r>
      <w:r>
        <w:rPr>
          <w:rFonts w:hint="eastAsia" w:ascii="仿宋_GB2312" w:hAnsi="仿宋" w:eastAsia="仿宋_GB2312" w:cs="宋体"/>
          <w:color w:val="auto"/>
          <w:sz w:val="28"/>
          <w:szCs w:val="28"/>
          <w:highlight w:val="none"/>
        </w:rPr>
        <w:t>响应招标</w:t>
      </w:r>
      <w:r>
        <w:rPr>
          <w:rFonts w:ascii="仿宋_GB2312" w:hAnsi="仿宋" w:eastAsia="仿宋_GB2312" w:cs="宋体"/>
          <w:color w:val="auto"/>
          <w:sz w:val="28"/>
          <w:szCs w:val="28"/>
          <w:highlight w:val="none"/>
        </w:rPr>
        <w:t>、参加投标竞争的法人、其他组织或者自然人</w:t>
      </w:r>
      <w:r>
        <w:rPr>
          <w:rFonts w:hint="eastAsia" w:ascii="仿宋_GB2312" w:hAnsi="仿宋" w:eastAsia="仿宋_GB2312" w:cs="宋体"/>
          <w:color w:val="auto"/>
          <w:sz w:val="28"/>
          <w:szCs w:val="28"/>
          <w:highlight w:val="none"/>
        </w:rPr>
        <w:t>，以采购文件规定</w:t>
      </w:r>
      <w:r>
        <w:rPr>
          <w:rFonts w:ascii="仿宋_GB2312" w:hAnsi="仿宋" w:eastAsia="仿宋_GB2312" w:cs="宋体"/>
          <w:color w:val="auto"/>
          <w:sz w:val="28"/>
          <w:szCs w:val="28"/>
          <w:highlight w:val="none"/>
        </w:rPr>
        <w:t>的方式</w:t>
      </w:r>
      <w:r>
        <w:rPr>
          <w:rFonts w:hint="eastAsia" w:ascii="仿宋_GB2312" w:hAnsi="仿宋" w:eastAsia="仿宋_GB2312" w:cs="宋体"/>
          <w:color w:val="auto"/>
          <w:sz w:val="28"/>
          <w:szCs w:val="28"/>
          <w:highlight w:val="none"/>
        </w:rPr>
        <w:t>获取本项目</w:t>
      </w:r>
      <w:r>
        <w:rPr>
          <w:rFonts w:ascii="仿宋_GB2312" w:hAnsi="仿宋" w:eastAsia="仿宋_GB2312" w:cs="宋体"/>
          <w:color w:val="auto"/>
          <w:sz w:val="28"/>
          <w:szCs w:val="28"/>
          <w:highlight w:val="none"/>
        </w:rPr>
        <w:t>采购文件的法人、其他组织或者自然人。</w:t>
      </w:r>
    </w:p>
    <w:p w14:paraId="6C72C203">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本项目的供应商须满足以下条件：</w:t>
      </w:r>
    </w:p>
    <w:p w14:paraId="37383883">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2.3.1具备《中华人民共和国政府采购法》第二十二条(第一款 银行、保险、石油石化、电力、电信等特殊行业除外)关于供应商条件的规定，遵守本项目采购人本级和上级财政部门政府采购的有关规定。</w:t>
      </w:r>
    </w:p>
    <w:p w14:paraId="171C24F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2.3.2以采购文件规定</w:t>
      </w:r>
      <w:r>
        <w:rPr>
          <w:rFonts w:ascii="仿宋_GB2312" w:hAnsi="仿宋" w:eastAsia="仿宋_GB2312" w:cs="宋体"/>
          <w:color w:val="auto"/>
          <w:sz w:val="28"/>
          <w:szCs w:val="28"/>
          <w:highlight w:val="none"/>
        </w:rPr>
        <w:t>的方式</w:t>
      </w:r>
      <w:r>
        <w:rPr>
          <w:rFonts w:hint="eastAsia" w:ascii="仿宋_GB2312" w:hAnsi="仿宋" w:eastAsia="仿宋_GB2312" w:cs="宋体"/>
          <w:color w:val="auto"/>
          <w:sz w:val="28"/>
          <w:szCs w:val="28"/>
          <w:highlight w:val="none"/>
        </w:rPr>
        <w:t>获得了本项目的采购文件。</w:t>
      </w:r>
    </w:p>
    <w:p w14:paraId="5905779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3</w:t>
      </w:r>
      <w:r>
        <w:rPr>
          <w:rFonts w:hint="eastAsia" w:ascii="仿宋_GB2312" w:hAnsi="仿宋" w:eastAsia="仿宋_GB2312" w:cs="宋体"/>
          <w:color w:val="auto"/>
          <w:sz w:val="28"/>
          <w:szCs w:val="28"/>
          <w:highlight w:val="none"/>
        </w:rPr>
        <w:t>.3符合</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中规定的其他要求。</w:t>
      </w:r>
    </w:p>
    <w:p w14:paraId="7BE852E2">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若响应须知前附表中写明专门面向中小企业采购的，按货物类实施采购的，其货物应由中小企业制造，即货物由中小企业生产且使用该中小企业商号或者注册商标；按工程类实施采购的，工程应由中小企业承建，即工程施工单位应为中小企业；按服务类实施采购的，服务应由中小企业承接，即提供服务的人员为中小企业按照《中华人民共和国劳动合同法》订立劳动合同的从业人员。否则，其报价将被认定为</w:t>
      </w:r>
      <w:r>
        <w:rPr>
          <w:rFonts w:hint="eastAsia" w:ascii="仿宋_GB2312" w:hAnsi="仿宋" w:eastAsia="仿宋_GB2312" w:cs="宋体"/>
          <w:b/>
          <w:color w:val="auto"/>
          <w:sz w:val="28"/>
          <w:szCs w:val="28"/>
          <w:highlight w:val="none"/>
        </w:rPr>
        <w:t>无效</w:t>
      </w:r>
      <w:r>
        <w:rPr>
          <w:rFonts w:hint="eastAsia" w:ascii="仿宋_GB2312" w:hAnsi="仿宋" w:eastAsia="仿宋_GB2312" w:cs="宋体"/>
          <w:color w:val="auto"/>
          <w:sz w:val="28"/>
          <w:szCs w:val="28"/>
          <w:highlight w:val="none"/>
        </w:rPr>
        <w:t>。</w:t>
      </w:r>
    </w:p>
    <w:p w14:paraId="5D5FF5C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2.4货物，是指供应商按采购文件要求，向采购人提供全新的、未使用过的各种形态和种类的物品，包括原材料、燃料、设备、产品等。</w:t>
      </w:r>
    </w:p>
    <w:p w14:paraId="12317194">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2.5服务，是指供应商按采购文件要求，完成规定的货物供货过程中须承担的制造、运输、吊拉、安装、调试、技术协助、培训及其他各项义务。</w:t>
      </w:r>
    </w:p>
    <w:p w14:paraId="493CF014">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2.6单位</w:t>
      </w:r>
      <w:r>
        <w:rPr>
          <w:rFonts w:ascii="仿宋_GB2312" w:hAnsi="仿宋" w:eastAsia="仿宋_GB2312" w:cs="宋体"/>
          <w:color w:val="auto"/>
          <w:sz w:val="28"/>
          <w:szCs w:val="28"/>
          <w:highlight w:val="none"/>
        </w:rPr>
        <w:t>负责人为同一</w:t>
      </w:r>
      <w:r>
        <w:rPr>
          <w:rFonts w:hint="eastAsia" w:ascii="仿宋_GB2312" w:hAnsi="仿宋" w:eastAsia="仿宋_GB2312" w:cs="宋体"/>
          <w:color w:val="auto"/>
          <w:sz w:val="28"/>
          <w:szCs w:val="28"/>
          <w:highlight w:val="none"/>
        </w:rPr>
        <w:t>人</w:t>
      </w:r>
      <w:r>
        <w:rPr>
          <w:rFonts w:ascii="仿宋_GB2312" w:hAnsi="仿宋" w:eastAsia="仿宋_GB2312" w:cs="宋体"/>
          <w:color w:val="auto"/>
          <w:sz w:val="28"/>
          <w:szCs w:val="28"/>
          <w:highlight w:val="none"/>
        </w:rPr>
        <w:t>或者存在</w:t>
      </w:r>
      <w:r>
        <w:rPr>
          <w:rFonts w:hint="eastAsia" w:ascii="仿宋_GB2312" w:hAnsi="仿宋" w:eastAsia="仿宋_GB2312" w:cs="宋体"/>
          <w:color w:val="auto"/>
          <w:sz w:val="28"/>
          <w:szCs w:val="28"/>
          <w:highlight w:val="none"/>
        </w:rPr>
        <w:t>直接</w:t>
      </w:r>
      <w:r>
        <w:rPr>
          <w:rFonts w:ascii="仿宋_GB2312" w:hAnsi="仿宋" w:eastAsia="仿宋_GB2312" w:cs="宋体"/>
          <w:color w:val="auto"/>
          <w:sz w:val="28"/>
          <w:szCs w:val="28"/>
          <w:highlight w:val="none"/>
        </w:rPr>
        <w:t>控股、管理</w:t>
      </w:r>
      <w:r>
        <w:rPr>
          <w:rFonts w:hint="eastAsia" w:ascii="仿宋_GB2312" w:hAnsi="仿宋" w:eastAsia="仿宋_GB2312" w:cs="宋体"/>
          <w:color w:val="auto"/>
          <w:sz w:val="28"/>
          <w:szCs w:val="28"/>
          <w:highlight w:val="none"/>
        </w:rPr>
        <w:t>关系</w:t>
      </w:r>
      <w:r>
        <w:rPr>
          <w:rFonts w:ascii="仿宋_GB2312" w:hAnsi="仿宋" w:eastAsia="仿宋_GB2312" w:cs="宋体"/>
          <w:color w:val="auto"/>
          <w:sz w:val="28"/>
          <w:szCs w:val="28"/>
          <w:highlight w:val="none"/>
        </w:rPr>
        <w:t>的不同供应商，不得</w:t>
      </w:r>
      <w:r>
        <w:rPr>
          <w:rFonts w:hint="eastAsia" w:ascii="仿宋_GB2312" w:hAnsi="仿宋" w:eastAsia="仿宋_GB2312" w:cs="宋体"/>
          <w:color w:val="auto"/>
          <w:sz w:val="28"/>
          <w:szCs w:val="28"/>
          <w:highlight w:val="none"/>
        </w:rPr>
        <w:t>参加同一合同项下的政府采购活动，否则其相关报价均将被认定为</w:t>
      </w:r>
      <w:r>
        <w:rPr>
          <w:rFonts w:hint="eastAsia" w:ascii="仿宋_GB2312" w:hAnsi="仿宋" w:eastAsia="仿宋_GB2312" w:cs="宋体"/>
          <w:b/>
          <w:color w:val="auto"/>
          <w:sz w:val="28"/>
          <w:szCs w:val="28"/>
          <w:highlight w:val="none"/>
        </w:rPr>
        <w:t>无效</w:t>
      </w:r>
      <w:r>
        <w:rPr>
          <w:rFonts w:ascii="仿宋_GB2312" w:hAnsi="仿宋" w:eastAsia="仿宋_GB2312" w:cs="宋体"/>
          <w:color w:val="auto"/>
          <w:sz w:val="28"/>
          <w:szCs w:val="28"/>
          <w:highlight w:val="none"/>
        </w:rPr>
        <w:t>。</w:t>
      </w:r>
    </w:p>
    <w:p w14:paraId="5358C05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2.7供应商在响应过程中不得向采购人提供或给予影响其正常决策行为的任何有价值物品或</w:t>
      </w:r>
      <w:r>
        <w:rPr>
          <w:rFonts w:ascii="仿宋_GB2312" w:hAnsi="仿宋" w:eastAsia="仿宋_GB2312" w:cs="宋体"/>
          <w:color w:val="auto"/>
          <w:sz w:val="28"/>
          <w:szCs w:val="28"/>
          <w:highlight w:val="none"/>
        </w:rPr>
        <w:t>服务</w:t>
      </w:r>
      <w:r>
        <w:rPr>
          <w:rFonts w:hint="eastAsia" w:ascii="仿宋_GB2312" w:hAnsi="仿宋" w:eastAsia="仿宋_GB2312" w:cs="宋体"/>
          <w:color w:val="auto"/>
          <w:sz w:val="28"/>
          <w:szCs w:val="28"/>
          <w:highlight w:val="none"/>
        </w:rPr>
        <w:t>。</w:t>
      </w:r>
    </w:p>
    <w:p w14:paraId="1E9C7BDB">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rPr>
        <w:t>8供应商须对本项目指定一个项目负责人，对本项目所有事宜全程负责。未经采购人同意中途不得更换项目负责人。</w:t>
      </w:r>
    </w:p>
    <w:p w14:paraId="4AD51FAE">
      <w:pPr>
        <w:spacing w:line="560" w:lineRule="exact"/>
        <w:ind w:firstLine="565" w:firstLineChars="201"/>
        <w:rPr>
          <w:rFonts w:ascii="楷体_GB2312" w:hAnsi="仿宋" w:eastAsia="楷体_GB2312" w:cs="宋体"/>
          <w:b/>
          <w:color w:val="auto"/>
          <w:sz w:val="28"/>
          <w:szCs w:val="28"/>
          <w:highlight w:val="none"/>
        </w:rPr>
      </w:pPr>
      <w:r>
        <w:rPr>
          <w:rFonts w:hint="eastAsia" w:ascii="楷体_GB2312" w:hAnsi="仿宋" w:eastAsia="楷体_GB2312" w:cs="宋体"/>
          <w:b/>
          <w:color w:val="auto"/>
          <w:sz w:val="28"/>
          <w:szCs w:val="28"/>
          <w:highlight w:val="none"/>
        </w:rPr>
        <w:t>3.资金来源</w:t>
      </w:r>
    </w:p>
    <w:p w14:paraId="0B209D72">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本项目的采购人已获得足以支付本次采购后所签订的合同项下的资金（包括财政性资金和本项目采购</w:t>
      </w:r>
      <w:r>
        <w:rPr>
          <w:rFonts w:ascii="仿宋_GB2312" w:hAnsi="仿宋" w:eastAsia="仿宋_GB2312" w:cs="宋体"/>
          <w:color w:val="auto"/>
          <w:sz w:val="28"/>
          <w:szCs w:val="28"/>
          <w:highlight w:val="none"/>
        </w:rPr>
        <w:t>中无法</w:t>
      </w:r>
      <w:r>
        <w:rPr>
          <w:rFonts w:hint="eastAsia" w:ascii="仿宋_GB2312" w:hAnsi="仿宋" w:eastAsia="仿宋_GB2312" w:cs="宋体"/>
          <w:color w:val="auto"/>
          <w:sz w:val="28"/>
          <w:szCs w:val="28"/>
          <w:highlight w:val="none"/>
        </w:rPr>
        <w:t>与</w:t>
      </w:r>
      <w:r>
        <w:rPr>
          <w:rFonts w:ascii="仿宋_GB2312" w:hAnsi="仿宋" w:eastAsia="仿宋_GB2312" w:cs="宋体"/>
          <w:color w:val="auto"/>
          <w:sz w:val="28"/>
          <w:szCs w:val="28"/>
          <w:highlight w:val="none"/>
        </w:rPr>
        <w:t>财政性资金分割的非财政性资金</w:t>
      </w:r>
      <w:r>
        <w:rPr>
          <w:rFonts w:hint="eastAsia" w:ascii="仿宋_GB2312" w:hAnsi="仿宋" w:eastAsia="仿宋_GB2312" w:cs="宋体"/>
          <w:color w:val="auto"/>
          <w:sz w:val="28"/>
          <w:szCs w:val="28"/>
          <w:highlight w:val="none"/>
        </w:rPr>
        <w:t>，预采购项目除外）。</w:t>
      </w:r>
    </w:p>
    <w:p w14:paraId="3FBF721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3.2项目预算金额和分项或分包最高限价见</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w:t>
      </w:r>
    </w:p>
    <w:p w14:paraId="0711EDD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3.3供应商报价超过采购文件规定的预算金额或者分项、分包最高限价的，其报价将被认定为</w:t>
      </w:r>
      <w:r>
        <w:rPr>
          <w:rFonts w:hint="eastAsia" w:ascii="仿宋_GB2312" w:hAnsi="仿宋" w:eastAsia="仿宋_GB2312" w:cs="宋体"/>
          <w:b/>
          <w:color w:val="auto"/>
          <w:sz w:val="28"/>
          <w:szCs w:val="28"/>
          <w:highlight w:val="none"/>
        </w:rPr>
        <w:t>无效</w:t>
      </w:r>
      <w:r>
        <w:rPr>
          <w:rFonts w:ascii="仿宋_GB2312" w:hAnsi="仿宋" w:eastAsia="仿宋_GB2312" w:cs="宋体"/>
          <w:color w:val="auto"/>
          <w:sz w:val="28"/>
          <w:szCs w:val="28"/>
          <w:highlight w:val="none"/>
        </w:rPr>
        <w:t>。</w:t>
      </w:r>
    </w:p>
    <w:p w14:paraId="2C6C6216">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4.相关要求</w:t>
      </w:r>
    </w:p>
    <w:p w14:paraId="20CFA91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4.1 供应商应承担所有与准备和参加报价的全部费用。不论电子响应结果如何，采购人和采购代理机构均无义务和责任承担这些费用。</w:t>
      </w:r>
    </w:p>
    <w:p w14:paraId="4CCA42B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4.2 本项目若涉及采购货物，则合格的货物及相应服务应满足以下要求：</w:t>
      </w:r>
    </w:p>
    <w:p w14:paraId="104629F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4.2.1 必须是全新、未使用过的原装合格正品（包括零部件），如安装或配置了软件的，须为正版软件。</w:t>
      </w:r>
    </w:p>
    <w:p w14:paraId="5E61BD6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4.2.2 国产的货物及其有关服务必须符合中华人民共和国的设计和制造生产标准或行业标准。磋商公告有其他要求的，亦应符合其要求。</w:t>
      </w:r>
    </w:p>
    <w:p w14:paraId="6B5CE31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4.2.3进口货物及其有关服务必须符合原产地和/或中华人民共和国的设计和制造生产标准或行业标准。进口的货物必须具有合法的进口手续和途径，并通过中华人民共和国商检部门检验。磋商公告有其他要求的，亦应符合其要求。</w:t>
      </w:r>
    </w:p>
    <w:p w14:paraId="6DDFEDD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4.2.4 供应商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供应商应承担全部责任。</w:t>
      </w:r>
    </w:p>
    <w:p w14:paraId="5A73F095">
      <w:pPr>
        <w:snapToGrid w:val="0"/>
        <w:spacing w:line="560" w:lineRule="exact"/>
        <w:ind w:firstLine="565" w:firstLineChars="201"/>
        <w:rPr>
          <w:rFonts w:ascii="仿宋_GB2312" w:hAnsi="宋体" w:eastAsia="仿宋_GB2312"/>
          <w:color w:val="auto"/>
          <w:sz w:val="28"/>
          <w:szCs w:val="28"/>
          <w:highlight w:val="none"/>
        </w:rPr>
      </w:pPr>
      <w:r>
        <w:rPr>
          <w:rFonts w:hint="eastAsia" w:ascii="仿宋_GB2312" w:hAnsi="宋体" w:eastAsia="仿宋_GB2312"/>
          <w:b/>
          <w:color w:val="auto"/>
          <w:sz w:val="28"/>
          <w:szCs w:val="28"/>
          <w:highlight w:val="none"/>
        </w:rPr>
        <w:t>4.3供应商应通过</w:t>
      </w:r>
      <w:r>
        <w:rPr>
          <w:rFonts w:hint="eastAsia" w:ascii="仿宋_GB2312" w:hAnsi="宋体" w:eastAsia="仿宋_GB2312"/>
          <w:b/>
          <w:color w:val="auto"/>
          <w:sz w:val="28"/>
          <w:szCs w:val="28"/>
          <w:highlight w:val="none"/>
          <w:lang w:eastAsia="zh-CN"/>
        </w:rPr>
        <w:t>威海市公共资源交易网（乳山分中心）</w:t>
      </w:r>
      <w:r>
        <w:rPr>
          <w:rFonts w:hint="eastAsia" w:ascii="仿宋_GB2312" w:hAnsi="宋体" w:eastAsia="仿宋_GB2312"/>
          <w:b/>
          <w:color w:val="auto"/>
          <w:sz w:val="28"/>
          <w:szCs w:val="28"/>
          <w:highlight w:val="none"/>
        </w:rPr>
        <w:t>登录威海市政府采购电子交易系统获取磋商文件，并通过威海市政府采购电子交易系统网上上传电子响应文件，电子响应文件成功上传后，将会生成投标回执，未通过威海市政府采购电子交易系统上传电子响应文件的，为无效投标（响应）。获取采购文件的供应商不足3家的，本项目直接废标。</w:t>
      </w:r>
    </w:p>
    <w:p w14:paraId="24620974">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5.关于同一品牌</w:t>
      </w:r>
    </w:p>
    <w:p w14:paraId="2BA119E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682B24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5.2非单一产品采购的项目，多家供应商提供的核心产品品牌相同的，按前款规定处理。</w:t>
      </w:r>
    </w:p>
    <w:p w14:paraId="18E19548">
      <w:pPr>
        <w:spacing w:line="560" w:lineRule="exact"/>
        <w:ind w:firstLine="565" w:firstLineChars="201"/>
        <w:rPr>
          <w:rFonts w:ascii="楷体_GB2312" w:hAnsi="仿宋" w:eastAsia="楷体_GB2312" w:cs="宋体"/>
          <w:b/>
          <w:color w:val="auto"/>
          <w:sz w:val="28"/>
          <w:szCs w:val="28"/>
          <w:highlight w:val="none"/>
        </w:rPr>
      </w:pPr>
      <w:r>
        <w:rPr>
          <w:rFonts w:hint="eastAsia" w:ascii="楷体_GB2312" w:hAnsi="仿宋" w:eastAsia="楷体_GB2312" w:cs="宋体"/>
          <w:b/>
          <w:color w:val="auto"/>
          <w:sz w:val="28"/>
          <w:szCs w:val="28"/>
          <w:highlight w:val="none"/>
        </w:rPr>
        <w:t>6.电子报价特别提示</w:t>
      </w:r>
    </w:p>
    <w:p w14:paraId="4BCB2E5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本项目供应商必须在中国山东政府采购网（网址：http://www.ccgp-shandong.gov.cn/sdgp2017/site/index.jsp）完成注册入库（已注册用户无需重复注册），然后登录</w:t>
      </w:r>
      <w:r>
        <w:rPr>
          <w:rFonts w:hint="eastAsia" w:ascii="仿宋_GB2312" w:hAnsi="仿宋" w:eastAsia="仿宋_GB2312" w:cs="宋体"/>
          <w:color w:val="auto"/>
          <w:sz w:val="28"/>
          <w:szCs w:val="28"/>
          <w:highlight w:val="none"/>
          <w:lang w:eastAsia="zh-CN"/>
        </w:rPr>
        <w:t>威海市公共资源交易网（乳山分中心）</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http://ggzyjy.weihai.cn/</w:t>
      </w:r>
      <w:r>
        <w:rPr>
          <w:rFonts w:hint="eastAsia" w:ascii="仿宋_GB2312" w:hAnsi="仿宋" w:eastAsia="仿宋_GB2312" w:cs="宋体"/>
          <w:color w:val="auto"/>
          <w:sz w:val="28"/>
          <w:szCs w:val="28"/>
          <w:highlight w:val="none"/>
        </w:rPr>
        <w:t>rushan</w:t>
      </w:r>
      <w:r>
        <w:rPr>
          <w:rFonts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rPr>
        <w:t>），点击右侧【交易服务一网通办】按钮，进入“威海市交易服务一网通办系统”进行注册，取得用户名和密码（已经完成注册的供应商无须重复注册）；首次注册供应商应及时在</w:t>
      </w:r>
      <w:r>
        <w:rPr>
          <w:rFonts w:hint="eastAsia" w:ascii="仿宋_GB2312" w:hAnsi="仿宋" w:eastAsia="仿宋_GB2312" w:cs="宋体"/>
          <w:color w:val="auto"/>
          <w:sz w:val="28"/>
          <w:szCs w:val="28"/>
          <w:highlight w:val="none"/>
          <w:lang w:eastAsia="zh-CN"/>
        </w:rPr>
        <w:t>威海市公共资源交易网（乳山分中心）</w:t>
      </w:r>
      <w:r>
        <w:rPr>
          <w:rFonts w:hint="eastAsia" w:ascii="仿宋_GB2312" w:hAnsi="仿宋" w:eastAsia="仿宋_GB2312" w:cs="宋体"/>
          <w:color w:val="auto"/>
          <w:sz w:val="28"/>
          <w:szCs w:val="28"/>
          <w:highlight w:val="none"/>
        </w:rPr>
        <w:t>申请办理安全证书（CA锁）及电子签章。</w:t>
      </w:r>
    </w:p>
    <w:p w14:paraId="20F8C5E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本项目必须</w:t>
      </w:r>
      <w:r>
        <w:rPr>
          <w:rFonts w:hint="eastAsia" w:ascii="仿宋_GB2312" w:hAnsi="仿宋" w:eastAsia="仿宋_GB2312" w:cs="宋体"/>
          <w:b/>
          <w:color w:val="auto"/>
          <w:sz w:val="28"/>
          <w:szCs w:val="28"/>
          <w:highlight w:val="none"/>
        </w:rPr>
        <w:t>网上递交响应文件</w:t>
      </w:r>
      <w:r>
        <w:rPr>
          <w:rFonts w:hint="eastAsia" w:ascii="仿宋_GB2312" w:hAnsi="仿宋" w:eastAsia="仿宋_GB2312" w:cs="宋体"/>
          <w:color w:val="auto"/>
          <w:sz w:val="28"/>
          <w:szCs w:val="28"/>
          <w:highlight w:val="none"/>
        </w:rPr>
        <w:t>，参与本项目报价的供应商应利用办理好的CA锁登录威海市政府采购电子交易系统获取采购文件、文件下载和网上报价，且安全证书（CA锁）在有效期内。</w:t>
      </w:r>
    </w:p>
    <w:p w14:paraId="76AB6FF2">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 xml:space="preserve">网上报价时，登录交易平台的电脑须满足以下环境要求：（1）操作系统：Windows 7 </w:t>
      </w:r>
      <w:r>
        <w:rPr>
          <w:rFonts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rPr>
        <w:t xml:space="preserve"> Windows </w:t>
      </w:r>
      <w:r>
        <w:rPr>
          <w:rFonts w:ascii="仿宋_GB2312" w:hAnsi="仿宋" w:eastAsia="仿宋_GB2312" w:cs="宋体"/>
          <w:color w:val="auto"/>
          <w:sz w:val="28"/>
          <w:szCs w:val="28"/>
          <w:highlight w:val="none"/>
        </w:rPr>
        <w:t>10</w:t>
      </w:r>
      <w:r>
        <w:rPr>
          <w:rFonts w:hint="eastAsia" w:ascii="仿宋_GB2312" w:hAnsi="仿宋" w:eastAsia="仿宋_GB2312" w:cs="宋体"/>
          <w:color w:val="auto"/>
          <w:sz w:val="28"/>
          <w:szCs w:val="28"/>
          <w:highlight w:val="none"/>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hint="eastAsia" w:ascii="仿宋_GB2312" w:hAnsi="仿宋" w:eastAsia="仿宋_GB2312" w:cs="宋体"/>
          <w:color w:val="auto"/>
          <w:sz w:val="28"/>
          <w:szCs w:val="28"/>
          <w:highlight w:val="none"/>
          <w:lang w:eastAsia="zh-CN"/>
        </w:rPr>
        <w:t>威海市公共资源交易网（乳山分中心）</w:t>
      </w:r>
      <w:r>
        <w:rPr>
          <w:rFonts w:hint="eastAsia" w:ascii="仿宋_GB2312" w:hAnsi="仿宋" w:eastAsia="仿宋_GB2312" w:cs="宋体"/>
          <w:color w:val="auto"/>
          <w:sz w:val="28"/>
          <w:szCs w:val="28"/>
          <w:highlight w:val="none"/>
        </w:rPr>
        <w:t>-办事指南栏目-政府采购专区-《威海市政府采购电子交易系统供应商使用指南》，投标（响应）文件制作及系统使用咨询电话：</w:t>
      </w:r>
      <w:r>
        <w:rPr>
          <w:rFonts w:ascii="仿宋_GB2312" w:hAnsi="仿宋" w:eastAsia="仿宋_GB2312" w:cs="宋体"/>
          <w:color w:val="auto"/>
          <w:sz w:val="28"/>
          <w:szCs w:val="28"/>
          <w:highlight w:val="none"/>
        </w:rPr>
        <w:t>4009</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913</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966</w:t>
      </w:r>
      <w:r>
        <w:rPr>
          <w:rFonts w:hint="eastAsia" w:ascii="仿宋_GB2312" w:hAnsi="仿宋" w:eastAsia="仿宋_GB2312" w:cs="宋体"/>
          <w:color w:val="auto"/>
          <w:sz w:val="28"/>
          <w:szCs w:val="28"/>
          <w:highlight w:val="none"/>
        </w:rPr>
        <w:t>,18769124292。</w:t>
      </w:r>
    </w:p>
    <w:p w14:paraId="43170D90">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6BEFFE7">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46D129E">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报价文件中的相关扫描件应保证清晰度，无法辨认的评审时受到影响的，由供应商承担相应责任。</w:t>
      </w:r>
    </w:p>
    <w:p w14:paraId="394D258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供应商应充分考虑到网上报价会发生的故障和风险。对发生的任何故障和风险造成供应商报价内容不一致或利益受损或报价失败的，采购人及采购代理机构不承担任何责任。</w:t>
      </w:r>
    </w:p>
    <w:p w14:paraId="3FB30E57">
      <w:pPr>
        <w:pStyle w:val="4"/>
        <w:ind w:firstLine="643"/>
        <w:rPr>
          <w:color w:val="auto"/>
          <w:highlight w:val="none"/>
        </w:rPr>
      </w:pPr>
      <w:r>
        <w:rPr>
          <w:rFonts w:hint="eastAsia"/>
          <w:color w:val="auto"/>
          <w:highlight w:val="none"/>
        </w:rPr>
        <w:t>二、竞争性磋商文件</w:t>
      </w:r>
    </w:p>
    <w:p w14:paraId="43A31593">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7.竞争性磋商文件的构成</w:t>
      </w:r>
    </w:p>
    <w:p w14:paraId="65106D4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由各包段本文件（</w:t>
      </w:r>
      <w:r>
        <w:rPr>
          <w:rFonts w:ascii="仿宋_GB2312" w:hAnsi="宋体" w:eastAsia="仿宋_GB2312"/>
          <w:color w:val="auto"/>
          <w:sz w:val="28"/>
          <w:szCs w:val="28"/>
          <w:highlight w:val="none"/>
        </w:rPr>
        <w:t>WORD</w:t>
      </w:r>
      <w:r>
        <w:rPr>
          <w:rFonts w:hint="eastAsia" w:ascii="仿宋_GB2312" w:hAnsi="宋体" w:eastAsia="仿宋_GB2312"/>
          <w:color w:val="auto"/>
          <w:sz w:val="28"/>
          <w:szCs w:val="28"/>
          <w:highlight w:val="none"/>
        </w:rPr>
        <w:t>格式）和各包段的数据文件（</w:t>
      </w:r>
      <w:r>
        <w:rPr>
          <w:rFonts w:ascii="仿宋_GB2312" w:hAnsi="宋体" w:eastAsia="仿宋_GB2312"/>
          <w:color w:val="auto"/>
          <w:sz w:val="28"/>
          <w:szCs w:val="28"/>
          <w:highlight w:val="none"/>
        </w:rPr>
        <w:t>EXCEL</w:t>
      </w:r>
      <w:r>
        <w:rPr>
          <w:rFonts w:hint="eastAsia" w:ascii="仿宋_GB2312" w:hAnsi="宋体" w:eastAsia="仿宋_GB2312"/>
          <w:color w:val="auto"/>
          <w:sz w:val="28"/>
          <w:szCs w:val="28"/>
          <w:highlight w:val="none"/>
        </w:rPr>
        <w:t>格式）构成，采用压缩包电子版文件格式提供。</w:t>
      </w:r>
    </w:p>
    <w:p w14:paraId="60ECDA9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7.1 本文件（</w:t>
      </w:r>
      <w:r>
        <w:rPr>
          <w:rFonts w:ascii="仿宋_GB2312" w:hAnsi="宋体" w:eastAsia="仿宋_GB2312"/>
          <w:color w:val="auto"/>
          <w:sz w:val="28"/>
          <w:szCs w:val="28"/>
          <w:highlight w:val="none"/>
        </w:rPr>
        <w:t>WORD</w:t>
      </w:r>
      <w:r>
        <w:rPr>
          <w:rFonts w:hint="eastAsia" w:ascii="仿宋_GB2312" w:hAnsi="宋体" w:eastAsia="仿宋_GB2312"/>
          <w:color w:val="auto"/>
          <w:sz w:val="28"/>
          <w:szCs w:val="28"/>
          <w:highlight w:val="none"/>
        </w:rPr>
        <w:t>格式）由下列文件组成：</w:t>
      </w:r>
    </w:p>
    <w:p w14:paraId="05289FF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（1）采购公告</w:t>
      </w:r>
    </w:p>
    <w:p w14:paraId="082C579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（2）响应须知</w:t>
      </w:r>
    </w:p>
    <w:p w14:paraId="568390C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（3）采购内容与要求</w:t>
      </w:r>
    </w:p>
    <w:p w14:paraId="10FFE1F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（4）评审原则和方法</w:t>
      </w:r>
    </w:p>
    <w:p w14:paraId="64C0248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（5）投标（响应）文件格式</w:t>
      </w:r>
    </w:p>
    <w:p w14:paraId="777C79B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（6）政府采购合同（范本）</w:t>
      </w:r>
    </w:p>
    <w:p w14:paraId="1E26130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（7）在采购过程中由采购人或采购代理机构发出的修正和补充文件等(如有）</w:t>
      </w:r>
    </w:p>
    <w:p w14:paraId="339BF98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7.2 数据文件（</w:t>
      </w:r>
      <w:r>
        <w:rPr>
          <w:rFonts w:ascii="仿宋_GB2312" w:hAnsi="宋体" w:eastAsia="仿宋_GB2312"/>
          <w:color w:val="auto"/>
          <w:sz w:val="28"/>
          <w:szCs w:val="28"/>
          <w:highlight w:val="none"/>
        </w:rPr>
        <w:t>EXCEL</w:t>
      </w:r>
      <w:r>
        <w:rPr>
          <w:rFonts w:hint="eastAsia" w:ascii="仿宋_GB2312" w:hAnsi="宋体" w:eastAsia="仿宋_GB2312"/>
          <w:color w:val="auto"/>
          <w:sz w:val="28"/>
          <w:szCs w:val="28"/>
          <w:highlight w:val="none"/>
        </w:rPr>
        <w:t>格式）由下列文件组成：</w:t>
      </w:r>
    </w:p>
    <w:p w14:paraId="16F4F96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（1）封面</w:t>
      </w:r>
    </w:p>
    <w:p w14:paraId="4C8F91E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（2）投标报价表</w:t>
      </w:r>
    </w:p>
    <w:p w14:paraId="432E2B4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（3）需求响应表（如有）</w:t>
      </w:r>
    </w:p>
    <w:p w14:paraId="4200F5B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（4）评审对照表</w:t>
      </w:r>
    </w:p>
    <w:p w14:paraId="4D61B89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（5）评分对照表</w:t>
      </w:r>
    </w:p>
    <w:p w14:paraId="215E5FDE">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.3供应商应认真阅读采购文件中所有的事项、格式、条款和技术规范、参数及要求等，如果供应商没有按照采购文件要求提交全部资料，或者供应商没有对采购文件在各方面都做出实质性响应，</w:t>
      </w:r>
      <w:r>
        <w:rPr>
          <w:rFonts w:hint="eastAsia" w:ascii="仿宋_GB2312" w:hAnsi="仿宋" w:eastAsia="仿宋_GB2312" w:cs="宋体"/>
          <w:b/>
          <w:color w:val="auto"/>
          <w:sz w:val="28"/>
          <w:szCs w:val="28"/>
          <w:highlight w:val="none"/>
        </w:rPr>
        <w:t>其风险应由供应商自行承担并根据有关政策和条款规定</w:t>
      </w:r>
      <w:r>
        <w:rPr>
          <w:rFonts w:hint="eastAsia" w:ascii="仿宋_GB2312" w:hAnsi="仿宋" w:eastAsia="仿宋_GB2312" w:cs="宋体"/>
          <w:color w:val="auto"/>
          <w:sz w:val="28"/>
          <w:szCs w:val="28"/>
          <w:highlight w:val="none"/>
        </w:rPr>
        <w:t>，</w:t>
      </w:r>
      <w:r>
        <w:rPr>
          <w:rFonts w:hint="eastAsia" w:ascii="仿宋_GB2312" w:hAnsi="宋体" w:eastAsia="仿宋_GB2312"/>
          <w:color w:val="auto"/>
          <w:sz w:val="28"/>
          <w:szCs w:val="28"/>
          <w:highlight w:val="none"/>
        </w:rPr>
        <w:t>其响应有可能被拒绝，或者被认定为</w:t>
      </w:r>
      <w:r>
        <w:rPr>
          <w:rFonts w:hint="eastAsia" w:ascii="仿宋_GB2312" w:hAnsi="宋体" w:eastAsia="仿宋_GB2312"/>
          <w:b/>
          <w:color w:val="auto"/>
          <w:sz w:val="28"/>
          <w:szCs w:val="28"/>
          <w:highlight w:val="none"/>
        </w:rPr>
        <w:t>无效</w:t>
      </w:r>
      <w:r>
        <w:rPr>
          <w:rFonts w:hint="eastAsia" w:ascii="仿宋_GB2312" w:hAnsi="仿宋" w:eastAsia="仿宋_GB2312" w:cs="宋体"/>
          <w:b/>
          <w:color w:val="auto"/>
          <w:sz w:val="28"/>
          <w:szCs w:val="28"/>
          <w:highlight w:val="none"/>
        </w:rPr>
        <w:t>投标（响应）</w:t>
      </w:r>
      <w:r>
        <w:rPr>
          <w:rFonts w:hint="eastAsia" w:ascii="仿宋_GB2312" w:hAnsi="宋体" w:eastAsia="仿宋_GB2312"/>
          <w:color w:val="auto"/>
          <w:sz w:val="28"/>
          <w:szCs w:val="28"/>
          <w:highlight w:val="none"/>
        </w:rPr>
        <w:t>。</w:t>
      </w:r>
    </w:p>
    <w:p w14:paraId="7CF563F9">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4采购文件</w:t>
      </w:r>
      <w:r>
        <w:rPr>
          <w:rFonts w:ascii="仿宋_GB2312" w:hAnsi="仿宋" w:eastAsia="仿宋_GB2312" w:cs="宋体"/>
          <w:color w:val="auto"/>
          <w:sz w:val="28"/>
          <w:szCs w:val="28"/>
          <w:highlight w:val="none"/>
        </w:rPr>
        <w:t>中有不一致的，有澄清的部分</w:t>
      </w:r>
      <w:r>
        <w:rPr>
          <w:rFonts w:hint="eastAsia" w:ascii="仿宋_GB2312" w:hAnsi="仿宋" w:eastAsia="仿宋_GB2312" w:cs="宋体"/>
          <w:color w:val="auto"/>
          <w:sz w:val="28"/>
          <w:szCs w:val="28"/>
          <w:highlight w:val="none"/>
        </w:rPr>
        <w:t>以</w:t>
      </w:r>
      <w:r>
        <w:rPr>
          <w:rFonts w:ascii="仿宋_GB2312" w:hAnsi="仿宋" w:eastAsia="仿宋_GB2312" w:cs="宋体"/>
          <w:color w:val="auto"/>
          <w:sz w:val="28"/>
          <w:szCs w:val="28"/>
          <w:highlight w:val="none"/>
        </w:rPr>
        <w:t>最终的澄清更正内容为准</w:t>
      </w:r>
      <w:r>
        <w:rPr>
          <w:rFonts w:hint="eastAsia" w:ascii="仿宋_GB2312" w:hAnsi="仿宋" w:eastAsia="仿宋_GB2312" w:cs="宋体"/>
          <w:color w:val="auto"/>
          <w:sz w:val="28"/>
          <w:szCs w:val="28"/>
          <w:highlight w:val="none"/>
        </w:rPr>
        <w:t>；未澄清的，</w:t>
      </w:r>
      <w:r>
        <w:rPr>
          <w:rFonts w:ascii="仿宋_GB2312" w:hAnsi="仿宋" w:eastAsia="仿宋_GB2312" w:cs="宋体"/>
          <w:color w:val="auto"/>
          <w:sz w:val="28"/>
          <w:szCs w:val="28"/>
          <w:highlight w:val="none"/>
        </w:rPr>
        <w:t>以</w:t>
      </w:r>
      <w:r>
        <w:rPr>
          <w:rFonts w:ascii="仿宋_GB2312" w:hAnsi="仿宋" w:eastAsia="仿宋_GB2312" w:cs="宋体"/>
          <w:color w:val="auto"/>
          <w:sz w:val="28"/>
          <w:szCs w:val="28"/>
          <w:highlight w:val="none"/>
          <w:u w:val="single"/>
        </w:rPr>
        <w:t>响应须知前附表</w:t>
      </w:r>
      <w:r>
        <w:rPr>
          <w:rFonts w:ascii="仿宋_GB2312" w:hAnsi="仿宋" w:eastAsia="仿宋_GB2312" w:cs="宋体"/>
          <w:color w:val="auto"/>
          <w:sz w:val="28"/>
          <w:szCs w:val="28"/>
          <w:highlight w:val="none"/>
        </w:rPr>
        <w:t>为准</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不涉及的内容，以编排在后的描述为准。</w:t>
      </w:r>
    </w:p>
    <w:p w14:paraId="38477FE2">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7.5采购文件以中文编印，且以中文为准。</w:t>
      </w:r>
    </w:p>
    <w:p w14:paraId="260C226C">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7.6除非有特殊要求，采购文件不单独提供采购货物使用地的自然环境、气候条件、公用设施等情况，供应商被视为熟悉上述与履行合同有关的一切情况。</w:t>
      </w:r>
    </w:p>
    <w:p w14:paraId="694DDF49">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7.7除采购文件中另有规定外，采购文件所使用的时间单位“天”、“日”均指日历天，且所有时刻均为北京时间。</w:t>
      </w:r>
    </w:p>
    <w:p w14:paraId="24364382">
      <w:pPr>
        <w:snapToGrid w:val="0"/>
        <w:spacing w:line="560" w:lineRule="exact"/>
        <w:ind w:firstLine="562" w:firstLineChars="201"/>
        <w:rPr>
          <w:rFonts w:ascii="仿宋_GB2312" w:hAnsi="宋体" w:eastAsia="仿宋_GB2312"/>
          <w:color w:val="auto"/>
          <w:sz w:val="28"/>
          <w:szCs w:val="28"/>
          <w:highlight w:val="none"/>
        </w:rPr>
      </w:pPr>
      <w:r>
        <w:rPr>
          <w:rFonts w:ascii="仿宋_GB2312" w:hAnsi="仿宋" w:eastAsia="仿宋_GB2312" w:cs="宋体"/>
          <w:color w:val="auto"/>
          <w:sz w:val="28"/>
          <w:szCs w:val="28"/>
          <w:highlight w:val="none"/>
        </w:rPr>
        <w:t>7.8参与本次采购活动的各方应对采购文件和响应文件中的商业和技术等秘密保密，违者应对由此造成的后果承担法律责任。</w:t>
      </w:r>
    </w:p>
    <w:p w14:paraId="2BB1C654">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8.竞争性磋商文件的澄清</w:t>
      </w:r>
    </w:p>
    <w:p w14:paraId="7C88643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8.1供应商在收到磋商文件后，对磋商文件若有任何疑问或要求澄清磋商文件的，应在有效期内按“</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第四项向采购代理机构提出，必要时采购代理机构将协助采购人组织所有获取采购文件的供应商举行答疑会，采购代理机构根据需要主动对磋商文件进行必要的澄清或根据供应商的要求对磋商文件做出澄清，都将以原网站公开发布形式（包括电子交易系统推送）答复或发送给所有供应商。澄清文件作为磋商文件的组成部分，对供应商起约束作用。</w:t>
      </w:r>
    </w:p>
    <w:p w14:paraId="4E691DE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8.2供应商在规定的时间内未对磋商文件澄清或提出疑问的，采购代理机构将视其为接受磋商文件的所有条款，对磋商文件没有异议，此后也不再受理对磋商文件的相关质疑。</w:t>
      </w:r>
    </w:p>
    <w:p w14:paraId="287131AB">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9.竞争性磋商文件的修改</w:t>
      </w:r>
    </w:p>
    <w:p w14:paraId="34049A8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w:t>
      </w:r>
      <w:r>
        <w:rPr>
          <w:rFonts w:ascii="仿宋_GB2312" w:hAnsi="宋体" w:eastAsia="仿宋_GB2312"/>
          <w:color w:val="auto"/>
          <w:sz w:val="28"/>
          <w:szCs w:val="28"/>
          <w:highlight w:val="none"/>
        </w:rPr>
        <w:t>1</w:t>
      </w:r>
      <w:r>
        <w:rPr>
          <w:rFonts w:hint="eastAsia" w:ascii="仿宋_GB2312" w:hAnsi="宋体" w:eastAsia="仿宋_GB2312"/>
          <w:color w:val="auto"/>
          <w:sz w:val="28"/>
          <w:szCs w:val="28"/>
          <w:highlight w:val="none"/>
        </w:rPr>
        <w:t xml:space="preserve"> 在响应截止时间5日以前，无论出于何种原因，采购人或采购代理机构可主动或在解答供应商提出的疑问时对磋商文件进行修改。</w:t>
      </w:r>
    </w:p>
    <w:p w14:paraId="3AC2185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9.2 修改后的内容是磋商文件的组成部分，采购人、采购代理机构将会通过“中国山东政府采购网”、“威海市公共资源交易网”、“</w:t>
      </w:r>
      <w:r>
        <w:rPr>
          <w:rFonts w:hint="eastAsia" w:ascii="仿宋_GB2312" w:hAnsi="宋体" w:eastAsia="仿宋_GB2312"/>
          <w:color w:val="auto"/>
          <w:sz w:val="28"/>
          <w:szCs w:val="28"/>
          <w:highlight w:val="none"/>
          <w:lang w:eastAsia="zh-CN"/>
        </w:rPr>
        <w:t>威海市公共资源交易网（乳山分中心）</w:t>
      </w:r>
      <w:r>
        <w:rPr>
          <w:rFonts w:hint="eastAsia" w:ascii="仿宋_GB2312" w:hAnsi="宋体" w:eastAsia="仿宋_GB2312"/>
          <w:color w:val="auto"/>
          <w:sz w:val="28"/>
          <w:szCs w:val="28"/>
          <w:highlight w:val="none"/>
        </w:rPr>
        <w:t>”，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hint="eastAsia" w:ascii="仿宋_GB2312" w:hAnsi="仿宋" w:eastAsia="仿宋_GB2312" w:cs="宋体"/>
          <w:color w:val="auto"/>
          <w:sz w:val="28"/>
          <w:szCs w:val="28"/>
          <w:highlight w:val="none"/>
        </w:rPr>
        <w:t>因潜在供应商原因或通讯线路故障导致逾期送达或无法送达，采购代理机构不因此承担任何责任，有关的采购活动可以继续有效进行。</w:t>
      </w:r>
    </w:p>
    <w:p w14:paraId="2254687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9.3 澄清或者修改的内容可能影响响应文件编制的，采购人或采购代理机构将在响应截止时间5日前，通过原网站发布公告的形式（电子交易系统内发送更正提醒通知）通知所有获取磋商文件的潜在供应商（采购文件变更的，供应商必须从电子交易系统中重新下载采购文件，并在新下载文件的基础上编制响应文件）；不足5日的，采购人或者采购代理机构将顺延提交响应文件的截止时间。</w:t>
      </w:r>
    </w:p>
    <w:p w14:paraId="3B8C4E6B">
      <w:pPr>
        <w:pStyle w:val="4"/>
        <w:ind w:firstLine="643"/>
        <w:rPr>
          <w:color w:val="auto"/>
          <w:highlight w:val="none"/>
        </w:rPr>
      </w:pPr>
      <w:r>
        <w:rPr>
          <w:rFonts w:hint="eastAsia"/>
          <w:color w:val="auto"/>
          <w:highlight w:val="none"/>
        </w:rPr>
        <w:t>三、响应文件的编制</w:t>
      </w:r>
    </w:p>
    <w:p w14:paraId="7FD700D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须提交两阶段响应文件，分别包括第一阶段响应文件、第二阶段响应文件（采购人实质性变动采购要求的情况下编制）。第一阶段提交首次响应文件，文件由资质、技术及商务和报价四部分组成。第二阶段按照磋商文件的变动情况和磋商小组的要求重新提交响应文件，并由其法定代表人（签章）或被授权人签字或者加盖公章。由被授权人签字的，应当附法定代表人授权书。供应商为自然人的，应当由本人签字并附身份证明。</w:t>
      </w:r>
    </w:p>
    <w:p w14:paraId="5B6BFF99">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10.响应文件编制要求</w:t>
      </w:r>
    </w:p>
    <w:p w14:paraId="3D2E52C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10.1供应商编写的文件和往来信件应以简体中文书写。如果响应文件或与响应有关的其它文件、信件及来往函电以其它语言书写的，供应商应将其译成中文，如未翻译该文件为无效文件。</w:t>
      </w:r>
    </w:p>
    <w:p w14:paraId="219F96F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10.2响应文件中使用的计量单位应使用中华人民共和国法定计量单位。</w:t>
      </w:r>
    </w:p>
    <w:p w14:paraId="5F2FA7D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10.3供应商必须保证响应文件所提供的全部资料真实可靠，并接受采购人或采购代理机构对其中任何资料进一步核实的要求。如果因为响应文件填报的内容不详，或没有提供竞争性磋商中所要求的全部资料及数据，或提供虚假文件，由此造成的后果由供应商自负。</w:t>
      </w:r>
    </w:p>
    <w:p w14:paraId="0A796FC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10.4供应商应按磋商文件中提供的响应文件格式（详见第五章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5827D14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10.5供应商按照竞争性磋商要求所提供的各种证明文件必须真实且合法有效,经扫描后粘贴到响应文件的相关页上，确保清晰度可辨认，评审时由于无法辨认所产生的后果，由供应商自行承担。</w:t>
      </w:r>
    </w:p>
    <w:p w14:paraId="3BB99BD7">
      <w:pPr>
        <w:snapToGrid w:val="0"/>
        <w:spacing w:line="560" w:lineRule="exact"/>
        <w:ind w:firstLine="562" w:firstLineChars="201"/>
        <w:rPr>
          <w:rFonts w:ascii="仿宋_GB2312" w:hAnsi="宋体" w:eastAsia="仿宋_GB2312"/>
          <w:b/>
          <w:color w:val="auto"/>
          <w:sz w:val="28"/>
          <w:szCs w:val="28"/>
          <w:highlight w:val="none"/>
        </w:rPr>
      </w:pPr>
      <w:r>
        <w:rPr>
          <w:rFonts w:hint="eastAsia" w:ascii="仿宋_GB2312" w:hAnsi="宋体" w:eastAsia="仿宋_GB2312"/>
          <w:color w:val="auto"/>
          <w:sz w:val="28"/>
          <w:szCs w:val="28"/>
          <w:highlight w:val="none"/>
        </w:rPr>
        <w:t>10</w:t>
      </w:r>
      <w:r>
        <w:rPr>
          <w:rFonts w:hint="eastAsia" w:ascii="仿宋_GB2312" w:hAnsi="宋体" w:eastAsia="仿宋_GB2312"/>
          <w:b/>
          <w:color w:val="auto"/>
          <w:sz w:val="28"/>
          <w:szCs w:val="28"/>
          <w:highlight w:val="none"/>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EF4EED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7664B4F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10.8 响应文件具有法律效力，供应商与采购代理机构或采购人任何人的口头协议不影响响应文件的任何条款和内容。</w:t>
      </w:r>
    </w:p>
    <w:p w14:paraId="1812C164">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10</w:t>
      </w:r>
      <w:r>
        <w:rPr>
          <w:rFonts w:hint="eastAsia" w:ascii="仿宋_GB2312" w:hAnsi="仿宋" w:eastAsia="仿宋_GB2312" w:cs="宋体"/>
          <w:color w:val="auto"/>
          <w:sz w:val="28"/>
          <w:szCs w:val="28"/>
          <w:highlight w:val="none"/>
        </w:rPr>
        <w:t>.9供应商应自行承担其准备和参加报价活动发生的所有费用。不论结果如何，采购人及采购代理机构在任何情况下无义务也无责任承担这些费用。</w:t>
      </w:r>
    </w:p>
    <w:p w14:paraId="26B8292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10.10采购人或采购代理机构均无义务向供应商解释其成交或未成交的原因，且无论供应商是否成交，供应商所递交的响应文件均不予退还，不提供副本拷贝。</w:t>
      </w:r>
    </w:p>
    <w:p w14:paraId="5B41835C">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11.数据文件编制要求</w:t>
      </w:r>
    </w:p>
    <w:p w14:paraId="111DF4B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11.1供应商须从所报项目的竞争性磋商文件压缩包内对应包段目录下获取本文件（变更后的数据文件需要重新下载），必须在原文件上严格按照其中要求填写，其内部已约定好固定格式和相关内容，且带有特定的唯一性数字指纹，</w:t>
      </w:r>
      <w:r>
        <w:rPr>
          <w:rFonts w:ascii="仿宋_GB2312" w:hAnsi="仿宋" w:eastAsia="仿宋_GB2312" w:cs="宋体"/>
          <w:color w:val="auto"/>
          <w:sz w:val="28"/>
          <w:szCs w:val="28"/>
          <w:highlight w:val="none"/>
        </w:rPr>
        <w:t>必须在原表上填写，</w:t>
      </w:r>
      <w:r>
        <w:rPr>
          <w:rFonts w:hint="eastAsia" w:ascii="仿宋_GB2312" w:hAnsi="仿宋" w:eastAsia="仿宋_GB2312" w:cs="宋体"/>
          <w:color w:val="auto"/>
          <w:sz w:val="28"/>
          <w:szCs w:val="28"/>
          <w:highlight w:val="none"/>
        </w:rPr>
        <w:t>对采用非该文件基础上编制或对该文件进行任何工作表、表格行、表格列的增减</w:t>
      </w:r>
      <w:r>
        <w:rPr>
          <w:rFonts w:ascii="Calibri" w:hAnsi="Calibri" w:eastAsia="仿宋_GB2312" w:cs="宋体"/>
          <w:color w:val="auto"/>
          <w:sz w:val="28"/>
          <w:szCs w:val="28"/>
          <w:highlight w:val="none"/>
        </w:rPr>
        <w:t>、对工作表先后顺序的变动，</w:t>
      </w:r>
      <w:r>
        <w:rPr>
          <w:rFonts w:hint="eastAsia" w:ascii="仿宋_GB2312" w:hAnsi="仿宋" w:eastAsia="仿宋_GB2312" w:cs="宋体"/>
          <w:color w:val="auto"/>
          <w:sz w:val="28"/>
          <w:szCs w:val="28"/>
          <w:highlight w:val="none"/>
        </w:rPr>
        <w:t>以及对锁定区域内的数据进行更改、</w:t>
      </w:r>
      <w:r>
        <w:rPr>
          <w:rFonts w:hint="eastAsia" w:ascii="仿宋_GB2312" w:hAnsi="仿宋" w:eastAsia="仿宋_GB2312" w:cs="宋体"/>
          <w:b/>
          <w:color w:val="auto"/>
          <w:sz w:val="28"/>
          <w:szCs w:val="28"/>
          <w:highlight w:val="none"/>
        </w:rPr>
        <w:t>文件另存到其他文件</w:t>
      </w:r>
      <w:r>
        <w:rPr>
          <w:rFonts w:hint="eastAsia" w:ascii="仿宋_GB2312" w:hAnsi="仿宋" w:eastAsia="仿宋_GB2312" w:cs="宋体"/>
          <w:color w:val="auto"/>
          <w:sz w:val="28"/>
          <w:szCs w:val="28"/>
          <w:highlight w:val="none"/>
        </w:rPr>
        <w:t>等违规性操作</w:t>
      </w:r>
      <w:r>
        <w:rPr>
          <w:rFonts w:hint="eastAsia" w:ascii="仿宋_GB2312" w:hAnsi="宋体" w:eastAsia="仿宋_GB2312"/>
          <w:color w:val="auto"/>
          <w:sz w:val="28"/>
          <w:szCs w:val="28"/>
          <w:highlight w:val="none"/>
        </w:rPr>
        <w:t>，都会破坏本文件中的数字指纹，导致系统无法接收该文件使其响应失败。</w:t>
      </w:r>
    </w:p>
    <w:p w14:paraId="0FBD406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宋体" w:eastAsia="仿宋_GB2312"/>
          <w:b/>
          <w:color w:val="auto"/>
          <w:sz w:val="28"/>
          <w:szCs w:val="28"/>
          <w:highlight w:val="none"/>
        </w:rPr>
        <w:t>响应失败</w:t>
      </w:r>
      <w:r>
        <w:rPr>
          <w:rFonts w:hint="eastAsia" w:ascii="仿宋_GB2312" w:hAnsi="宋体" w:eastAsia="仿宋_GB2312"/>
          <w:color w:val="auto"/>
          <w:sz w:val="28"/>
          <w:szCs w:val="28"/>
          <w:highlight w:val="none"/>
        </w:rPr>
        <w:t>。</w:t>
      </w:r>
    </w:p>
    <w:p w14:paraId="3533AB5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11</w:t>
      </w:r>
      <w:r>
        <w:rPr>
          <w:rFonts w:hint="eastAsia" w:ascii="仿宋_GB2312" w:hAnsi="仿宋" w:eastAsia="仿宋_GB2312" w:cs="宋体"/>
          <w:color w:val="auto"/>
          <w:sz w:val="28"/>
          <w:szCs w:val="28"/>
          <w:highlight w:val="none"/>
        </w:rPr>
        <w:t>.3供应商在对数据文件电子签章前，应按照上述2项的要求进行认真检查、确认。因供应商自身原因所导致其报价失败的，须自行承担相关责任。</w:t>
      </w:r>
    </w:p>
    <w:p w14:paraId="7EA5B867">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12.文件构成</w:t>
      </w:r>
    </w:p>
    <w:p w14:paraId="2FF4501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供应商应按不同包段分别编制响应文件，每个包段的响应文件必须包括：响应文件（pdf格式）（第一册）、数据文件（PDF格式）（第二册），以上内容缺一不可，否则为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6E7C470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12.1供应商编制的响应文件（pdf格式）（第一册）应包括但不少于下列内容：</w:t>
      </w:r>
    </w:p>
    <w:p w14:paraId="39239CC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（1）响应文件封面（格式见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24A8D10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（2）响应文件目录（格式见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443D925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（3）报价承诺函（格式见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1E0EAD7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（4）供应商资格证明文件</w:t>
      </w:r>
    </w:p>
    <w:p w14:paraId="0D6E493C">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①法人或其他组织的营业执照等证明文件扫描件；</w:t>
      </w:r>
    </w:p>
    <w:p w14:paraId="0C96DCEC">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②法定代表人授权委托书；被授权人身份证扫描件；</w:t>
      </w:r>
    </w:p>
    <w:p w14:paraId="0F5630DA">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若响应单位代表为企业法定代表人/单位负责人的，则只需提供企业法定代表人/单位负责人身份证扫描件；</w:t>
      </w:r>
    </w:p>
    <w:p w14:paraId="1650FE52">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③依法缴纳税收和社会保障资金的声明（格式自拟）；</w:t>
      </w:r>
    </w:p>
    <w:p w14:paraId="5435F006">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④参加本项目报价前三年内无重大违法记录声明（格式自定）；</w:t>
      </w:r>
    </w:p>
    <w:p w14:paraId="35CF8728">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⑤由代理机构查询“信用中国”、报价供应商所在地省级信用官方网站(如:“信用山东)、“中国政府采购网”，对已列入失信被执行人、重大税收违法案件当事人名单、政府采购严重违法失信行为记录名单的供应商，将拒绝其继续参与政府采购活动。；</w:t>
      </w:r>
    </w:p>
    <w:p w14:paraId="1003C5C3">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⑥财务状况报告等相关材料</w:t>
      </w:r>
    </w:p>
    <w:p w14:paraId="6011AA7C">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供应商自行编制的近一年度公司财务报表或由中介机构出具的2022年度或2023年度财务审计报告书扫描件；</w:t>
      </w:r>
    </w:p>
    <w:p w14:paraId="226B151B">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B.银行出具的有效期内的资信证明扫描件。</w:t>
      </w:r>
    </w:p>
    <w:p w14:paraId="53FCCCAC">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注：A、B两项提供任意一项均可。</w:t>
      </w:r>
    </w:p>
    <w:p w14:paraId="094A0749">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⑦具有履行合同所必需的设备和专业技术能力承诺函（格式自拟）；</w:t>
      </w:r>
    </w:p>
    <w:p w14:paraId="2E4F3E55">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⑧中小企业声明函声明为中小企业；</w:t>
      </w:r>
    </w:p>
    <w:p w14:paraId="62D85FC2">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⑨采购公告中要求的有关资质资格文件；</w:t>
      </w:r>
    </w:p>
    <w:p w14:paraId="62E710AD">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⑩报价供应商认为需要提供的资质资格证明文件。</w:t>
      </w:r>
    </w:p>
    <w:p w14:paraId="41D2A872">
      <w:pPr>
        <w:snapToGrid w:val="0"/>
        <w:spacing w:line="560" w:lineRule="exact"/>
        <w:ind w:firstLine="565" w:firstLineChars="201"/>
        <w:rPr>
          <w:rFonts w:ascii="仿宋_GB2312" w:hAnsi="宋体" w:eastAsia="仿宋_GB2312"/>
          <w:color w:val="auto"/>
          <w:sz w:val="28"/>
          <w:szCs w:val="28"/>
          <w:highlight w:val="none"/>
        </w:rPr>
      </w:pPr>
      <w:r>
        <w:rPr>
          <w:rFonts w:hint="eastAsia" w:ascii="仿宋_GB2312" w:hAnsi="宋体" w:eastAsia="仿宋_GB2312"/>
          <w:b/>
          <w:color w:val="auto"/>
          <w:sz w:val="28"/>
          <w:szCs w:val="28"/>
          <w:highlight w:val="none"/>
        </w:rPr>
        <w:t>以上所有资质资格证明文件均需加盖供应商签章。</w:t>
      </w:r>
    </w:p>
    <w:p w14:paraId="38844EC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（5）供应商基本情况（格式见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6CAB37E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（6）</w:t>
      </w:r>
      <w:r>
        <w:rPr>
          <w:rFonts w:hint="eastAsia" w:ascii="仿宋_GB2312" w:hAnsi="仿宋" w:eastAsia="仿宋_GB2312" w:cs="宋体"/>
          <w:color w:val="auto"/>
          <w:sz w:val="28"/>
          <w:szCs w:val="28"/>
          <w:highlight w:val="none"/>
          <w:lang w:eastAsia="zh-CN"/>
        </w:rPr>
        <w:t>技术文件；</w:t>
      </w:r>
    </w:p>
    <w:p w14:paraId="31886E2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（7）符合政府采购优惠政策的证明材料：</w:t>
      </w:r>
    </w:p>
    <w:p w14:paraId="0F7851AE">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（需在数据文件中“报价明细表”中进行申报，如未申报系统不予认可，且无法享受相应的政策优惠）</w:t>
      </w:r>
    </w:p>
    <w:p w14:paraId="59EA300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①所报产品属于政府采购节能、环保优先采购的产品,按照《关于调整优化节能产品、环境标志产品政府采购执行机制的通知》（财库〔2019〕9号）的规定执行。即：供应商所报产品属于下述品目清单范围内的，投标（响应）文件中需提供国家确定的认证机构出具的、处于有效期之内的节能产品、环境标志产品认证证书扫描件(加盖供应商公章)：</w:t>
      </w:r>
    </w:p>
    <w:p w14:paraId="0AC1280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A《节能产品政府采购品目清单》</w:t>
      </w:r>
    </w:p>
    <w:p w14:paraId="2CA2ED3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B《环境标志产品政府采购品目清单》或者符合政府采购“优先采购”政策的其他证明文件</w:t>
      </w:r>
    </w:p>
    <w:p w14:paraId="421D38D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说明：a.以上的货物需为本项目的采购标的；</w:t>
      </w:r>
    </w:p>
    <w:p w14:paraId="37474C24">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b.《节能产品政府采购品目清单》中标注★的台式计算机、便携式计算机、平板式微型计算机、激光打印机、针式打印机、液晶显示器、制冷压缩机、空调机组、专用制冷、空调设备、镇流器、空调机、电热水器、普通照明用双端荧光灯、电视设备、视频设备、便器、水嘴为政府强制采购节能品目。供应商所报产品为以上品目的,必须提供国家确定的认证机构出具的、处于有效期之内的节能产品认证证书扫描件，不提供的视为无效投标（响应），但强制采购节能产品不给予节能政策的加分/价格扣除；</w:t>
      </w:r>
    </w:p>
    <w:p w14:paraId="3F57270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②货物制造商（工程、服务供应商）为中小企业的，须提供《中小企业声明函》。（格式见本文件第五章）</w:t>
      </w:r>
    </w:p>
    <w:p w14:paraId="5B7432C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③供应商为监狱企业的，须提供省级以上监狱管理局、戒毒管理局（含新疆生产建设兵团）出具的属于监狱企业的证明文件。</w:t>
      </w:r>
    </w:p>
    <w:p w14:paraId="0D2A916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④供应商为残疾人福利性单位的，须提供《残疾人福利性单位声明函》。（格式见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3082244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（8）国内同类项目业绩表（格式见</w:t>
      </w:r>
      <w:r>
        <w:rPr>
          <w:rFonts w:hint="eastAsia" w:ascii="仿宋_GB2312" w:hAnsi="仿宋" w:eastAsia="仿宋_GB2312" w:cs="宋体"/>
          <w:color w:val="auto"/>
          <w:sz w:val="28"/>
          <w:szCs w:val="28"/>
          <w:highlight w:val="none"/>
        </w:rPr>
        <w:t>本文件第五章</w:t>
      </w:r>
      <w:r>
        <w:rPr>
          <w:rFonts w:hint="eastAsia" w:ascii="仿宋_GB2312" w:hAnsi="宋体" w:eastAsia="仿宋_GB2312"/>
          <w:color w:val="auto"/>
          <w:sz w:val="28"/>
          <w:szCs w:val="28"/>
          <w:highlight w:val="none"/>
        </w:rPr>
        <w:t>）</w:t>
      </w:r>
    </w:p>
    <w:p w14:paraId="3098972A">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供应商提交的第</w:t>
      </w:r>
      <w:r>
        <w:rPr>
          <w:rFonts w:hint="eastAsia" w:ascii="仿宋_GB2312" w:hAnsi="宋体" w:eastAsia="仿宋_GB2312"/>
          <w:color w:val="auto"/>
          <w:sz w:val="28"/>
          <w:szCs w:val="28"/>
          <w:highlight w:val="none"/>
        </w:rPr>
        <w:t>（7）、</w:t>
      </w:r>
      <w:r>
        <w:rPr>
          <w:rFonts w:hint="eastAsia" w:ascii="仿宋_GB2312" w:hAnsi="宋体" w:eastAsia="仿宋_GB2312"/>
          <w:b/>
          <w:color w:val="auto"/>
          <w:sz w:val="28"/>
          <w:szCs w:val="28"/>
          <w:highlight w:val="none"/>
        </w:rPr>
        <w:t>（8）项材料在成交公告一并予以公示。</w:t>
      </w:r>
    </w:p>
    <w:p w14:paraId="2D86F2B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（9）要求采购人提供的配合；</w:t>
      </w:r>
    </w:p>
    <w:p w14:paraId="61C9410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12.2</w:t>
      </w:r>
      <w:r>
        <w:rPr>
          <w:rFonts w:hint="eastAsia" w:ascii="仿宋_GB2312" w:hAnsi="仿宋" w:eastAsia="仿宋_GB2312" w:cs="宋体"/>
          <w:color w:val="auto"/>
          <w:sz w:val="28"/>
          <w:szCs w:val="28"/>
          <w:highlight w:val="none"/>
        </w:rPr>
        <w:t>数据文件（PDF格式）（第二册）</w:t>
      </w:r>
    </w:p>
    <w:p w14:paraId="1E9B8BD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供应商须从本项目采购文件压缩包内获取对应包段的数据文件（EXCEL格式），并严格按照要求填写。填写完成后在威海市政府采购电子交易系统中上传该数据文件（EXCEL格式），系统将自动转换为PDF格式，再加盖供应商电子印章，未按要求填写或盖章为</w:t>
      </w:r>
      <w:r>
        <w:rPr>
          <w:rFonts w:hint="eastAsia" w:ascii="仿宋_GB2312" w:hAnsi="仿宋" w:eastAsia="仿宋_GB2312" w:cs="宋体"/>
          <w:b/>
          <w:color w:val="auto"/>
          <w:sz w:val="28"/>
          <w:szCs w:val="28"/>
          <w:highlight w:val="none"/>
        </w:rPr>
        <w:t>无效投标（响应）</w:t>
      </w:r>
      <w:r>
        <w:rPr>
          <w:rFonts w:hint="eastAsia" w:ascii="仿宋_GB2312" w:hAnsi="仿宋" w:eastAsia="仿宋_GB2312" w:cs="宋体"/>
          <w:color w:val="auto"/>
          <w:sz w:val="28"/>
          <w:szCs w:val="28"/>
          <w:highlight w:val="none"/>
        </w:rPr>
        <w:t>。</w:t>
      </w:r>
      <w:r>
        <w:rPr>
          <w:rFonts w:hint="eastAsia" w:ascii="仿宋_GB2312" w:hAnsi="宋体" w:eastAsia="仿宋_GB2312"/>
          <w:color w:val="auto"/>
          <w:sz w:val="28"/>
          <w:szCs w:val="28"/>
          <w:highlight w:val="none"/>
        </w:rPr>
        <w:t>数据文件（PDF格式）包含下列内容：</w:t>
      </w:r>
    </w:p>
    <w:p w14:paraId="0901838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（1）封面</w:t>
      </w:r>
    </w:p>
    <w:p w14:paraId="5DCD0A9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（2）投标报价表（含明细）</w:t>
      </w:r>
    </w:p>
    <w:p w14:paraId="34A9736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（3）需求响应表（如有）</w:t>
      </w:r>
    </w:p>
    <w:p w14:paraId="49906D44">
      <w:pPr>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021C3EC">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13.报价</w:t>
      </w:r>
    </w:p>
    <w:p w14:paraId="33A3283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13.1 供应商所提供的货物（服务）均以人民币报价，精确到小数点后两位。</w:t>
      </w:r>
    </w:p>
    <w:p w14:paraId="12396B9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13.2 供应商应按照“第三章 采购内容与要求”或磋商小组最终确定的内容、责任范围以及合同条款进行报价。并按数据文件中“投标报价表（含明细）”规定的格式报出分项价格和总价。总价中不得包含竞争性磋商文件要求以外的内容，否则，在评审时不予核减。</w:t>
      </w:r>
    </w:p>
    <w:p w14:paraId="1E199DB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13.3 供应商应按数据文件中“投标报价表”要求的统一格式填写，并加盖电子公章。</w:t>
      </w:r>
    </w:p>
    <w:p w14:paraId="1462CBF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13.4 《投标报价表（含明细）》填写时应响应下列要求：</w:t>
      </w:r>
    </w:p>
    <w:p w14:paraId="26F95E0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（1）供应商须严格按照投标报价表（含明细）说明进行填写，报价明细表投标报价表（含明细）中“*”是必填项，任何必填项为空时都可能导致本次投标无效。</w:t>
      </w:r>
    </w:p>
    <w:p w14:paraId="3842997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（2）供应商应对本次磋商的全部内容进行报价，缺项报价响应无效。如因供应商自身的原因报价失误而造成的损失，由供应商自行承担。</w:t>
      </w:r>
    </w:p>
    <w:p w14:paraId="1112313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1BD7238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w:t>
      </w:r>
      <w:r>
        <w:rPr>
          <w:rFonts w:hint="eastAsia" w:ascii="仿宋_GB2312" w:hAnsi="仿宋" w:eastAsia="仿宋_GB2312" w:cs="宋体"/>
          <w:color w:val="auto"/>
          <w:sz w:val="28"/>
          <w:szCs w:val="28"/>
          <w:highlight w:val="none"/>
        </w:rPr>
        <w:t>《投标报价表</w:t>
      </w:r>
      <w:r>
        <w:rPr>
          <w:rFonts w:hint="eastAsia" w:ascii="仿宋_GB2312" w:hAnsi="宋体" w:eastAsia="仿宋_GB2312"/>
          <w:color w:val="auto"/>
          <w:sz w:val="28"/>
          <w:szCs w:val="28"/>
          <w:highlight w:val="none"/>
        </w:rPr>
        <w:t>（含明细）</w:t>
      </w:r>
      <w:r>
        <w:rPr>
          <w:rFonts w:hint="eastAsia" w:ascii="仿宋_GB2312" w:hAnsi="仿宋" w:eastAsia="仿宋_GB2312" w:cs="宋体"/>
          <w:color w:val="auto"/>
          <w:sz w:val="28"/>
          <w:szCs w:val="28"/>
          <w:highlight w:val="none"/>
        </w:rPr>
        <w:t>》</w:t>
      </w:r>
      <w:r>
        <w:rPr>
          <w:rFonts w:hint="eastAsia" w:ascii="仿宋_GB2312" w:hAnsi="宋体" w:eastAsia="仿宋_GB2312"/>
          <w:color w:val="auto"/>
          <w:sz w:val="28"/>
          <w:szCs w:val="28"/>
          <w:highlight w:val="none"/>
        </w:rPr>
        <w:t>中合价将由单价*数量自动计算，无需手工录入。</w:t>
      </w:r>
    </w:p>
    <w:p w14:paraId="57B6E687">
      <w:pPr>
        <w:spacing w:line="560" w:lineRule="exact"/>
        <w:ind w:firstLine="565" w:firstLineChars="201"/>
        <w:rPr>
          <w:rFonts w:ascii="仿宋_GB2312" w:hAnsi="仿宋" w:eastAsia="仿宋_GB2312" w:cs="宋体"/>
          <w:color w:val="auto"/>
          <w:sz w:val="28"/>
          <w:szCs w:val="28"/>
          <w:highlight w:val="none"/>
        </w:rPr>
      </w:pPr>
      <w:r>
        <w:rPr>
          <w:rFonts w:hint="eastAsia" w:ascii="仿宋_GB2312" w:hAnsi="仿宋" w:eastAsia="仿宋_GB2312" w:cs="宋体"/>
          <w:b/>
          <w:color w:val="auto"/>
          <w:sz w:val="28"/>
          <w:szCs w:val="28"/>
          <w:highlight w:val="none"/>
        </w:rPr>
        <w:t>（5）本次采购项目质保期见</w:t>
      </w:r>
      <w:r>
        <w:rPr>
          <w:rFonts w:hint="eastAsia" w:ascii="仿宋_GB2312" w:hAnsi="仿宋" w:eastAsia="仿宋_GB2312" w:cs="宋体"/>
          <w:b/>
          <w:color w:val="auto"/>
          <w:sz w:val="28"/>
          <w:szCs w:val="28"/>
          <w:highlight w:val="none"/>
          <w:u w:val="single"/>
        </w:rPr>
        <w:t>响应须知前附表</w:t>
      </w:r>
      <w:r>
        <w:rPr>
          <w:rFonts w:hint="eastAsia" w:ascii="仿宋_GB2312" w:hAnsi="仿宋" w:eastAsia="仿宋_GB2312" w:cs="宋体"/>
          <w:b/>
          <w:color w:val="auto"/>
          <w:sz w:val="28"/>
          <w:szCs w:val="28"/>
          <w:highlight w:val="none"/>
        </w:rPr>
        <w:t>或第3章。采购文件无特殊要求的，质保期大于采购文件要求的，供应商视报价需要提供制造商出具的质保函。</w:t>
      </w:r>
    </w:p>
    <w:p w14:paraId="71533103">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享受政府采购优惠政策的，需按采购文件要求在响应文件（第一册）中添加政府采购优惠政策证明文件，并在投标报价表（含明细）中对每个产品申报，填写对应页码。如政策要求是节能、环保产品，在响应文件（第一册）需提供节能、环保证书，数据文件填写对应页码，否则会因非实质性响应而被拒绝；如未要求，提供节能、环保编号可享受相关政策优惠。</w:t>
      </w:r>
    </w:p>
    <w:p w14:paraId="0353A2BF">
      <w:pPr>
        <w:spacing w:line="560" w:lineRule="exact"/>
        <w:ind w:firstLine="565" w:firstLineChars="201"/>
        <w:rPr>
          <w:rFonts w:ascii="仿宋_GB2312" w:hAnsi="仿宋" w:eastAsia="仿宋_GB2312" w:cs="宋体"/>
          <w:b/>
          <w:color w:val="auto"/>
          <w:sz w:val="28"/>
          <w:szCs w:val="28"/>
          <w:highlight w:val="none"/>
        </w:rPr>
      </w:pPr>
      <w:r>
        <w:rPr>
          <w:rFonts w:hint="eastAsia" w:ascii="仿宋_GB2312" w:hAnsi="仿宋" w:eastAsia="仿宋_GB2312" w:cs="宋体"/>
          <w:b/>
          <w:color w:val="auto"/>
          <w:sz w:val="28"/>
          <w:szCs w:val="28"/>
          <w:highlight w:val="none"/>
        </w:rPr>
        <w:t>（7）未经检验的新产品、试制品不能参加本次报价。</w:t>
      </w:r>
    </w:p>
    <w:p w14:paraId="62439BE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（8）</w:t>
      </w:r>
      <w:r>
        <w:rPr>
          <w:rFonts w:hint="eastAsia" w:ascii="仿宋_GB2312" w:hAnsi="宋体" w:eastAsia="仿宋_GB2312"/>
          <w:color w:val="auto"/>
          <w:sz w:val="28"/>
          <w:szCs w:val="28"/>
          <w:highlight w:val="none"/>
        </w:rPr>
        <w:t>供应商的报价在合同执行过程中是固定不变的，不得以任何理由改变。所有价格折扣、优惠条件必须在报价明细表中注明，否则评审时不予认可。</w:t>
      </w:r>
    </w:p>
    <w:p w14:paraId="03320089">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 xml:space="preserve">13.5 </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需求响应表</w:t>
      </w:r>
      <w:r>
        <w:rPr>
          <w:rFonts w:hint="eastAsia" w:ascii="仿宋_GB2312" w:hAnsi="仿宋" w:eastAsia="仿宋_GB2312" w:cs="宋体"/>
          <w:color w:val="auto"/>
          <w:sz w:val="28"/>
          <w:szCs w:val="28"/>
          <w:highlight w:val="none"/>
        </w:rPr>
        <w:t>（如有）》</w:t>
      </w:r>
      <w:r>
        <w:rPr>
          <w:rFonts w:ascii="仿宋_GB2312" w:hAnsi="宋体" w:eastAsia="仿宋_GB2312"/>
          <w:color w:val="auto"/>
          <w:sz w:val="28"/>
          <w:szCs w:val="28"/>
          <w:highlight w:val="none"/>
        </w:rPr>
        <w:t>填写时应响应下列要求：</w:t>
      </w:r>
    </w:p>
    <w:p w14:paraId="488FC540">
      <w:pPr>
        <w:spacing w:line="560" w:lineRule="exact"/>
        <w:ind w:firstLine="560" w:firstLineChars="200"/>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（1）有底色标识的单元格须填写，有“*”的列是必输项，任何必输项为空都可能导致您的本次投标（响应）无效；</w:t>
      </w:r>
    </w:p>
    <w:p w14:paraId="3BB69EB5">
      <w:pPr>
        <w:spacing w:line="560" w:lineRule="exact"/>
        <w:ind w:firstLine="560" w:firstLineChars="200"/>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（2）如想拷贝数据到某个待填写单元格，应采用选择性粘贴(只粘贴文本)，否则单元格填写无效或被锁死；</w:t>
      </w:r>
    </w:p>
    <w:p w14:paraId="7D1C789D">
      <w:pPr>
        <w:spacing w:line="560" w:lineRule="exact"/>
        <w:ind w:firstLine="560" w:firstLineChars="200"/>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（3）当招标需求列的内容显示不完整时，请点击编辑栏进行查看；</w:t>
      </w:r>
    </w:p>
    <w:p w14:paraId="2B3DCB7F">
      <w:pPr>
        <w:spacing w:line="560" w:lineRule="exact"/>
        <w:ind w:firstLine="560" w:firstLineChars="200"/>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（4）</w:t>
      </w:r>
      <w:r>
        <w:rPr>
          <w:rFonts w:hint="eastAsia" w:ascii="仿宋_GB2312" w:hAnsi="仿宋" w:eastAsia="仿宋_GB2312" w:cs="宋体"/>
          <w:b/>
          <w:color w:val="auto"/>
          <w:sz w:val="28"/>
          <w:szCs w:val="28"/>
          <w:highlight w:val="none"/>
        </w:rPr>
        <w:t>为合理节约政府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hAnsi="仿宋" w:eastAsia="仿宋_GB2312" w:cs="宋体"/>
          <w:color w:val="auto"/>
          <w:sz w:val="28"/>
          <w:szCs w:val="28"/>
          <w:highlight w:val="none"/>
        </w:rPr>
        <w:t>；若与投标（响应）文件中提供的产品检测报告（如有）、生产厂家出具的产品彩页等证明材料的实质性响应情况不一致，按</w:t>
      </w:r>
      <w:r>
        <w:rPr>
          <w:rFonts w:ascii="仿宋_GB2312" w:hAnsi="仿宋" w:eastAsia="仿宋_GB2312" w:cs="宋体"/>
          <w:b/>
          <w:color w:val="auto"/>
          <w:sz w:val="28"/>
          <w:szCs w:val="28"/>
          <w:highlight w:val="none"/>
        </w:rPr>
        <w:t>无效投标（响应）处理</w:t>
      </w:r>
      <w:r>
        <w:rPr>
          <w:rFonts w:ascii="仿宋_GB2312" w:hAnsi="仿宋" w:eastAsia="仿宋_GB2312" w:cs="宋体"/>
          <w:color w:val="auto"/>
          <w:sz w:val="28"/>
          <w:szCs w:val="28"/>
          <w:highlight w:val="none"/>
        </w:rPr>
        <w:t>。</w:t>
      </w:r>
    </w:p>
    <w:p w14:paraId="3615BDD6">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00A76C6F">
      <w:pPr>
        <w:spacing w:line="560" w:lineRule="exact"/>
        <w:ind w:firstLine="562" w:firstLineChars="200"/>
        <w:rPr>
          <w:rFonts w:ascii="仿宋_GB2312" w:hAnsi="仿宋" w:eastAsia="仿宋_GB2312" w:cs="宋体"/>
          <w:b/>
          <w:color w:val="auto"/>
          <w:sz w:val="28"/>
          <w:szCs w:val="28"/>
          <w:highlight w:val="none"/>
        </w:rPr>
      </w:pPr>
      <w:r>
        <w:rPr>
          <w:rFonts w:hint="eastAsia" w:ascii="仿宋_GB2312" w:hAnsi="仿宋" w:eastAsia="仿宋_GB2312" w:cs="宋体"/>
          <w:b/>
          <w:color w:val="auto"/>
          <w:sz w:val="28"/>
          <w:szCs w:val="28"/>
          <w:highlight w:val="none"/>
        </w:rPr>
        <w:t>（6）本次采购不允许供应商复制粘贴采购文件的技术要求作为其响应文件的响应情况。</w:t>
      </w:r>
    </w:p>
    <w:p w14:paraId="0E163C5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13.6 供应商的报价在合同执行过程中是固定不变的，不得以任何理由改变。所有价格折扣、优惠条件必须在报价明细表中注明，否则评审时不予认可。</w:t>
      </w:r>
    </w:p>
    <w:p w14:paraId="69EAF970">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14.备选方案</w:t>
      </w:r>
    </w:p>
    <w:p w14:paraId="6A116C7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本采购项目不允许供应商有备选磋商方案。</w:t>
      </w:r>
    </w:p>
    <w:p w14:paraId="522F39A2">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15.联合体报价</w:t>
      </w:r>
    </w:p>
    <w:p w14:paraId="60AC5103">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两个以上的自然人、法人或者其他组织可以组成一个联合体，以一个</w:t>
      </w:r>
      <w:r>
        <w:rPr>
          <w:rFonts w:hint="eastAsia" w:ascii="仿宋_GB2312" w:hAnsi="宋体" w:eastAsia="仿宋_GB2312"/>
          <w:color w:val="auto"/>
          <w:sz w:val="28"/>
          <w:szCs w:val="28"/>
          <w:highlight w:val="none"/>
        </w:rPr>
        <w:t>供应商</w:t>
      </w:r>
      <w:r>
        <w:rPr>
          <w:rFonts w:hint="eastAsia" w:ascii="仿宋_GB2312" w:hAnsi="仿宋" w:eastAsia="仿宋_GB2312" w:cs="宋体"/>
          <w:color w:val="auto"/>
          <w:sz w:val="28"/>
          <w:szCs w:val="28"/>
          <w:highlight w:val="none"/>
        </w:rPr>
        <w:t>的身份共同参加政府采购。</w:t>
      </w:r>
    </w:p>
    <w:p w14:paraId="4E623558">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15.1以联合体形式进行政府采购的，参加联合体的</w:t>
      </w:r>
      <w:r>
        <w:rPr>
          <w:rFonts w:hint="eastAsia" w:ascii="仿宋_GB2312" w:hAnsi="宋体" w:eastAsia="仿宋_GB2312"/>
          <w:color w:val="auto"/>
          <w:sz w:val="28"/>
          <w:szCs w:val="28"/>
          <w:highlight w:val="none"/>
        </w:rPr>
        <w:t>供应商</w:t>
      </w:r>
      <w:r>
        <w:rPr>
          <w:rFonts w:hint="eastAsia" w:ascii="仿宋_GB2312" w:hAnsi="仿宋" w:eastAsia="仿宋_GB2312" w:cs="宋体"/>
          <w:color w:val="auto"/>
          <w:sz w:val="28"/>
          <w:szCs w:val="28"/>
          <w:highlight w:val="none"/>
        </w:rPr>
        <w:t>均应当具备政府采购法第二十二条规定的条件，并应当向采购人提交联合协议，载明联合体各方承担的工作和义务。联合体各方应当共同与采购人签订采购合同，就采购合同约定的事项对采购人承担连带责任。</w:t>
      </w:r>
    </w:p>
    <w:p w14:paraId="7BC5AEC8">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15.2联合体中有同类资质的</w:t>
      </w:r>
      <w:r>
        <w:rPr>
          <w:rFonts w:hint="eastAsia" w:ascii="仿宋_GB2312" w:hAnsi="宋体" w:eastAsia="仿宋_GB2312"/>
          <w:color w:val="auto"/>
          <w:sz w:val="28"/>
          <w:szCs w:val="28"/>
          <w:highlight w:val="none"/>
        </w:rPr>
        <w:t>供应商</w:t>
      </w:r>
      <w:r>
        <w:rPr>
          <w:rFonts w:hint="eastAsia" w:ascii="仿宋_GB2312" w:hAnsi="仿宋" w:eastAsia="仿宋_GB2312" w:cs="宋体"/>
          <w:color w:val="auto"/>
          <w:sz w:val="28"/>
          <w:szCs w:val="28"/>
          <w:highlight w:val="none"/>
        </w:rPr>
        <w:t>按照联合体分工承担相同工作的，应当按照资质等级较低的</w:t>
      </w:r>
      <w:r>
        <w:rPr>
          <w:rFonts w:hint="eastAsia" w:ascii="仿宋_GB2312" w:hAnsi="宋体" w:eastAsia="仿宋_GB2312"/>
          <w:color w:val="auto"/>
          <w:sz w:val="28"/>
          <w:szCs w:val="28"/>
          <w:highlight w:val="none"/>
        </w:rPr>
        <w:t>供应商</w:t>
      </w:r>
      <w:r>
        <w:rPr>
          <w:rFonts w:hint="eastAsia" w:ascii="仿宋_GB2312" w:hAnsi="仿宋" w:eastAsia="仿宋_GB2312" w:cs="宋体"/>
          <w:color w:val="auto"/>
          <w:sz w:val="28"/>
          <w:szCs w:val="28"/>
          <w:highlight w:val="none"/>
        </w:rPr>
        <w:t>确定资质等级。</w:t>
      </w:r>
    </w:p>
    <w:p w14:paraId="79B961B5">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15.3联合体的各方应当共同推荐一名联合体报价授权代表方，由联合体各方提交一份授权书，证明其有资格代表联合体各方签署响应文件，该授权书作为响应文件的组成部分一并提交给</w:t>
      </w:r>
      <w:r>
        <w:rPr>
          <w:rFonts w:hint="eastAsia" w:ascii="仿宋_GB2312" w:hAnsi="宋体" w:eastAsia="仿宋_GB2312"/>
          <w:color w:val="auto"/>
          <w:sz w:val="28"/>
          <w:szCs w:val="28"/>
          <w:highlight w:val="none"/>
        </w:rPr>
        <w:t>采购代理机构</w:t>
      </w:r>
      <w:r>
        <w:rPr>
          <w:rFonts w:hint="eastAsia" w:ascii="仿宋_GB2312" w:hAnsi="仿宋" w:eastAsia="仿宋_GB2312" w:cs="宋体"/>
          <w:color w:val="auto"/>
          <w:sz w:val="28"/>
          <w:szCs w:val="28"/>
          <w:highlight w:val="none"/>
        </w:rPr>
        <w:t>。</w:t>
      </w:r>
    </w:p>
    <w:p w14:paraId="56793D2C">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15.4以联合体形式参加政府采购活动的，联合体各方不得再单独参加或者与其他</w:t>
      </w:r>
      <w:r>
        <w:rPr>
          <w:rFonts w:hint="eastAsia" w:ascii="仿宋_GB2312" w:hAnsi="宋体" w:eastAsia="仿宋_GB2312"/>
          <w:color w:val="auto"/>
          <w:sz w:val="28"/>
          <w:szCs w:val="28"/>
          <w:highlight w:val="none"/>
        </w:rPr>
        <w:t>供应商</w:t>
      </w:r>
      <w:r>
        <w:rPr>
          <w:rFonts w:hint="eastAsia" w:ascii="仿宋_GB2312" w:hAnsi="仿宋" w:eastAsia="仿宋_GB2312" w:cs="宋体"/>
          <w:color w:val="auto"/>
          <w:sz w:val="28"/>
          <w:szCs w:val="28"/>
          <w:highlight w:val="none"/>
        </w:rPr>
        <w:t>另外组成联合体参加同一合同项下的政府采购活动。</w:t>
      </w:r>
    </w:p>
    <w:p w14:paraId="1528DDA5">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15.5采购人根据采购项目对供应商的特殊要求，联合体中至少应当有一方符合相关规定。</w:t>
      </w:r>
    </w:p>
    <w:p w14:paraId="287638B6">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15.6联合体各方应签订共同报价协议，明确约定联合体各方承担的工作和相应的责任，并将共同报价协议连同作为响应文件的内容提交，否则报价将被认定为</w:t>
      </w:r>
      <w:r>
        <w:rPr>
          <w:rFonts w:hint="eastAsia" w:ascii="仿宋_GB2312" w:hAnsi="仿宋" w:eastAsia="仿宋_GB2312" w:cs="宋体"/>
          <w:b/>
          <w:bCs/>
          <w:color w:val="auto"/>
          <w:sz w:val="28"/>
          <w:szCs w:val="28"/>
          <w:highlight w:val="none"/>
        </w:rPr>
        <w:t>无效</w:t>
      </w:r>
      <w:r>
        <w:rPr>
          <w:rFonts w:hint="eastAsia" w:ascii="仿宋_GB2312" w:hAnsi="仿宋" w:eastAsia="仿宋_GB2312" w:cs="宋体"/>
          <w:color w:val="auto"/>
          <w:sz w:val="28"/>
          <w:szCs w:val="28"/>
          <w:highlight w:val="none"/>
        </w:rPr>
        <w:t>。</w:t>
      </w:r>
    </w:p>
    <w:p w14:paraId="74C8F5C2">
      <w:pPr>
        <w:spacing w:line="560" w:lineRule="exact"/>
        <w:ind w:firstLine="560" w:firstLineChars="200"/>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15.7</w:t>
      </w:r>
      <w:r>
        <w:rPr>
          <w:rFonts w:ascii="仿宋_GB2312" w:hAnsi="仿宋" w:eastAsia="仿宋_GB2312" w:cs="宋体"/>
          <w:color w:val="auto"/>
          <w:sz w:val="28"/>
          <w:szCs w:val="28"/>
          <w:highlight w:val="none"/>
        </w:rPr>
        <w:t>大中型企业</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其他自然人、法人或者</w:t>
      </w:r>
      <w:r>
        <w:rPr>
          <w:rFonts w:hint="eastAsia" w:ascii="仿宋_GB2312" w:hAnsi="仿宋" w:eastAsia="仿宋_GB2312" w:cs="宋体"/>
          <w:color w:val="auto"/>
          <w:sz w:val="28"/>
          <w:szCs w:val="28"/>
          <w:highlight w:val="none"/>
        </w:rPr>
        <w:t>其他组织</w:t>
      </w:r>
      <w:r>
        <w:rPr>
          <w:rFonts w:ascii="仿宋_GB2312" w:hAnsi="仿宋" w:eastAsia="仿宋_GB2312" w:cs="宋体"/>
          <w:color w:val="auto"/>
          <w:sz w:val="28"/>
          <w:szCs w:val="28"/>
          <w:highlight w:val="none"/>
        </w:rPr>
        <w:t>与小型、微型企业组成联合体共同参加</w:t>
      </w:r>
      <w:r>
        <w:rPr>
          <w:rFonts w:hint="eastAsia" w:ascii="仿宋_GB2312" w:hAnsi="仿宋" w:eastAsia="仿宋_GB2312" w:cs="宋体"/>
          <w:color w:val="auto"/>
          <w:sz w:val="28"/>
          <w:szCs w:val="28"/>
          <w:highlight w:val="none"/>
        </w:rPr>
        <w:t>报价，共同报价</w:t>
      </w:r>
      <w:r>
        <w:rPr>
          <w:rFonts w:ascii="仿宋_GB2312" w:hAnsi="仿宋" w:eastAsia="仿宋_GB2312" w:cs="宋体"/>
          <w:color w:val="auto"/>
          <w:sz w:val="28"/>
          <w:szCs w:val="28"/>
          <w:highlight w:val="none"/>
        </w:rPr>
        <w:t>协议中</w:t>
      </w:r>
      <w:r>
        <w:rPr>
          <w:rFonts w:hint="eastAsia" w:ascii="仿宋_GB2312" w:hAnsi="仿宋" w:eastAsia="仿宋_GB2312" w:cs="宋体"/>
          <w:color w:val="auto"/>
          <w:sz w:val="28"/>
          <w:szCs w:val="28"/>
          <w:highlight w:val="none"/>
        </w:rPr>
        <w:t>应写明</w:t>
      </w:r>
      <w:r>
        <w:rPr>
          <w:rFonts w:ascii="仿宋_GB2312" w:hAnsi="仿宋" w:eastAsia="仿宋_GB2312" w:cs="宋体"/>
          <w:color w:val="auto"/>
          <w:sz w:val="28"/>
          <w:szCs w:val="28"/>
          <w:highlight w:val="none"/>
        </w:rPr>
        <w:t>小型、微型企业的协议合同金额占到</w:t>
      </w:r>
      <w:r>
        <w:rPr>
          <w:rFonts w:hint="eastAsia" w:ascii="仿宋_GB2312" w:hAnsi="仿宋" w:eastAsia="仿宋_GB2312" w:cs="宋体"/>
          <w:color w:val="auto"/>
          <w:sz w:val="28"/>
          <w:szCs w:val="28"/>
          <w:highlight w:val="none"/>
        </w:rPr>
        <w:t>共同</w:t>
      </w:r>
      <w:r>
        <w:rPr>
          <w:rFonts w:ascii="仿宋_GB2312" w:hAnsi="仿宋" w:eastAsia="仿宋_GB2312" w:cs="宋体"/>
          <w:color w:val="auto"/>
          <w:sz w:val="28"/>
          <w:szCs w:val="28"/>
          <w:highlight w:val="none"/>
        </w:rPr>
        <w:t>协议</w:t>
      </w:r>
      <w:r>
        <w:rPr>
          <w:rFonts w:hint="eastAsia" w:ascii="仿宋_GB2312" w:hAnsi="仿宋" w:eastAsia="仿宋_GB2312" w:cs="宋体"/>
          <w:color w:val="auto"/>
          <w:sz w:val="28"/>
          <w:szCs w:val="28"/>
          <w:highlight w:val="none"/>
        </w:rPr>
        <w:t>报价</w:t>
      </w:r>
      <w:r>
        <w:rPr>
          <w:rFonts w:ascii="仿宋_GB2312" w:hAnsi="仿宋" w:eastAsia="仿宋_GB2312" w:cs="宋体"/>
          <w:color w:val="auto"/>
          <w:sz w:val="28"/>
          <w:szCs w:val="28"/>
          <w:highlight w:val="none"/>
        </w:rPr>
        <w:t>总金额</w:t>
      </w:r>
      <w:r>
        <w:rPr>
          <w:rFonts w:hint="eastAsia" w:ascii="仿宋_GB2312" w:hAnsi="仿宋" w:eastAsia="仿宋_GB2312" w:cs="宋体"/>
          <w:color w:val="auto"/>
          <w:sz w:val="28"/>
          <w:szCs w:val="28"/>
          <w:highlight w:val="none"/>
        </w:rPr>
        <w:t>的比例。</w:t>
      </w:r>
    </w:p>
    <w:p w14:paraId="1EE53DFC">
      <w:pPr>
        <w:snapToGrid w:val="0"/>
        <w:spacing w:line="560" w:lineRule="exact"/>
        <w:ind w:firstLine="562" w:firstLineChars="201"/>
        <w:rPr>
          <w:rFonts w:ascii="楷体_GB2312" w:hAnsi="宋体" w:eastAsia="楷体_GB2312"/>
          <w:b/>
          <w:color w:val="auto"/>
          <w:sz w:val="28"/>
          <w:szCs w:val="28"/>
          <w:highlight w:val="none"/>
        </w:rPr>
      </w:pPr>
      <w:r>
        <w:rPr>
          <w:rFonts w:hint="eastAsia" w:ascii="仿宋_GB2312" w:hAnsi="仿宋" w:eastAsia="仿宋_GB2312" w:cs="宋体"/>
          <w:color w:val="auto"/>
          <w:sz w:val="28"/>
          <w:szCs w:val="28"/>
          <w:highlight w:val="none"/>
        </w:rPr>
        <w:t>15.8以联合体形式参加政府采购活动，联合体各方均为中小企业的，联合体视同中小企业。联合体各方均为小微企业的，联合体视同小微企业。</w:t>
      </w:r>
    </w:p>
    <w:p w14:paraId="7F77A6BD">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仿宋" w:eastAsia="仿宋_GB2312" w:cs="宋体"/>
          <w:b/>
          <w:color w:val="auto"/>
          <w:sz w:val="28"/>
          <w:szCs w:val="28"/>
          <w:highlight w:val="none"/>
        </w:rPr>
        <w:t>本项目不接受联合体响应详见</w:t>
      </w:r>
      <w:r>
        <w:rPr>
          <w:rFonts w:hint="eastAsia" w:ascii="仿宋_GB2312" w:hAnsi="仿宋" w:eastAsia="仿宋_GB2312" w:cs="宋体"/>
          <w:b/>
          <w:color w:val="auto"/>
          <w:sz w:val="28"/>
          <w:szCs w:val="28"/>
          <w:highlight w:val="none"/>
          <w:u w:val="single"/>
        </w:rPr>
        <w:t>响应须知前附表</w:t>
      </w:r>
      <w:r>
        <w:rPr>
          <w:rFonts w:hint="eastAsia" w:ascii="仿宋_GB2312" w:hAnsi="仿宋" w:eastAsia="仿宋_GB2312" w:cs="宋体"/>
          <w:b/>
          <w:color w:val="auto"/>
          <w:sz w:val="28"/>
          <w:szCs w:val="28"/>
          <w:highlight w:val="none"/>
        </w:rPr>
        <w:t>。</w:t>
      </w:r>
    </w:p>
    <w:p w14:paraId="2A4F95B9">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16.关于分包</w:t>
      </w:r>
    </w:p>
    <w:p w14:paraId="16CFD437">
      <w:pPr>
        <w:snapToGrid w:val="0"/>
        <w:spacing w:line="56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供应商拟将成交项目的非主体、非关键性工作分包的，应当在响应文件中载明分包承担主体，分包承担主体应当具备相应资质条件且不得再次分包。</w:t>
      </w:r>
    </w:p>
    <w:p w14:paraId="2C66A5AC">
      <w:pPr>
        <w:snapToGrid w:val="0"/>
        <w:spacing w:line="56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供应商应当就分包项目向采购人负责，分包承担主体就分包项目承担责任。</w:t>
      </w:r>
    </w:p>
    <w:p w14:paraId="2B80A0F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依据财政部、工信部等部委发布的《关于印发&lt;政府采购促进中小企业发展管理办法&gt;的通知》（财库〔2020〕46号）规定享受扶持政策获得政府采购合同的，小微企业不得将合同分包给大中型企业，中型企业不得将合同分包给大型企业。</w:t>
      </w:r>
    </w:p>
    <w:p w14:paraId="7AC22918">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17.现场踏勘</w:t>
      </w:r>
    </w:p>
    <w:p w14:paraId="420C4D3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17.1</w:t>
      </w:r>
      <w:r>
        <w:rPr>
          <w:rFonts w:hint="eastAsia" w:ascii="仿宋_GB2312" w:hAnsi="仿宋" w:eastAsia="仿宋_GB2312" w:cs="宋体"/>
          <w:color w:val="auto"/>
          <w:sz w:val="28"/>
          <w:szCs w:val="28"/>
          <w:highlight w:val="none"/>
          <w:u w:val="single"/>
        </w:rPr>
        <w:t>响应须知前附表中</w:t>
      </w:r>
      <w:r>
        <w:rPr>
          <w:rFonts w:hint="eastAsia" w:ascii="仿宋_GB2312" w:hAnsi="仿宋" w:eastAsia="仿宋_GB2312" w:cs="宋体"/>
          <w:color w:val="auto"/>
          <w:sz w:val="28"/>
          <w:szCs w:val="28"/>
          <w:highlight w:val="none"/>
        </w:rPr>
        <w:t>规定组织踏勘现场的，采购人按规定的时间、地点组织供应商踏勘项目现场，踏勘现场所发生的费用由供应商承担。</w:t>
      </w:r>
    </w:p>
    <w:p w14:paraId="1E7CF072">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17.2采购人向供应商提供的有关现场的资料和数据，是采购人现有的能使供应商利用的资料，采购人对供应商由此而做出的推论、理解和结论概不负责。</w:t>
      </w:r>
    </w:p>
    <w:p w14:paraId="57026E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35398BF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68C0628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17.5未参与现场踏勘不作为否定供应商资格的理由。</w:t>
      </w:r>
    </w:p>
    <w:p w14:paraId="47796900">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18.报价的有效期</w:t>
      </w:r>
    </w:p>
    <w:p w14:paraId="15E58E2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18.1报价应在</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中规定时间内保持有效。报价有效期不满足要求的报价，其报价将被认定为</w:t>
      </w:r>
      <w:r>
        <w:rPr>
          <w:rFonts w:hint="eastAsia" w:ascii="仿宋_GB2312" w:hAnsi="宋体" w:eastAsia="仿宋_GB2312"/>
          <w:b/>
          <w:color w:val="auto"/>
          <w:sz w:val="28"/>
          <w:szCs w:val="28"/>
          <w:highlight w:val="none"/>
        </w:rPr>
        <w:t>无效</w:t>
      </w:r>
      <w:r>
        <w:rPr>
          <w:rFonts w:hint="eastAsia" w:ascii="仿宋_GB2312" w:hAnsi="宋体" w:eastAsia="仿宋_GB2312"/>
          <w:color w:val="auto"/>
          <w:sz w:val="28"/>
          <w:szCs w:val="28"/>
          <w:highlight w:val="none"/>
        </w:rPr>
        <w:t>。</w:t>
      </w:r>
    </w:p>
    <w:p w14:paraId="18FCE7B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18.2特殊情况下，在报价有效期满之前，采购代理机构可以要求供应商延长报价有效期，供应商可以书面形式拒绝或接受上述要求。同意延长报价有效期的供应商不得修改响应文件的实质性内容。</w:t>
      </w:r>
    </w:p>
    <w:p w14:paraId="6B77A39A">
      <w:pPr>
        <w:spacing w:line="560" w:lineRule="exact"/>
        <w:ind w:firstLine="565" w:firstLineChars="201"/>
        <w:rPr>
          <w:rFonts w:ascii="楷体_GB2312" w:hAnsi="仿宋" w:eastAsia="楷体_GB2312" w:cs="宋体"/>
          <w:b/>
          <w:color w:val="auto"/>
          <w:sz w:val="28"/>
          <w:szCs w:val="28"/>
          <w:highlight w:val="none"/>
        </w:rPr>
      </w:pPr>
      <w:r>
        <w:rPr>
          <w:rFonts w:ascii="楷体_GB2312" w:hAnsi="仿宋" w:eastAsia="楷体_GB2312" w:cs="宋体"/>
          <w:b/>
          <w:color w:val="auto"/>
          <w:sz w:val="28"/>
          <w:szCs w:val="28"/>
          <w:highlight w:val="none"/>
        </w:rPr>
        <w:t>1</w:t>
      </w:r>
      <w:r>
        <w:rPr>
          <w:rFonts w:hint="eastAsia" w:ascii="楷体_GB2312" w:hAnsi="仿宋" w:eastAsia="楷体_GB2312" w:cs="宋体"/>
          <w:b/>
          <w:color w:val="auto"/>
          <w:sz w:val="28"/>
          <w:szCs w:val="28"/>
          <w:highlight w:val="none"/>
        </w:rPr>
        <w:t>9.磋商保证金</w:t>
      </w:r>
    </w:p>
    <w:p w14:paraId="7C56754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本项目不收取磋商保证金</w:t>
      </w:r>
      <w:r>
        <w:rPr>
          <w:rFonts w:ascii="仿宋_GB2312" w:hAnsi="仿宋" w:eastAsia="仿宋_GB2312" w:cs="宋体"/>
          <w:color w:val="auto"/>
          <w:sz w:val="28"/>
          <w:szCs w:val="28"/>
          <w:highlight w:val="none"/>
        </w:rPr>
        <w:t>。</w:t>
      </w:r>
    </w:p>
    <w:p w14:paraId="751BB762">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20.响应文件的数量和签署</w:t>
      </w:r>
    </w:p>
    <w:p w14:paraId="30EAA76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 响应文件（pdf格式）1份（第一册）：</w:t>
      </w:r>
    </w:p>
    <w:p w14:paraId="07EE1FC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20.1.1供应商应使用带电子签章功能的CA锁对响应文件须盖章或签名的部位加盖电子印章（单位电子公章、法定代表人电子人名章），电子印章与实物印章具有同等法律效力。</w:t>
      </w:r>
    </w:p>
    <w:p w14:paraId="2415043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20.1.2 供应商应首先编制word格式响应文件，最后通过威海市政府采购电子交易系统的文件签章菜单的响应文件签章功能转换为pdf格式（或者其他pdf转换工具），之后通过签章功能在pdf文件上加盖电子印章并保存到本地计算机，加盖了电子印章的pdf文件即为最终的响应文件。</w:t>
      </w:r>
    </w:p>
    <w:p w14:paraId="166632C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20.1.3文件中要求法定代表人签字或签章的须加盖法定代表人电子人名章。</w:t>
      </w:r>
    </w:p>
    <w:p w14:paraId="3511122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20.1.4须被授权人签字的，被授权人又无电子章的，在word编制时可将被授权人手写签字扫描后的图片粘贴到响应文件中对应位置，并加盖单位电子公章。</w:t>
      </w:r>
    </w:p>
    <w:p w14:paraId="4B18657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20.1.5可使用平台的批量盖章功能快速签章。但须浏览检查并注意印章重叠及完整性。</w:t>
      </w:r>
    </w:p>
    <w:p w14:paraId="3685E54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20.1.6 采用扫描粘贴供应商公章或扫描法定代表人电子章而不加盖单位电子公章的为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6E33D0A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20.2数据文件（PDF格式）（第二册）1份：</w:t>
      </w:r>
    </w:p>
    <w:p w14:paraId="46EFC2B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20.2.1供应商将填写完毕的数据文件（EXCEL格式），通过威海市政府采购电子交易系统中“文件签章”菜单的“数据签章”功能上传数据文件（EXCEL格式），系统自动转换为PDF格式，加盖电子印章后保存到本地计算机。加盖了电子印章的文件即为最终的数据文件（PDF格式）用于报价。</w:t>
      </w:r>
    </w:p>
    <w:p w14:paraId="2760835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20.2.2文件中要求法定代表人签字或签章的须加盖法定代表人电子人名章。</w:t>
      </w:r>
    </w:p>
    <w:p w14:paraId="0BD942A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20.2.3采用扫描粘贴供应商公章或法定代表人人名章的为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28DD82C0">
      <w:pPr>
        <w:pStyle w:val="4"/>
        <w:ind w:firstLine="643"/>
        <w:rPr>
          <w:color w:val="auto"/>
          <w:highlight w:val="none"/>
        </w:rPr>
      </w:pPr>
      <w:r>
        <w:rPr>
          <w:rFonts w:hint="eastAsia"/>
          <w:color w:val="auto"/>
          <w:highlight w:val="none"/>
        </w:rPr>
        <w:t>四、响应文件的递交</w:t>
      </w:r>
    </w:p>
    <w:p w14:paraId="3952D0D3">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21.响应文件的密封和标记</w:t>
      </w:r>
    </w:p>
    <w:p w14:paraId="0B0FCF8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21.1 第一阶段电子响应文件的密封和标记</w:t>
      </w:r>
    </w:p>
    <w:p w14:paraId="5F8D1F2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21.1.1加盖了电子印章的</w:t>
      </w:r>
      <w:r>
        <w:rPr>
          <w:rFonts w:hint="eastAsia" w:ascii="仿宋_GB2312" w:hAnsi="仿宋" w:eastAsia="仿宋_GB2312" w:cs="宋体"/>
          <w:color w:val="auto"/>
          <w:sz w:val="28"/>
          <w:szCs w:val="28"/>
          <w:highlight w:val="none"/>
        </w:rPr>
        <w:t>电子响应文件（PDF格式）和数据文件（PDF格式）</w:t>
      </w:r>
      <w:r>
        <w:rPr>
          <w:rFonts w:hint="eastAsia" w:ascii="仿宋_GB2312" w:hAnsi="宋体" w:eastAsia="仿宋_GB2312"/>
          <w:color w:val="auto"/>
          <w:sz w:val="28"/>
          <w:szCs w:val="28"/>
          <w:highlight w:val="none"/>
        </w:rPr>
        <w:t>须在</w:t>
      </w:r>
      <w:r>
        <w:rPr>
          <w:rFonts w:hint="eastAsia" w:ascii="仿宋_GB2312" w:hAnsi="仿宋" w:eastAsia="仿宋_GB2312" w:cs="宋体"/>
          <w:color w:val="auto"/>
          <w:sz w:val="28"/>
          <w:szCs w:val="28"/>
          <w:highlight w:val="none"/>
        </w:rPr>
        <w:t>威海市政府采购电子交易系统</w:t>
      </w:r>
      <w:r>
        <w:rPr>
          <w:rFonts w:hint="eastAsia" w:ascii="仿宋_GB2312" w:hAnsi="宋体" w:eastAsia="仿宋_GB2312"/>
          <w:color w:val="auto"/>
          <w:sz w:val="28"/>
          <w:szCs w:val="28"/>
          <w:highlight w:val="none"/>
        </w:rPr>
        <w:t>的“我的投标”界面进行提交，提交前系统会自动在本地进行加密和电子签章，加密和数字签名后的文件除了会上传到系统中之外还会同步保存到本地计算机。</w:t>
      </w:r>
    </w:p>
    <w:p w14:paraId="7FF287D3">
      <w:pPr>
        <w:spacing w:line="560" w:lineRule="exact"/>
        <w:ind w:firstLine="565" w:firstLineChars="201"/>
        <w:rPr>
          <w:rFonts w:ascii="仿宋_GB2312" w:hAnsi="仿宋" w:eastAsia="仿宋_GB2312" w:cs="宋体"/>
          <w:b/>
          <w:color w:val="auto"/>
          <w:sz w:val="28"/>
          <w:szCs w:val="28"/>
          <w:highlight w:val="none"/>
        </w:rPr>
      </w:pPr>
      <w:r>
        <w:rPr>
          <w:rFonts w:hint="eastAsia" w:ascii="仿宋_GB2312" w:hAnsi="仿宋" w:eastAsia="仿宋_GB2312" w:cs="宋体"/>
          <w:b/>
          <w:color w:val="auto"/>
          <w:sz w:val="28"/>
          <w:szCs w:val="28"/>
          <w:highlight w:val="none"/>
        </w:rPr>
        <w:t>21.2资质证明文件原件的密封和标记</w:t>
      </w:r>
    </w:p>
    <w:p w14:paraId="54CBB3C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本项目不收取资质证明文件原件。</w:t>
      </w:r>
    </w:p>
    <w:p w14:paraId="498328F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21.3 文件递交</w:t>
      </w:r>
    </w:p>
    <w:p w14:paraId="3026D5B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21.3.1供应商应在</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规定的时间前在威海市政府采购电子交易系统网上递交电子响应文件和数据文件。供应商应充分评估集中报价带来的网络影响，</w:t>
      </w:r>
      <w:r>
        <w:rPr>
          <w:rFonts w:hint="eastAsia" w:ascii="仿宋_GB2312" w:hAnsi="宋体" w:eastAsia="仿宋_GB2312"/>
          <w:color w:val="auto"/>
          <w:sz w:val="28"/>
          <w:szCs w:val="28"/>
          <w:highlight w:val="none"/>
        </w:rPr>
        <w:t>尽量避开响应高峰时间，</w:t>
      </w:r>
      <w:r>
        <w:rPr>
          <w:rFonts w:hint="eastAsia" w:ascii="仿宋_GB2312" w:hAnsi="仿宋" w:eastAsia="仿宋_GB2312" w:cs="宋体"/>
          <w:color w:val="auto"/>
          <w:sz w:val="28"/>
          <w:szCs w:val="28"/>
          <w:highlight w:val="none"/>
        </w:rPr>
        <w:t>错峰进行响应，</w:t>
      </w:r>
      <w:r>
        <w:rPr>
          <w:rFonts w:hint="eastAsia" w:ascii="仿宋_GB2312" w:hAnsi="宋体" w:eastAsia="仿宋_GB2312"/>
          <w:color w:val="auto"/>
          <w:sz w:val="28"/>
          <w:szCs w:val="28"/>
          <w:highlight w:val="none"/>
        </w:rPr>
        <w:t>系统以收到供应商发出的递交指令的时间作为其响应时间，如该时间超过响应截止时间，其响应将会被判定为</w:t>
      </w:r>
      <w:r>
        <w:rPr>
          <w:rFonts w:hint="eastAsia" w:ascii="仿宋_GB2312" w:hAnsi="宋体" w:eastAsia="仿宋_GB2312"/>
          <w:b/>
          <w:color w:val="auto"/>
          <w:sz w:val="28"/>
          <w:szCs w:val="28"/>
          <w:highlight w:val="none"/>
        </w:rPr>
        <w:t>无效</w:t>
      </w:r>
      <w:r>
        <w:rPr>
          <w:rFonts w:hint="eastAsia" w:ascii="仿宋_GB2312" w:hAnsi="宋体" w:eastAsia="仿宋_GB2312"/>
          <w:color w:val="auto"/>
          <w:sz w:val="28"/>
          <w:szCs w:val="28"/>
          <w:highlight w:val="none"/>
        </w:rPr>
        <w:t>。</w:t>
      </w:r>
    </w:p>
    <w:p w14:paraId="5E311278">
      <w:pPr>
        <w:spacing w:line="560" w:lineRule="exact"/>
        <w:ind w:firstLine="562" w:firstLineChars="201"/>
        <w:rPr>
          <w:rFonts w:ascii="仿宋_GB2312" w:hAnsi="宋体" w:eastAsia="仿宋_GB2312"/>
          <w:color w:val="auto"/>
          <w:sz w:val="28"/>
          <w:szCs w:val="28"/>
          <w:highlight w:val="none"/>
        </w:rPr>
      </w:pPr>
      <w:r>
        <w:rPr>
          <w:rFonts w:hint="eastAsia" w:ascii="仿宋_GB2312" w:hAnsi="仿宋" w:eastAsia="仿宋_GB2312" w:cs="宋体"/>
          <w:color w:val="auto"/>
          <w:sz w:val="28"/>
          <w:szCs w:val="28"/>
          <w:highlight w:val="none"/>
        </w:rPr>
        <w:t>21.3.2供应商须牢记响应加密密码，该密码将用于报价时解密其响应文件，如忘记密码或输入错误密码超过5次，其递交的响应文件将无法解密，导致无法提取数据和供他人阅读文件，致使其响应</w:t>
      </w:r>
      <w:r>
        <w:rPr>
          <w:rFonts w:hint="eastAsia" w:ascii="仿宋_GB2312" w:hAnsi="宋体" w:eastAsia="仿宋_GB2312"/>
          <w:b/>
          <w:color w:val="auto"/>
          <w:sz w:val="28"/>
          <w:szCs w:val="28"/>
          <w:highlight w:val="none"/>
        </w:rPr>
        <w:t>失败</w:t>
      </w:r>
      <w:r>
        <w:rPr>
          <w:rFonts w:hint="eastAsia" w:ascii="仿宋_GB2312" w:hAnsi="宋体" w:eastAsia="仿宋_GB2312"/>
          <w:color w:val="auto"/>
          <w:sz w:val="28"/>
          <w:szCs w:val="28"/>
          <w:highlight w:val="none"/>
        </w:rPr>
        <w:t>。</w:t>
      </w:r>
    </w:p>
    <w:p w14:paraId="049882D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21.3.3除</w:t>
      </w:r>
      <w:r>
        <w:rPr>
          <w:rFonts w:hint="eastAsia" w:ascii="仿宋_GB2312" w:hAnsi="仿宋" w:eastAsia="仿宋_GB2312" w:cs="宋体"/>
          <w:color w:val="auto"/>
          <w:sz w:val="28"/>
          <w:szCs w:val="28"/>
          <w:highlight w:val="none"/>
          <w:u w:val="single"/>
        </w:rPr>
        <w:t>响应须知前附表</w:t>
      </w:r>
      <w:r>
        <w:rPr>
          <w:rFonts w:hint="eastAsia" w:ascii="仿宋_GB2312" w:hAnsi="仿宋" w:eastAsia="仿宋_GB2312" w:cs="宋体"/>
          <w:color w:val="auto"/>
          <w:sz w:val="28"/>
          <w:szCs w:val="28"/>
          <w:highlight w:val="none"/>
        </w:rPr>
        <w:t>另有规定，</w:t>
      </w:r>
      <w:r>
        <w:rPr>
          <w:rFonts w:hint="eastAsia" w:ascii="仿宋_GB2312" w:hAnsi="宋体" w:eastAsia="仿宋_GB2312"/>
          <w:color w:val="auto"/>
          <w:sz w:val="28"/>
          <w:szCs w:val="28"/>
          <w:highlight w:val="none"/>
        </w:rPr>
        <w:t>采购代理机构</w:t>
      </w:r>
      <w:r>
        <w:rPr>
          <w:rFonts w:hint="eastAsia" w:ascii="仿宋_GB2312" w:hAnsi="仿宋" w:eastAsia="仿宋_GB2312" w:cs="宋体"/>
          <w:color w:val="auto"/>
          <w:sz w:val="28"/>
          <w:szCs w:val="28"/>
          <w:highlight w:val="none"/>
        </w:rPr>
        <w:t>拒绝接收纸质响应文件。</w:t>
      </w:r>
    </w:p>
    <w:p w14:paraId="6645E79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21.3.4供应商应将网上递交的已盖章未加密的数据文件和响应文件谨慎保存备份，以便启动应急开标程序时备案使用。</w:t>
      </w:r>
    </w:p>
    <w:p w14:paraId="5CBFA9CC">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22.磋商截止期</w:t>
      </w:r>
    </w:p>
    <w:p w14:paraId="375C8CC0">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本次磋商第一阶段响应文件的递交截止期见</w:t>
      </w:r>
      <w:r>
        <w:rPr>
          <w:rFonts w:hint="eastAsia" w:ascii="仿宋_GB2312" w:hAnsi="宋体" w:eastAsia="仿宋_GB2312"/>
          <w:b/>
          <w:color w:val="auto"/>
          <w:sz w:val="28"/>
          <w:szCs w:val="28"/>
          <w:highlight w:val="none"/>
          <w:u w:val="single"/>
        </w:rPr>
        <w:t>响应须知前附表</w:t>
      </w:r>
      <w:r>
        <w:rPr>
          <w:rFonts w:hint="eastAsia" w:ascii="仿宋_GB2312" w:hAnsi="宋体" w:eastAsia="仿宋_GB2312"/>
          <w:b/>
          <w:color w:val="auto"/>
          <w:sz w:val="28"/>
          <w:szCs w:val="28"/>
          <w:highlight w:val="none"/>
        </w:rPr>
        <w:t>。</w:t>
      </w:r>
    </w:p>
    <w:p w14:paraId="27EAEE4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lang w:val="zh-CN"/>
        </w:rPr>
        <w:t>采购人和</w:t>
      </w:r>
      <w:r>
        <w:rPr>
          <w:rFonts w:ascii="仿宋_GB2312" w:hAnsi="仿宋" w:eastAsia="仿宋_GB2312" w:cs="宋体"/>
          <w:color w:val="auto"/>
          <w:sz w:val="28"/>
          <w:szCs w:val="28"/>
          <w:highlight w:val="none"/>
          <w:lang w:val="zh-CN"/>
        </w:rPr>
        <w:t>采购代理机构</w:t>
      </w:r>
      <w:r>
        <w:rPr>
          <w:rFonts w:hint="eastAsia" w:ascii="仿宋_GB2312" w:hAnsi="仿宋" w:eastAsia="仿宋_GB2312" w:cs="宋体"/>
          <w:color w:val="auto"/>
          <w:sz w:val="28"/>
          <w:szCs w:val="28"/>
          <w:highlight w:val="none"/>
          <w:lang w:val="zh-CN"/>
        </w:rPr>
        <w:t>有权按本须知的规定，延迟报价截止时间。在此情况下，采购人、</w:t>
      </w:r>
      <w:r>
        <w:rPr>
          <w:rFonts w:ascii="仿宋_GB2312" w:hAnsi="仿宋" w:eastAsia="仿宋_GB2312" w:cs="宋体"/>
          <w:color w:val="auto"/>
          <w:sz w:val="28"/>
          <w:szCs w:val="28"/>
          <w:highlight w:val="none"/>
          <w:lang w:val="zh-CN"/>
        </w:rPr>
        <w:t>采购代理机构</w:t>
      </w:r>
      <w:r>
        <w:rPr>
          <w:rFonts w:hint="eastAsia" w:ascii="仿宋_GB2312" w:hAnsi="仿宋" w:eastAsia="仿宋_GB2312" w:cs="宋体"/>
          <w:color w:val="auto"/>
          <w:sz w:val="28"/>
          <w:szCs w:val="28"/>
          <w:highlight w:val="none"/>
          <w:lang w:val="zh-CN"/>
        </w:rPr>
        <w:t>和供应商受报价截止时间制约的所有权利和义务均应延长至新的截止时间。</w:t>
      </w:r>
    </w:p>
    <w:p w14:paraId="6B006BB3">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23.迟交的响应文件</w:t>
      </w:r>
    </w:p>
    <w:p w14:paraId="623A796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威海市政府采购电子交易系统无法接收响应截止期后递交的响应文件。</w:t>
      </w:r>
    </w:p>
    <w:p w14:paraId="4C2240BB">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24.样品递交</w:t>
      </w:r>
      <w:r>
        <w:rPr>
          <w:rFonts w:ascii="楷体_GB2312" w:hAnsi="宋体" w:eastAsia="楷体_GB2312"/>
          <w:b/>
          <w:color w:val="auto"/>
          <w:sz w:val="28"/>
          <w:szCs w:val="28"/>
          <w:highlight w:val="none"/>
        </w:rPr>
        <w:t>/</w:t>
      </w:r>
      <w:r>
        <w:rPr>
          <w:rFonts w:hint="eastAsia" w:ascii="楷体_GB2312" w:hAnsi="宋体" w:eastAsia="楷体_GB2312"/>
          <w:b/>
          <w:color w:val="auto"/>
          <w:sz w:val="28"/>
          <w:szCs w:val="28"/>
          <w:highlight w:val="none"/>
        </w:rPr>
        <w:t>演示</w:t>
      </w:r>
    </w:p>
    <w:p w14:paraId="3C298B3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24.1采购人可以要求供应商对其提供的信息化、自动化等相关类别服务进行演示。</w:t>
      </w:r>
      <w:r>
        <w:rPr>
          <w:rFonts w:hint="eastAsia" w:ascii="仿宋_GB2312" w:hAnsi="仿宋" w:eastAsia="仿宋_GB2312" w:cs="宋体"/>
          <w:color w:val="auto"/>
          <w:sz w:val="28"/>
          <w:szCs w:val="28"/>
          <w:highlight w:val="none"/>
        </w:rPr>
        <w:t>供应商可以到现场演示，也可以使用系统“网上评标”中的“谈判”功能与评审专家进行远程演示。</w:t>
      </w:r>
    </w:p>
    <w:p w14:paraId="5A0CCC8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24.2若服务项目涉及货物时，采购人可以要求供应商提供样品，样品作为响应文件的一部分。未成交供应商提供的样品将于评审结束后退还。成交供应商的样品由采购人保留，作为验收的依据。</w:t>
      </w:r>
    </w:p>
    <w:p w14:paraId="5C53BE37">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是否要求供应商提供演示/提交样品，详见磋商文件</w:t>
      </w:r>
      <w:r>
        <w:rPr>
          <w:rFonts w:hint="eastAsia" w:ascii="仿宋_GB2312" w:hAnsi="宋体" w:eastAsia="仿宋_GB2312"/>
          <w:b/>
          <w:color w:val="auto"/>
          <w:sz w:val="28"/>
          <w:szCs w:val="28"/>
          <w:highlight w:val="none"/>
          <w:u w:val="single"/>
        </w:rPr>
        <w:t>响应须知前附表</w:t>
      </w:r>
      <w:r>
        <w:rPr>
          <w:rFonts w:hint="eastAsia" w:ascii="仿宋_GB2312" w:hAnsi="宋体" w:eastAsia="仿宋_GB2312"/>
          <w:b/>
          <w:color w:val="auto"/>
          <w:sz w:val="28"/>
          <w:szCs w:val="28"/>
          <w:highlight w:val="none"/>
        </w:rPr>
        <w:t>规定。</w:t>
      </w:r>
    </w:p>
    <w:p w14:paraId="6923792D">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25.响应文件的修改和撤回</w:t>
      </w:r>
    </w:p>
    <w:p w14:paraId="31D7117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25.1供应商必须在规定的磋商截止期之前将修改的响应文件上传到威海市政府采购电子交易系统,在磋商截止期之后，供应商不得对其响应文件做任何修改。</w:t>
      </w:r>
    </w:p>
    <w:p w14:paraId="24CD0C3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25.2供应商在递交响应文件后，可以在磋商截止期之前撤回其响应。</w:t>
      </w:r>
    </w:p>
    <w:p w14:paraId="707A361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25.3从磋商截止期至磋商有效期这段时间内，供应商不得撤回其响应文件。</w:t>
      </w:r>
    </w:p>
    <w:p w14:paraId="5E5CFADC">
      <w:pPr>
        <w:pStyle w:val="4"/>
        <w:ind w:firstLine="643"/>
        <w:rPr>
          <w:color w:val="auto"/>
          <w:highlight w:val="none"/>
        </w:rPr>
      </w:pPr>
      <w:r>
        <w:rPr>
          <w:rFonts w:hint="eastAsia"/>
          <w:color w:val="auto"/>
          <w:highlight w:val="none"/>
        </w:rPr>
        <w:t>五、响应文件解密与磋商</w:t>
      </w:r>
    </w:p>
    <w:p w14:paraId="207F62DB">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26.响应文件解密</w:t>
      </w:r>
    </w:p>
    <w:p w14:paraId="1C10DD9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26.1响应文件递交截止时间后，提交响应文件的供应商不足3家的不得解密。</w:t>
      </w:r>
    </w:p>
    <w:p w14:paraId="4612537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26.2</w:t>
      </w:r>
      <w:r>
        <w:rPr>
          <w:rFonts w:hint="eastAsia" w:ascii="仿宋_GB2312" w:hAnsi="宋体" w:eastAsia="仿宋_GB2312"/>
          <w:color w:val="auto"/>
          <w:sz w:val="28"/>
          <w:szCs w:val="28"/>
          <w:highlight w:val="none"/>
        </w:rPr>
        <w:t>采购代理机构</w:t>
      </w:r>
      <w:r>
        <w:rPr>
          <w:rFonts w:hint="eastAsia" w:ascii="仿宋_GB2312" w:hAnsi="仿宋" w:eastAsia="仿宋_GB2312" w:cs="宋体"/>
          <w:color w:val="auto"/>
          <w:sz w:val="28"/>
          <w:szCs w:val="28"/>
          <w:highlight w:val="none"/>
        </w:rPr>
        <w:t>在响应须知前附表规定的时间和地点组织解密。拟到现场参与解密、磋商等环节的供应商须携带CA锁和笔记本电脑，以便进行解密、磋商等操作。拟不到现场参与解密、磋商等环节的供应商需提前准备已配置好环境的电脑,在规定的时间进行远程解密、磋商等各项操作。</w:t>
      </w:r>
    </w:p>
    <w:p w14:paraId="0745B95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26.3供应商代表应于响应文件递交截止时间前，完成签到以证明其出席，除因应急情况外，未在采购文件规定的解密时间内解密的视为放弃响应。</w:t>
      </w:r>
    </w:p>
    <w:p w14:paraId="61E9CD3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26.4</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规定了文件解密时间，供应商输入密码错误（5次输入机会）、未能按时完成解密、其《数据文件》填写、盖章不规范等导致系统无法解析的，将会被视为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328F1D4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26.5供应商代表认为采购人、采购代理机构相关工作人员有需要回避的情形的，应当场提出询问或者回避申请。采购人、采购代理机构对供应商代表提出的询问或者回避申请应当及时处理。</w:t>
      </w:r>
    </w:p>
    <w:p w14:paraId="54E799F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26.6录音、录像：威海市公共资源交易中心乳山分中心负责从递交响应文件开始到确定成交结果全过程的录音、录像工作，确保声音清楚、图像清晰、内容无遗漏。</w:t>
      </w:r>
    </w:p>
    <w:p w14:paraId="429B173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26.7报价过程中，如遇特殊情况，服从威海市公共资源交易中心乳山分中心场地调配，并遵守相关规章制度。</w:t>
      </w:r>
    </w:p>
    <w:p w14:paraId="0CDEFFF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26.8对响应文件报价出现前后不一致的，按以下规定修正：</w:t>
      </w:r>
    </w:p>
    <w:p w14:paraId="7EB27F2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（1）“投标（报价）一览表”的报价与“报价明细表”的报价不一致的，以“投标（报价）一览表”的报价为准；</w:t>
      </w:r>
    </w:p>
    <w:p w14:paraId="744127E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（2）大写金额和小写金额不一致的，以大写金额为准；</w:t>
      </w:r>
    </w:p>
    <w:p w14:paraId="005EE3B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（3）单价金额小数点或者百分比有明显错位的，以投标（报价）一览表的总价为准，并修改单价。</w:t>
      </w:r>
    </w:p>
    <w:p w14:paraId="2F9F7B1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（4）总价金额与按单价汇总金额不一致的，以单价金额计算结果为准。</w:t>
      </w:r>
    </w:p>
    <w:p w14:paraId="3CC9088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（5）同时出现两种以上不一致的，按照前款规定的顺序修正。修正后的报价经供应商确认后产生约束力，供应商不确认的，其响应无效。</w:t>
      </w:r>
    </w:p>
    <w:p w14:paraId="022C5C86">
      <w:pPr>
        <w:snapToGrid w:val="0"/>
        <w:spacing w:line="560" w:lineRule="exact"/>
        <w:ind w:firstLine="565" w:firstLineChars="201"/>
        <w:rPr>
          <w:rFonts w:ascii="仿宋_GB2312" w:hAnsi="宋体" w:eastAsia="仿宋_GB2312"/>
          <w:color w:val="auto"/>
          <w:sz w:val="28"/>
          <w:szCs w:val="28"/>
          <w:highlight w:val="none"/>
        </w:rPr>
      </w:pPr>
      <w:r>
        <w:rPr>
          <w:rFonts w:hint="eastAsia" w:ascii="仿宋_GB2312" w:hAnsi="仿宋" w:eastAsia="仿宋_GB2312" w:cs="宋体"/>
          <w:b/>
          <w:color w:val="auto"/>
          <w:sz w:val="28"/>
          <w:szCs w:val="28"/>
          <w:highlight w:val="none"/>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2C63AF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26.9应急报价程序</w:t>
      </w:r>
    </w:p>
    <w:p w14:paraId="60AD586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电子报价过程中如出现下列情况，导致系统无法正常运行，或者无法保证报价过程的公平、公正和信息安全时，经与行政监督部门沟通后可启动应急报价程序。</w:t>
      </w:r>
    </w:p>
    <w:p w14:paraId="49E118E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（1）系统服务器发生故障，无法访问或无法使用系统；</w:t>
      </w:r>
    </w:p>
    <w:p w14:paraId="7E5E487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（2）系统的软件或数据库出现错误，不能进行正常操作；</w:t>
      </w:r>
    </w:p>
    <w:p w14:paraId="6190784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（3）系统发现有安全漏洞，有潜在的泄密危险；</w:t>
      </w:r>
    </w:p>
    <w:p w14:paraId="388A967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（4）病毒发作或受到外来病毒的攻击；</w:t>
      </w:r>
    </w:p>
    <w:p w14:paraId="59DC866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（5）其他无法保证报价过程公平、公正和信息安全的情形。</w:t>
      </w:r>
    </w:p>
    <w:p w14:paraId="53FC97A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应急报价程序包括：</w:t>
      </w:r>
    </w:p>
    <w:p w14:paraId="6DD076F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（1）对</w:t>
      </w:r>
      <w:r>
        <w:rPr>
          <w:rFonts w:ascii="仿宋_GB2312" w:hAnsi="宋体" w:eastAsia="仿宋_GB2312"/>
          <w:color w:val="auto"/>
          <w:sz w:val="28"/>
          <w:szCs w:val="28"/>
          <w:highlight w:val="none"/>
        </w:rPr>
        <w:t>未在系统中</w:t>
      </w:r>
      <w:r>
        <w:rPr>
          <w:rFonts w:hint="eastAsia" w:ascii="仿宋_GB2312" w:hAnsi="宋体" w:eastAsia="仿宋_GB2312"/>
          <w:color w:val="auto"/>
          <w:sz w:val="28"/>
          <w:szCs w:val="28"/>
          <w:highlight w:val="none"/>
        </w:rPr>
        <w:t>报价</w:t>
      </w:r>
      <w:r>
        <w:rPr>
          <w:rFonts w:ascii="仿宋_GB2312" w:hAnsi="宋体" w:eastAsia="仿宋_GB2312"/>
          <w:color w:val="auto"/>
          <w:sz w:val="28"/>
          <w:szCs w:val="28"/>
          <w:highlight w:val="none"/>
        </w:rPr>
        <w:t>的可暂停</w:t>
      </w:r>
      <w:r>
        <w:rPr>
          <w:rFonts w:hint="eastAsia" w:ascii="仿宋_GB2312" w:hAnsi="宋体" w:eastAsia="仿宋_GB2312"/>
          <w:color w:val="auto"/>
          <w:sz w:val="28"/>
          <w:szCs w:val="28"/>
          <w:highlight w:val="none"/>
        </w:rPr>
        <w:t>报价；</w:t>
      </w:r>
    </w:p>
    <w:p w14:paraId="782D56C2">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（2）对已在系统中报价的应停止，等待系统恢复正常后再组织进行报价。</w:t>
      </w:r>
    </w:p>
    <w:p w14:paraId="67111CB5">
      <w:pPr>
        <w:snapToGrid w:val="0"/>
        <w:spacing w:line="560" w:lineRule="exact"/>
        <w:ind w:firstLine="562" w:firstLineChars="201"/>
        <w:rPr>
          <w:rFonts w:ascii="仿宋_GB2312" w:hAnsi="宋体" w:eastAsia="仿宋_GB2312"/>
          <w:b/>
          <w:color w:val="auto"/>
          <w:sz w:val="28"/>
          <w:szCs w:val="28"/>
          <w:highlight w:val="none"/>
        </w:rPr>
      </w:pPr>
      <w:r>
        <w:rPr>
          <w:rFonts w:hint="eastAsia" w:ascii="仿宋_GB2312" w:hAnsi="宋体" w:eastAsia="仿宋_GB2312"/>
          <w:color w:val="auto"/>
          <w:sz w:val="28"/>
          <w:szCs w:val="28"/>
          <w:highlight w:val="none"/>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hint="eastAsia" w:ascii="仿宋_GB2312" w:hAnsi="宋体" w:eastAsia="仿宋_GB2312"/>
          <w:b/>
          <w:color w:val="auto"/>
          <w:sz w:val="28"/>
          <w:szCs w:val="28"/>
          <w:highlight w:val="none"/>
        </w:rPr>
        <w:t>无效投标（响应）处理。</w:t>
      </w:r>
    </w:p>
    <w:p w14:paraId="1B4FBC6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5D5C77E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26.10应急报价电子邮件递交规定</w:t>
      </w:r>
    </w:p>
    <w:p w14:paraId="160FAAFD">
      <w:pPr>
        <w:snapToGrid w:val="0"/>
        <w:spacing w:line="560" w:lineRule="exact"/>
        <w:ind w:firstLine="562" w:firstLineChars="201"/>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接收电子邮箱：</w:t>
      </w:r>
      <w:r>
        <w:rPr>
          <w:rFonts w:hint="eastAsia" w:ascii="仿宋_GB2312" w:hAnsi="宋体" w:eastAsia="仿宋_GB2312"/>
          <w:color w:val="auto"/>
          <w:sz w:val="28"/>
          <w:szCs w:val="28"/>
          <w:highlight w:val="none"/>
          <w:lang w:eastAsia="zh-CN"/>
        </w:rPr>
        <w:t>rstprea@163.com</w:t>
      </w:r>
    </w:p>
    <w:p w14:paraId="5A78B20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递交时间：以电子邮件或电话通知的时间为准；</w:t>
      </w:r>
    </w:p>
    <w:p w14:paraId="23027C6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邮件数量：一封；</w:t>
      </w:r>
    </w:p>
    <w:p w14:paraId="1AEF4CD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邮件主题：项目编号、供应商名称；</w:t>
      </w:r>
    </w:p>
    <w:p w14:paraId="0DC955D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1384F6F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26.11启动电子邮件报价流程</w:t>
      </w:r>
    </w:p>
    <w:p w14:paraId="50EA8EA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工作人员电话通知所有供应商启动应急报价程序；</w:t>
      </w:r>
    </w:p>
    <w:p w14:paraId="30945BE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供应商收到通知后在规定时间内通过电子邮件递交响应文件（在非应急报价期间采购代理机构不接受、不处理任何通过电子邮件提交的响应文件）；</w:t>
      </w:r>
    </w:p>
    <w:p w14:paraId="6AD8877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递交截止时间到，工作人员开始下载响应文件，并邮件回复各供应商。</w:t>
      </w:r>
    </w:p>
    <w:p w14:paraId="6E5F35F6">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27.磋商小组的组成和评审方法</w:t>
      </w:r>
    </w:p>
    <w:p w14:paraId="1670EE6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27.1磋商工作由采购代理机构组织，具体评审事务由依法组建的磋商小组负责。磋商小组成员由评审专家（技术、法律等方面）3人以上单人组成，其中磋商小组的专家人数不得少于磋商小组成员总数的2/3。磋商小组的专家应当依法从山东省政府采购专家库中随机抽取产生。抽取的专家数量无法满足评审要求的，经同级人民政府财政部门核准可以采取选择性确定方式补足。情况特殊，通过随机方式难以确定合适的评审专家的项目，经财政部门同意，可以自行选定评审专家。</w:t>
      </w:r>
    </w:p>
    <w:p w14:paraId="7FD1502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27.2按照《政府采购法实施条例》第9条之规定，采购人员及相关人员与供应商有利害关系的应当回避。曾参与竞争性磋商项目征询意见或论证的专家，不得再作为评审专家参加评审。采购人不得以专家身份参与本项目的评审。采购人和采购代理机构工作人员离职或退休不满三年的，不能作为专家参加评审工作。</w:t>
      </w:r>
    </w:p>
    <w:p w14:paraId="35E2080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27.3磋商小组成员职责：</w:t>
      </w:r>
    </w:p>
    <w:p w14:paraId="33D5985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（1）评审前，磋商小组成员应当主动确认与供应商及其供应商是否有利害关系。如有利害关系应当主动回避，如无利害关系，应当在含有相关内容的《无利害关系声明》上签字；</w:t>
      </w:r>
    </w:p>
    <w:p w14:paraId="3B10D69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（2）按照竞争性磋商文件中的评审办法，对响应文件进行评审，并对评审结果承担责任；</w:t>
      </w:r>
    </w:p>
    <w:p w14:paraId="78BF729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（3）对评审过程和结果，以及供应商的商业秘密进行保密；</w:t>
      </w:r>
    </w:p>
    <w:p w14:paraId="3072234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（4）在磋商小组集体起草的评审报告上签字；</w:t>
      </w:r>
    </w:p>
    <w:p w14:paraId="55172EA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（5）配合采购代理机构答复供应商质疑；</w:t>
      </w:r>
    </w:p>
    <w:p w14:paraId="3C83D2D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（6）配合财政部门处理供应商投诉；</w:t>
      </w:r>
    </w:p>
    <w:p w14:paraId="64860C1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（7）向财政部门反映评审工作中的问题，提出意见和建议。</w:t>
      </w:r>
    </w:p>
    <w:p w14:paraId="0D1847D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27.4磋商小组集体职责：</w:t>
      </w:r>
    </w:p>
    <w:p w14:paraId="7631086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按照各成员评审意见推荐成交候选人，起草评审报告。对评审结论持有异议的磋商小组成员可以书面方式阐述其不同意见和理由。磋商小组成员拒绝在评审报告上签字且不陈述其不同意见和理由的，视为同意评审结论。磋商小组应当对此做出书面说明并记录在案；</w:t>
      </w:r>
    </w:p>
    <w:p w14:paraId="76ACC56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（2）配合采购人和采购代理机构答复供应商的质疑；</w:t>
      </w:r>
    </w:p>
    <w:p w14:paraId="203D736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（3）配合财政部门做好投诉处理工作；</w:t>
      </w:r>
    </w:p>
    <w:p w14:paraId="28265AE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（4）必要时，向供应商解释评审结果；</w:t>
      </w:r>
    </w:p>
    <w:p w14:paraId="77E922E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（5）向财政部门或者有关部门报告非法干预评审工作的行为。</w:t>
      </w:r>
    </w:p>
    <w:p w14:paraId="7FBF5B6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27.5采购代理机构或采购人的职责：</w:t>
      </w:r>
    </w:p>
    <w:p w14:paraId="536F328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（1）核对磋商小组专家身份和采购人代表授权函，对磋商小组专家在政府采购活动中的职责履行情况予以记录，并及时将有关违法违规行为向财政部门报告；</w:t>
      </w:r>
    </w:p>
    <w:p w14:paraId="3337E84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（2）宣布评审纪律；</w:t>
      </w:r>
    </w:p>
    <w:p w14:paraId="47254DE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（3）公布供应商名单，告知磋商小组专家应当回避的情形；</w:t>
      </w:r>
    </w:p>
    <w:p w14:paraId="795DC90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（4）在评审期间采取必要的通讯管理措施，保证评审活动不受外界干扰；</w:t>
      </w:r>
    </w:p>
    <w:p w14:paraId="282E429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（5）根据磋商小组的要求介绍政府采购相关政策法规、磋商文件；</w:t>
      </w:r>
    </w:p>
    <w:p w14:paraId="69D89D2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（6）维护评审秩序，监督磋商小组依照磋商文件规定的磋商程序、方法和标准进行独立评审，及时制止和纠正采购人代表、评审专家的倾向性言论或者违法违规行为；</w:t>
      </w:r>
    </w:p>
    <w:p w14:paraId="3EC21DC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（7）核对评审结果，有财政部令第87号第六十四条规定的，要求磋商小组复核或者书面说明理由，磋商小组拒绝的，应予记录并向财政部门报告；</w:t>
      </w:r>
    </w:p>
    <w:p w14:paraId="57205C5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（8）评审工作完成后，按照规定向评审专家支付劳务报酬和异地评审差旅费，不得向评审专家以外的其他人员支付评审劳务报酬；</w:t>
      </w:r>
    </w:p>
    <w:p w14:paraId="6D97F71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（9）处理与评审有关的其他事项。</w:t>
      </w:r>
    </w:p>
    <w:p w14:paraId="45162C9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采购人可以在评审前说明项目背景和采购需求，说明内容不得含有歧视性、倾向性意见，不得超出磋商文件所述范围。说明应当提交书面材料，并随采购文件一并存档。</w:t>
      </w:r>
    </w:p>
    <w:p w14:paraId="46A3502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27.6磋商小组采用集中办公、封闭方式进行评审。磋商前，采购代理机构工作人员向磋商小组成员宣布评审纪律和工作规则。磋商小组成员签署《无利害关系声明表》，并遵照执行。</w:t>
      </w:r>
    </w:p>
    <w:p w14:paraId="40363C1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27.7磋商小组成员对与自己有利害关系的评审项目应当主动提出回避。</w:t>
      </w:r>
    </w:p>
    <w:p w14:paraId="410AB14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27.8磋商小组将按照竞争性磋商文件确定的评审方法进行评审。磋商小组对响应文件的评审内容分为资格性审查、符合性审查、商务评议、技术评议和价格评议。</w:t>
      </w:r>
    </w:p>
    <w:p w14:paraId="0D9994C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27.9磋商小组独立履行下列职责：</w:t>
      </w:r>
    </w:p>
    <w:p w14:paraId="27D25CC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（1）审查、评价响应文件是否符合磋商文件的商务、技术等实质性要求；</w:t>
      </w:r>
    </w:p>
    <w:p w14:paraId="201503A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（2）要求供应商对响应文件有关事项做出澄清或者说明；</w:t>
      </w:r>
    </w:p>
    <w:p w14:paraId="0C785DB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（3）对响应文件进行比较和评价；</w:t>
      </w:r>
    </w:p>
    <w:p w14:paraId="69F1BB4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（4）确定成交候选人名单，以及根据采购人委托直接确定成交供应商；</w:t>
      </w:r>
    </w:p>
    <w:p w14:paraId="4B41800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（5）向采购人、采购代理机构或者有关部门报告评审中发现的违法行为。</w:t>
      </w:r>
    </w:p>
    <w:p w14:paraId="60B83F4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27.10评审中因磋商小组成员缺席、回避或者健康等特殊原因导致磋商小组组成不符合本办法规定的，采购代理机构应当依法补足后继续评审。被更换的磋商小组成员所做出的评审意见无效。</w:t>
      </w:r>
    </w:p>
    <w:p w14:paraId="1BCB112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无法及时补足磋商小组成员的，采购代理机构应当停止评审活动，封存所有响应文件和报价、评审资料，依法重新组建磋商小组进行评审。原磋商小组做出的评审意见无效。</w:t>
      </w:r>
    </w:p>
    <w:p w14:paraId="17DBA24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采购代理机构应当将变更、重新组建磋商小组的情况予以记录，并随采购文件一并存档。</w:t>
      </w:r>
    </w:p>
    <w:p w14:paraId="7F9E90BD">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28.磋商步骤</w:t>
      </w:r>
    </w:p>
    <w:p w14:paraId="7490C2A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28.1</w:t>
      </w:r>
      <w:r>
        <w:rPr>
          <w:rFonts w:hint="eastAsia" w:ascii="仿宋_GB2312" w:hAnsi="仿宋" w:eastAsia="仿宋_GB2312" w:cs="宋体"/>
          <w:color w:val="auto"/>
          <w:sz w:val="28"/>
          <w:szCs w:val="28"/>
          <w:highlight w:val="none"/>
        </w:rPr>
        <w:t>资格性审查。</w:t>
      </w:r>
      <w:r>
        <w:rPr>
          <w:rFonts w:hint="eastAsia" w:ascii="仿宋_GB2312" w:hAnsi="宋体" w:eastAsia="仿宋_GB2312"/>
          <w:color w:val="auto"/>
          <w:sz w:val="28"/>
          <w:szCs w:val="28"/>
          <w:highlight w:val="none"/>
        </w:rPr>
        <w:t>依据竞争性磋商文件规定在采购项目报价结束后, 磋商小组应当依照有关法律和磋商文件的规定对供应商的资格性审查。</w:t>
      </w:r>
      <w:r>
        <w:rPr>
          <w:rFonts w:hint="eastAsia" w:ascii="仿宋_GB2312" w:hAnsi="仿宋" w:eastAsia="仿宋_GB2312" w:cs="宋体"/>
          <w:b/>
          <w:color w:val="auto"/>
          <w:sz w:val="28"/>
          <w:szCs w:val="28"/>
          <w:highlight w:val="none"/>
        </w:rPr>
        <w:t>具体内容详见《响应须知》-《实质性条款一览表》中资格性审查条件。</w:t>
      </w:r>
      <w:r>
        <w:rPr>
          <w:rFonts w:hint="eastAsia" w:ascii="仿宋_GB2312" w:hAnsi="宋体" w:eastAsia="仿宋_GB2312"/>
          <w:color w:val="auto"/>
          <w:sz w:val="28"/>
          <w:szCs w:val="28"/>
          <w:highlight w:val="none"/>
        </w:rPr>
        <w:t>合格供应商不足3家的，不得评审。在资格性检查时,如有下列情况之一的，经磋商小组认定，视为非实质性响应，为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591BE11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（1）单位负责人为同一人或者存在直接控股、管理关系的不同供应商的；</w:t>
      </w:r>
    </w:p>
    <w:p w14:paraId="707C2AD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（2）为采购项目提供整体设计、规范编制或者项目管理、监理、检测等服务的；</w:t>
      </w:r>
    </w:p>
    <w:p w14:paraId="0B28870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（3）供应商和响应货物资格证明文件不满足磋商文件要求和过期失效的。</w:t>
      </w:r>
    </w:p>
    <w:p w14:paraId="2B67F0D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28.1.1按照《关于做好政府采购信用信息查询使用及登记工作的通知》（鲁财采[2016]34号）的要求，采购人（</w:t>
      </w:r>
      <w:r>
        <w:rPr>
          <w:rFonts w:hint="eastAsia" w:ascii="仿宋_GB2312" w:hAnsi="宋体" w:eastAsia="仿宋_GB2312"/>
          <w:color w:val="auto"/>
          <w:sz w:val="28"/>
          <w:szCs w:val="28"/>
          <w:highlight w:val="none"/>
        </w:rPr>
        <w:t>采购代理机构</w:t>
      </w:r>
      <w:r>
        <w:rPr>
          <w:rFonts w:hint="eastAsia" w:ascii="仿宋_GB2312" w:hAnsi="仿宋" w:eastAsia="仿宋_GB2312" w:cs="宋体"/>
          <w:color w:val="auto"/>
          <w:sz w:val="28"/>
          <w:szCs w:val="28"/>
          <w:highlight w:val="none"/>
        </w:rPr>
        <w:t>）在报价当日查询“信用中国”网站（www.creditchina.gov.cn）、中国政府采购网（www.ccgp.gov.cn）、“信用山东”网站（</w:t>
      </w:r>
      <w:r>
        <w:rPr>
          <w:rFonts w:ascii="仿宋_GB2312" w:hAnsi="仿宋" w:eastAsia="仿宋_GB2312" w:cs="宋体"/>
          <w:color w:val="auto"/>
          <w:sz w:val="28"/>
          <w:szCs w:val="28"/>
          <w:highlight w:val="none"/>
        </w:rPr>
        <w:t>credit.shandong.gov.cn</w:t>
      </w:r>
      <w:r>
        <w:rPr>
          <w:rFonts w:hint="eastAsia" w:ascii="仿宋_GB2312" w:hAnsi="仿宋" w:eastAsia="仿宋_GB2312" w:cs="宋体"/>
          <w:color w:val="auto"/>
          <w:sz w:val="28"/>
          <w:szCs w:val="28"/>
          <w:highlight w:val="none"/>
        </w:rPr>
        <w:t>）中的登记信息，对查询结果中涉及已列入失信被执行人、重大税收违法案件当事人名单、政府采购严重违法失信行为记录名单及其他不符合《中华人民共和国政府采购法》第二十二条规定条件的供应商，将拒绝其继续参与政府采购活动。以联合体形式参加报价的，联合体任何成员存在以上不良信用记录的，联合体响应将被认定为响应无效。</w:t>
      </w:r>
    </w:p>
    <w:p w14:paraId="1488281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28.1.2采购人或采购代理机构将信用记录查询情况签字并存档备查。供应商信用记录情况以采购人或采购代理机构查询结果为准。供应商自行提供的与网站信息不一致的其他证明材料亦不作为资格审查的依据。</w:t>
      </w:r>
    </w:p>
    <w:p w14:paraId="4E099310">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28.1.3在本磋商文件规定的查询时间之后，网站信息发生的任何变更均不再作为评审依据。</w:t>
      </w:r>
    </w:p>
    <w:p w14:paraId="7FE7760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28.2符合性审查。依据竞争性磋商文件规定，从响应文件的有效性、完整性和对竞争性磋商文件的响应程度进行符合性审查，以确定是否对竞争性磋商文件的实质性要求做出响应。磋商小组决定其响应性只根据响应文件本身的内容，而不依据外部的证据。在符合性检查时,如有不满足</w:t>
      </w:r>
      <w:r>
        <w:rPr>
          <w:rFonts w:hint="eastAsia" w:ascii="仿宋_GB2312" w:hAnsi="宋体" w:eastAsia="仿宋_GB2312"/>
          <w:b/>
          <w:color w:val="auto"/>
          <w:sz w:val="28"/>
          <w:szCs w:val="28"/>
          <w:highlight w:val="none"/>
        </w:rPr>
        <w:t>《响应须知》-《实质性条款一览表》中符合性审查条件</w:t>
      </w:r>
      <w:r>
        <w:rPr>
          <w:rFonts w:hint="eastAsia" w:ascii="仿宋_GB2312" w:hAnsi="宋体" w:eastAsia="仿宋_GB2312"/>
          <w:color w:val="auto"/>
          <w:sz w:val="28"/>
          <w:szCs w:val="28"/>
          <w:highlight w:val="none"/>
        </w:rPr>
        <w:t>情况之一的，经磋商小组认定，视为非实质性响应，为</w:t>
      </w:r>
      <w:r>
        <w:rPr>
          <w:rFonts w:hint="eastAsia" w:ascii="仿宋_GB2312" w:hAnsi="宋体" w:eastAsia="仿宋_GB2312"/>
          <w:b/>
          <w:color w:val="auto"/>
          <w:sz w:val="28"/>
          <w:szCs w:val="28"/>
          <w:highlight w:val="none"/>
        </w:rPr>
        <w:t>无效投标（响应）</w:t>
      </w:r>
      <w:r>
        <w:rPr>
          <w:rFonts w:hint="eastAsia" w:ascii="仿宋_GB2312" w:hAnsi="宋体" w:eastAsia="仿宋_GB2312"/>
          <w:color w:val="auto"/>
          <w:sz w:val="28"/>
          <w:szCs w:val="28"/>
          <w:highlight w:val="none"/>
        </w:rPr>
        <w:t>。</w:t>
      </w:r>
    </w:p>
    <w:p w14:paraId="01F3042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28.3磋商小组所有成员集中与单一供应商分别进行磋商。不到现场的</w:t>
      </w:r>
      <w:r>
        <w:rPr>
          <w:rFonts w:hint="eastAsia" w:ascii="仿宋_GB2312" w:hAnsi="仿宋" w:eastAsia="仿宋_GB2312" w:cs="宋体"/>
          <w:color w:val="auto"/>
          <w:sz w:val="28"/>
          <w:szCs w:val="28"/>
          <w:highlight w:val="none"/>
        </w:rPr>
        <w:t>供应商可以使用系统“网上评标”中的“谈判”功能与评审专家进行远程谈判。</w:t>
      </w:r>
      <w:r>
        <w:rPr>
          <w:rFonts w:hint="eastAsia" w:ascii="仿宋_GB2312" w:hAnsi="宋体" w:eastAsia="仿宋_GB2312"/>
          <w:color w:val="auto"/>
          <w:sz w:val="28"/>
          <w:szCs w:val="28"/>
          <w:highlight w:val="none"/>
        </w:rPr>
        <w:t>在磋商过程中，磋商小组可以根据响应文件和响应情况实质性变动采购需求中的技术、服务要求以及合同草案条款，但不得变动响应文件中的其他内容。实质性变动的内容，须经采购人代表确认。</w:t>
      </w:r>
    </w:p>
    <w:p w14:paraId="631093F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对响应文件做出的实质性变动是响应文件的有效组成部分，磋商小组应当及时以书面形式同时通知所有参加磋商的供应商。</w:t>
      </w:r>
    </w:p>
    <w:p w14:paraId="6020503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应当按照响应文件的变动情况和磋商小组的要求重新提交响应文件，并由其法定代表人或其被授权人签字或者加盖公章。由被授权人签字的，应当附法定代表人授权书。供应商为自然人的，应当由本人签字并附身份证明。</w:t>
      </w:r>
    </w:p>
    <w:p w14:paraId="1A139178">
      <w:pPr>
        <w:snapToGrid w:val="0"/>
        <w:spacing w:line="560" w:lineRule="exact"/>
        <w:ind w:firstLine="562" w:firstLineChars="201"/>
        <w:rPr>
          <w:rFonts w:ascii="仿宋_GB2312" w:hAnsi="宋体" w:eastAsia="仿宋_GB2312"/>
          <w:color w:val="auto"/>
          <w:sz w:val="28"/>
          <w:szCs w:val="28"/>
          <w:highlight w:val="none"/>
        </w:rPr>
      </w:pPr>
      <w:r>
        <w:rPr>
          <w:rFonts w:ascii="仿宋_GB2312" w:hAnsi="宋体" w:eastAsia="仿宋_GB2312"/>
          <w:color w:val="auto"/>
          <w:sz w:val="28"/>
          <w:szCs w:val="28"/>
          <w:highlight w:val="none"/>
        </w:rPr>
        <w:t>经磋商小组集体审核通过，未实质性响应磋商文件的响应文件按无效</w:t>
      </w:r>
      <w:r>
        <w:rPr>
          <w:rFonts w:hint="eastAsia" w:ascii="仿宋_GB2312" w:hAnsi="仿宋" w:eastAsia="仿宋_GB2312" w:cs="宋体"/>
          <w:color w:val="auto"/>
          <w:sz w:val="28"/>
          <w:szCs w:val="28"/>
          <w:highlight w:val="none"/>
        </w:rPr>
        <w:t>投标（响应）</w:t>
      </w:r>
      <w:r>
        <w:rPr>
          <w:rFonts w:hint="eastAsia" w:ascii="仿宋_GB2312" w:hAnsi="宋体" w:eastAsia="仿宋_GB2312"/>
          <w:color w:val="auto"/>
          <w:sz w:val="28"/>
          <w:szCs w:val="28"/>
          <w:highlight w:val="none"/>
        </w:rPr>
        <w:t>处理，磋商小组应当告知提交响应文件的供应商，</w:t>
      </w:r>
      <w:r>
        <w:rPr>
          <w:rFonts w:ascii="仿宋_GB2312" w:hAnsi="宋体" w:eastAsia="仿宋_GB2312"/>
          <w:color w:val="auto"/>
          <w:sz w:val="28"/>
          <w:szCs w:val="28"/>
          <w:highlight w:val="none"/>
        </w:rPr>
        <w:t>说明其不符合要求的原因，由其法定代表人或授权代表签字确认，供应商代表拒不签字的，并不影响磋商小组所做出的结论。</w:t>
      </w:r>
    </w:p>
    <w:p w14:paraId="6295110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28.4经磋商小组经确定最终采购需求和实质性响应的供应商后，磋商小组应当要求所有实质性响应的供应商在规定时间内提交最后报价，由磋商小组采用综合评分法对提交最后报价的所有供应商的进行综合评分。</w:t>
      </w:r>
    </w:p>
    <w:p w14:paraId="15C642B8">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29.响应文件的澄清</w:t>
      </w:r>
    </w:p>
    <w:p w14:paraId="3BF2B26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29.1磋商小组有权向供应商询标，对于响应文件中含义不明确、同类问题表述不一致或者有明显文字和计算错误的内容，磋商小组应当以书面形式要求供应商做出必要的澄清、说明或者补正。请供应商澄清其响应内容，供应商法定代表人或其授权人必须接受磋商小组的询标，未在磋商小组规定的时间内，对重大关键问题进行答疑和澄清的供应商，经磋商小组确认可视为供应商放弃响应。</w:t>
      </w:r>
    </w:p>
    <w:p w14:paraId="59EE183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18247B8">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30.响应文件的评价</w:t>
      </w:r>
    </w:p>
    <w:p w14:paraId="720353DF">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30.1 评审采用百分制。磋商小组各成员分别独立对实质上响应响应文件的供应商进行逐项评价打分，对磋商小组各成员每一因素的打分汇总后的得分为供应商的得分。</w:t>
      </w:r>
    </w:p>
    <w:p w14:paraId="6094F70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30.2 响应文件内容违反国家有关强制性规定的，磋商小组应当停止评审并向采购人或者采购代理机构说明情况。</w:t>
      </w:r>
    </w:p>
    <w:p w14:paraId="0C01003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30.3 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281DA6B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30.4磋商小组对确定为实质上响应磋商文件的响应文件进行政策功能评价，如涉及以下内容，具体标准为：</w:t>
      </w:r>
    </w:p>
    <w:p w14:paraId="5FF0F74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①所报产品属于《关于调整优化节能产品、环境标志产品政府采购执行机制的通知》（财库〔2019〕9号）规定的政府优先采购范围的，投标（响应）文件中需提供国家确定的认证机构出具的、处于有效期之内的节能产品、环境标志产品认证证书扫描件。采用综合评分法的项目在打分时由评委根据各供应商所报节能、环保产品的报价在其总报价中所占的比重，分别给予报价和技术部分总分值×（节能、环保产品报价/总报价）×5％的加分。所报产品属于《节能产品政府采购品目清单》中规定的政府强制采购节能品目的，不给予优惠政策的加分/价格扣除。</w:t>
      </w:r>
    </w:p>
    <w:p w14:paraId="04639223">
      <w:pPr>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②</w:t>
      </w:r>
      <w:r>
        <w:rPr>
          <w:rFonts w:ascii="仿宋_GB2312" w:hAnsi="宋体" w:eastAsia="仿宋_GB2312"/>
          <w:color w:val="auto"/>
          <w:sz w:val="28"/>
          <w:szCs w:val="28"/>
          <w:highlight w:val="none"/>
        </w:rPr>
        <w:t>本项目为专门面向中小企业采购项目，供应商提供的货物、工程或服务需满足财政部、工信部等部委发布的《关于印发&lt;政府采购促进中小企业发展管理办法&gt;的通知》（财库〔2020〕46号）中关于中小企业的规定。</w:t>
      </w:r>
    </w:p>
    <w:p w14:paraId="69F7131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③</w:t>
      </w:r>
      <w:r>
        <w:rPr>
          <w:rFonts w:ascii="仿宋_GB2312" w:hAnsi="宋体" w:eastAsia="仿宋_GB2312"/>
          <w:color w:val="auto"/>
          <w:sz w:val="28"/>
          <w:szCs w:val="28"/>
          <w:highlight w:val="none"/>
        </w:rPr>
        <w:t>若投标人为监狱企业，根据财政部、司法部发布的《关于政府采购支持监狱企业发展有关问题的通知》（财库〔2014〕68号）的规定，在政府采购活动中，视同小型、微型企业。投标时须提供省级以上监狱管理局、戒毒管理局（含新疆生产建设兵团）出具的属于监狱企业的证明文件，否则不享受相关政策。</w:t>
      </w:r>
    </w:p>
    <w:p w14:paraId="32591603">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④</w:t>
      </w:r>
      <w:r>
        <w:rPr>
          <w:rFonts w:ascii="仿宋_GB2312" w:hAnsi="仿宋" w:eastAsia="仿宋_GB2312" w:cs="宋体"/>
          <w:color w:val="auto"/>
          <w:sz w:val="28"/>
          <w:szCs w:val="28"/>
          <w:highlight w:val="none"/>
        </w:rPr>
        <w:t>若投标人为残疾人福利性单位，在政府采购活动中，视同小型、微型企业，投标时残疾人福利性单位需符合《财政部民政部中国残疾人联合会关于促进残疾人就业政府采购政策的通知》（财库〔2017〕141号）规定的条件，并提供《残疾人福利性单位声明函》，否则不享受相关政策。</w:t>
      </w:r>
    </w:p>
    <w:p w14:paraId="23D9B64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30.5供应商有下列情形之一的，视为供应商串通响应，其</w:t>
      </w:r>
      <w:r>
        <w:rPr>
          <w:rFonts w:hint="eastAsia" w:ascii="仿宋_GB2312" w:hAnsi="宋体" w:eastAsia="仿宋_GB2312"/>
          <w:b/>
          <w:color w:val="auto"/>
          <w:sz w:val="28"/>
          <w:szCs w:val="28"/>
          <w:highlight w:val="none"/>
        </w:rPr>
        <w:t>响应无效</w:t>
      </w:r>
      <w:r>
        <w:rPr>
          <w:rFonts w:hint="eastAsia" w:ascii="仿宋_GB2312" w:hAnsi="宋体" w:eastAsia="仿宋_GB2312"/>
          <w:color w:val="auto"/>
          <w:sz w:val="28"/>
          <w:szCs w:val="28"/>
          <w:highlight w:val="none"/>
        </w:rPr>
        <w:t>：</w:t>
      </w:r>
    </w:p>
    <w:p w14:paraId="07134A1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（1）不同供应商的响应文件由同一单位或者个人编制；</w:t>
      </w:r>
    </w:p>
    <w:p w14:paraId="560B6B8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（2）不同供应商委托同一单位或者个人办理响应事宜；</w:t>
      </w:r>
    </w:p>
    <w:p w14:paraId="132B5B0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（3）不同供应商的响应文件载明的项目管理成员或者联系人员为同一人；</w:t>
      </w:r>
    </w:p>
    <w:p w14:paraId="30893E4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（4）不同供应商的响应文件异常一致或者响应报价呈规律性差异；</w:t>
      </w:r>
    </w:p>
    <w:p w14:paraId="54109FBA">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（5）不同供应商的响应文件相互混装；</w:t>
      </w:r>
    </w:p>
    <w:p w14:paraId="71A8EA9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（6）不同供应商的磋商保证金从同一单位或者个人的账户转出。</w:t>
      </w:r>
    </w:p>
    <w:p w14:paraId="6FDCC918">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31.废标条款</w:t>
      </w:r>
    </w:p>
    <w:p w14:paraId="658E9EC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在竞争性磋商采购中，出现下列情形之一的，应予废标：</w:t>
      </w:r>
    </w:p>
    <w:p w14:paraId="71BB96B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（1）因情况变化，不再适合竞争性磋商采购方式适用情形的；</w:t>
      </w:r>
    </w:p>
    <w:p w14:paraId="1894A3E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（2）出现影响采购公正的违法、违规行为的；</w:t>
      </w:r>
    </w:p>
    <w:p w14:paraId="5481E46D">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（3）除《政府采购竞争性磋商采购方式管理暂行办法》第二十一条第三款规定的情形外，在采购过程中符合要求的供应商不足3家的。</w:t>
      </w:r>
    </w:p>
    <w:p w14:paraId="0E7ABC68">
      <w:pPr>
        <w:spacing w:line="560" w:lineRule="exact"/>
        <w:ind w:firstLine="565" w:firstLineChars="201"/>
        <w:rPr>
          <w:rFonts w:ascii="楷体_GB2312" w:hAnsi="仿宋" w:eastAsia="楷体_GB2312" w:cs="宋体"/>
          <w:b/>
          <w:color w:val="auto"/>
          <w:sz w:val="28"/>
          <w:szCs w:val="28"/>
          <w:highlight w:val="none"/>
        </w:rPr>
      </w:pPr>
      <w:r>
        <w:rPr>
          <w:rFonts w:hint="eastAsia" w:ascii="楷体_GB2312" w:hAnsi="仿宋" w:eastAsia="楷体_GB2312" w:cs="宋体"/>
          <w:b/>
          <w:color w:val="auto"/>
          <w:sz w:val="28"/>
          <w:szCs w:val="28"/>
          <w:highlight w:val="none"/>
        </w:rPr>
        <w:t>32.保密要求</w:t>
      </w:r>
    </w:p>
    <w:p w14:paraId="665353B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评审将在严格保密的情况下进行。有关人员</w:t>
      </w:r>
      <w:r>
        <w:rPr>
          <w:rFonts w:ascii="仿宋_GB2312" w:hAnsi="仿宋" w:eastAsia="仿宋_GB2312" w:cs="宋体"/>
          <w:color w:val="auto"/>
          <w:sz w:val="28"/>
          <w:szCs w:val="28"/>
          <w:highlight w:val="none"/>
        </w:rPr>
        <w:t>应当</w:t>
      </w:r>
      <w:r>
        <w:rPr>
          <w:rFonts w:hint="eastAsia" w:ascii="仿宋_GB2312" w:hAnsi="仿宋" w:eastAsia="仿宋_GB2312" w:cs="宋体"/>
          <w:color w:val="auto"/>
          <w:sz w:val="28"/>
          <w:szCs w:val="28"/>
          <w:highlight w:val="none"/>
        </w:rPr>
        <w:t>遵</w:t>
      </w:r>
      <w:r>
        <w:rPr>
          <w:rFonts w:ascii="仿宋_GB2312" w:hAnsi="仿宋" w:eastAsia="仿宋_GB2312" w:cs="宋体"/>
          <w:color w:val="auto"/>
          <w:sz w:val="28"/>
          <w:szCs w:val="28"/>
          <w:highlight w:val="none"/>
        </w:rPr>
        <w:t>守评审工作纪律，</w:t>
      </w:r>
      <w:r>
        <w:rPr>
          <w:rFonts w:hint="eastAsia" w:ascii="仿宋_GB2312" w:hAnsi="仿宋" w:eastAsia="仿宋_GB2312" w:cs="宋体"/>
          <w:b/>
          <w:color w:val="auto"/>
          <w:sz w:val="28"/>
          <w:szCs w:val="28"/>
          <w:highlight w:val="none"/>
        </w:rPr>
        <w:t>不得记录、复制或者带走任何评审资料</w:t>
      </w: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不得</w:t>
      </w:r>
      <w:r>
        <w:rPr>
          <w:rFonts w:hint="eastAsia" w:ascii="仿宋_GB2312" w:hAnsi="仿宋" w:eastAsia="仿宋_GB2312" w:cs="宋体"/>
          <w:color w:val="auto"/>
          <w:sz w:val="28"/>
          <w:szCs w:val="28"/>
          <w:highlight w:val="none"/>
        </w:rPr>
        <w:t>泄露</w:t>
      </w:r>
      <w:r>
        <w:rPr>
          <w:rFonts w:ascii="仿宋_GB2312" w:hAnsi="仿宋" w:eastAsia="仿宋_GB2312" w:cs="宋体"/>
          <w:color w:val="auto"/>
          <w:sz w:val="28"/>
          <w:szCs w:val="28"/>
          <w:highlight w:val="none"/>
        </w:rPr>
        <w:t>评审</w:t>
      </w:r>
      <w:r>
        <w:rPr>
          <w:rFonts w:hint="eastAsia" w:ascii="仿宋_GB2312" w:hAnsi="仿宋" w:eastAsia="仿宋_GB2312" w:cs="宋体"/>
          <w:color w:val="auto"/>
          <w:sz w:val="28"/>
          <w:szCs w:val="28"/>
          <w:highlight w:val="none"/>
        </w:rPr>
        <w:t>文件</w:t>
      </w:r>
      <w:r>
        <w:rPr>
          <w:rFonts w:ascii="仿宋_GB2312" w:hAnsi="仿宋" w:eastAsia="仿宋_GB2312" w:cs="宋体"/>
          <w:color w:val="auto"/>
          <w:sz w:val="28"/>
          <w:szCs w:val="28"/>
          <w:highlight w:val="none"/>
        </w:rPr>
        <w:t>、评审情况和评审中获悉的商业秘密。</w:t>
      </w:r>
    </w:p>
    <w:p w14:paraId="3B330B88">
      <w:pPr>
        <w:pStyle w:val="4"/>
        <w:ind w:firstLine="643"/>
        <w:rPr>
          <w:color w:val="auto"/>
          <w:highlight w:val="none"/>
        </w:rPr>
      </w:pPr>
      <w:r>
        <w:rPr>
          <w:rFonts w:hint="eastAsia"/>
          <w:color w:val="auto"/>
          <w:highlight w:val="none"/>
        </w:rPr>
        <w:t>六、成交</w:t>
      </w:r>
    </w:p>
    <w:p w14:paraId="502F049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磋商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606F9551">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3D8C897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应当在评审结束后2个工作日内将评审报告送采购人确认。采购人应当在收到评审报告后5个工作日内，从评审报告提出的成交候选供应商中，按照排序由高到低的原则确定成交供应商，也可以授权磋商小组直接确定成交供应商。采购人逾期未确定成交供应商且不提出异议的，视为确定评审报告提出的排序第一的供应商为成交供应商。</w:t>
      </w:r>
    </w:p>
    <w:p w14:paraId="4B2547B2">
      <w:pPr>
        <w:pStyle w:val="4"/>
        <w:ind w:firstLine="643"/>
        <w:rPr>
          <w:color w:val="auto"/>
          <w:highlight w:val="none"/>
        </w:rPr>
      </w:pPr>
      <w:r>
        <w:rPr>
          <w:rFonts w:hint="eastAsia"/>
          <w:color w:val="auto"/>
          <w:highlight w:val="none"/>
        </w:rPr>
        <w:t>七、公告</w:t>
      </w:r>
    </w:p>
    <w:p w14:paraId="35A13C4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采购代理机构自成交供应商确定之日起2个工作日内，在中国山东政府采购网、威海市公共资源交易网、</w:t>
      </w:r>
      <w:r>
        <w:rPr>
          <w:rFonts w:hint="eastAsia" w:ascii="仿宋_GB2312" w:hAnsi="宋体" w:eastAsia="仿宋_GB2312"/>
          <w:color w:val="auto"/>
          <w:sz w:val="28"/>
          <w:szCs w:val="28"/>
          <w:highlight w:val="none"/>
          <w:lang w:eastAsia="zh-CN"/>
        </w:rPr>
        <w:t>威海市公共资源交易网（乳山分中心）</w:t>
      </w:r>
      <w:r>
        <w:rPr>
          <w:rFonts w:hint="eastAsia" w:ascii="仿宋_GB2312" w:hAnsi="宋体" w:eastAsia="仿宋_GB2312"/>
          <w:color w:val="auto"/>
          <w:sz w:val="28"/>
          <w:szCs w:val="28"/>
          <w:highlight w:val="none"/>
        </w:rPr>
        <w:t>上公告成交结果。理机构的名称、地址和联系方式；</w:t>
      </w:r>
    </w:p>
    <w:p w14:paraId="75124F3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（2）项目名称和项目编号；</w:t>
      </w:r>
    </w:p>
    <w:p w14:paraId="233DB7B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（3）成交供应商名称、地址和成交金额；</w:t>
      </w:r>
    </w:p>
    <w:p w14:paraId="0ABEFC44">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（4）主要成交标的名称、规格型号、数量、单价、服务要求；</w:t>
      </w:r>
    </w:p>
    <w:p w14:paraId="0967EA6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（5）成交公告期限；</w:t>
      </w:r>
    </w:p>
    <w:p w14:paraId="5E4B498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（6）评审专家名单；</w:t>
      </w:r>
    </w:p>
    <w:p w14:paraId="3012AA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（7）供应商未中标的原因；</w:t>
      </w:r>
    </w:p>
    <w:p w14:paraId="5F7C478B">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（8）采用综合评分法评审的，还将告知未中标人本人的评审得分和排序。</w:t>
      </w:r>
    </w:p>
    <w:p w14:paraId="42927A5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应当在公告成交结果的同时，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915052D">
      <w:pPr>
        <w:pStyle w:val="4"/>
        <w:ind w:firstLine="643"/>
        <w:rPr>
          <w:color w:val="auto"/>
          <w:highlight w:val="none"/>
        </w:rPr>
      </w:pPr>
      <w:r>
        <w:rPr>
          <w:rFonts w:hint="eastAsia"/>
          <w:color w:val="auto"/>
          <w:highlight w:val="none"/>
        </w:rPr>
        <w:t>八、质疑</w:t>
      </w:r>
    </w:p>
    <w:p w14:paraId="76DFD963">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33.质疑</w:t>
      </w:r>
    </w:p>
    <w:p w14:paraId="07FA5D6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33.1 供应商对政府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7E6A8BC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33.2 供应商对采购需求有疑问的，应在采购需求公示期内向采购人提出询问，采购人应当在收到询问后3个工作日内做出答复。</w:t>
      </w:r>
    </w:p>
    <w:p w14:paraId="7AB7E8B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37F9232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33.4提出质疑的供应商应当是参与本项目采购活动的供应商。</w:t>
      </w:r>
    </w:p>
    <w:p w14:paraId="3C6FCA4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33.5 潜在供应商已依法获取其可质疑的采购文件的，可以对该文件提出质疑。对采购文件提出质疑的，应当在获取采购文件或者采购文件公告期限届满之日起7个工作日内提出。</w:t>
      </w:r>
    </w:p>
    <w:p w14:paraId="321E7B6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33.6供应商应在法定质疑期内一次性提出针对同一采购程序环节的质疑。</w:t>
      </w:r>
    </w:p>
    <w:p w14:paraId="03CCA7A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33.7 质疑采用实名制，为了使提出的质疑事项在规定时间内得到有效答复、处理，提交的质疑函务必提供以下内容。</w:t>
      </w:r>
    </w:p>
    <w:p w14:paraId="54D62FE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（1）供应商的姓名或名称、地址（邮箱）、邮编、联系人及联系电话；</w:t>
      </w:r>
    </w:p>
    <w:p w14:paraId="3BC8F342">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（2）质疑项目的名称、编号；</w:t>
      </w:r>
    </w:p>
    <w:p w14:paraId="596AA23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（3）具体、明确的质疑事项和与质疑事项相关的请求；</w:t>
      </w:r>
    </w:p>
    <w:p w14:paraId="3FDD2DA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（4）事实依据；</w:t>
      </w:r>
    </w:p>
    <w:p w14:paraId="78C0110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（5）必要的法律依据；</w:t>
      </w:r>
    </w:p>
    <w:p w14:paraId="77FE32A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（6）提出质疑的日期。</w:t>
      </w:r>
    </w:p>
    <w:p w14:paraId="192EFEA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供应商为自然人的，应当由本人签字；供应商为法人或者其他组织的，应当由法定代表人、主要负责人，或者其被授权人签字或者盖章，并加盖公章。</w:t>
      </w:r>
    </w:p>
    <w:p w14:paraId="5D9735E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33.8质疑函应当按照《政府采购供应商质疑函范本》格式填写后由法定代表人或被授权人递交到采购人或采购代理机构，受理方式</w:t>
      </w:r>
      <w:r>
        <w:rPr>
          <w:rFonts w:hint="eastAsia" w:ascii="仿宋_GB2312" w:hAnsi="仿宋" w:eastAsia="仿宋_GB2312" w:cs="宋体"/>
          <w:color w:val="auto"/>
          <w:sz w:val="28"/>
          <w:szCs w:val="28"/>
          <w:highlight w:val="none"/>
        </w:rPr>
        <w:t>见</w:t>
      </w:r>
      <w:r>
        <w:rPr>
          <w:rFonts w:hint="eastAsia" w:ascii="仿宋_GB2312" w:hAnsi="仿宋" w:eastAsia="仿宋_GB2312" w:cs="宋体"/>
          <w:color w:val="auto"/>
          <w:sz w:val="28"/>
          <w:szCs w:val="28"/>
          <w:highlight w:val="none"/>
          <w:u w:val="single"/>
        </w:rPr>
        <w:t>响应须知前附表。</w:t>
      </w:r>
      <w:r>
        <w:rPr>
          <w:rFonts w:hint="eastAsia" w:ascii="仿宋_GB2312" w:hAnsi="宋体" w:eastAsia="仿宋_GB2312"/>
          <w:color w:val="auto"/>
          <w:sz w:val="28"/>
          <w:szCs w:val="28"/>
          <w:highlight w:val="none"/>
        </w:rPr>
        <w:t>采购人或采购代理机构正式受理后方可生效。否则，为无效质疑。</w:t>
      </w:r>
    </w:p>
    <w:p w14:paraId="65643BE7">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33.9  有下列情况之一的质疑不予受理：</w:t>
      </w:r>
    </w:p>
    <w:p w14:paraId="04103FC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（1）无质疑函件或质疑函件缺少供应商法人印章、供应商法定代表人签字、有效授权书和联系方式之一的质疑；</w:t>
      </w:r>
    </w:p>
    <w:p w14:paraId="2CBCEC1C">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（2）质疑函件无实质性内容或佐证文件资料，主观臆断及推理得出结论的质疑；</w:t>
      </w:r>
    </w:p>
    <w:p w14:paraId="7015E46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（3）相应证明材料不真实或来源不合法的质疑；</w:t>
      </w:r>
    </w:p>
    <w:p w14:paraId="4DF387D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（4）未按规定时间或超过公示期提出的质疑；</w:t>
      </w:r>
    </w:p>
    <w:p w14:paraId="0DF8498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（5）其他不符合《政府采购质疑和投诉办法》（中国人民共和国财政部令第94号）的相关规定。</w:t>
      </w:r>
    </w:p>
    <w:p w14:paraId="6778370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33.10 对捏造事实，提供虚假材料或者以非法手段取得证明材料进行恶意质疑的，一经查实，将上报财政部门列入黑名单，并给以相应处罚。</w:t>
      </w:r>
    </w:p>
    <w:p w14:paraId="0468D5A8">
      <w:pPr>
        <w:pStyle w:val="4"/>
        <w:ind w:firstLine="643"/>
        <w:rPr>
          <w:color w:val="auto"/>
          <w:highlight w:val="none"/>
        </w:rPr>
      </w:pPr>
      <w:r>
        <w:rPr>
          <w:rFonts w:hint="eastAsia"/>
          <w:color w:val="auto"/>
          <w:highlight w:val="none"/>
        </w:rPr>
        <w:t>九、投诉</w:t>
      </w:r>
    </w:p>
    <w:p w14:paraId="52B7202E">
      <w:pPr>
        <w:snapToGrid w:val="0"/>
        <w:spacing w:line="560" w:lineRule="exact"/>
        <w:ind w:firstLine="565" w:firstLineChars="201"/>
        <w:rPr>
          <w:rFonts w:ascii="楷体_GB2312" w:hAnsi="宋体" w:eastAsia="楷体_GB2312"/>
          <w:b/>
          <w:color w:val="auto"/>
          <w:sz w:val="28"/>
          <w:szCs w:val="28"/>
          <w:highlight w:val="none"/>
        </w:rPr>
      </w:pPr>
      <w:r>
        <w:rPr>
          <w:rFonts w:hint="eastAsia" w:ascii="楷体_GB2312" w:hAnsi="宋体" w:eastAsia="楷体_GB2312"/>
          <w:b/>
          <w:color w:val="auto"/>
          <w:sz w:val="28"/>
          <w:szCs w:val="28"/>
          <w:highlight w:val="none"/>
        </w:rPr>
        <w:t>34.投诉</w:t>
      </w:r>
    </w:p>
    <w:p w14:paraId="63D045C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质疑供应商对答复不满意，或者采购人、代理机构未在规定的时间内做出书面答复的，可以在答复期满后15个工作日内向同级政府采购监督管理部门投诉。投诉程序按《政府采购法》、</w:t>
      </w:r>
      <w:r>
        <w:rPr>
          <w:rFonts w:hint="eastAsia" w:ascii="仿宋_GB2312" w:hAnsi="仿宋" w:eastAsia="仿宋_GB2312" w:cs="宋体"/>
          <w:color w:val="auto"/>
          <w:sz w:val="28"/>
          <w:szCs w:val="28"/>
          <w:highlight w:val="none"/>
        </w:rPr>
        <w:t>《政府采购质疑和投诉办法》</w:t>
      </w:r>
      <w:r>
        <w:rPr>
          <w:rFonts w:hint="eastAsia" w:ascii="仿宋_GB2312" w:hAnsi="宋体" w:eastAsia="仿宋_GB2312"/>
          <w:color w:val="auto"/>
          <w:sz w:val="28"/>
          <w:szCs w:val="28"/>
          <w:highlight w:val="none"/>
        </w:rPr>
        <w:t>等有关法律、法规和规定执行，但未经质疑，或者超过投诉有效期的，视为无效投诉。投诉人在全国范围12个月内三次以上投诉查无实据的，由财政部门列入不良行为记录名单，有捏造事实、提供虚假材料、以非法手段取得证明材料情况之一的，禁止1-3年内参加政府采购活动。</w:t>
      </w:r>
      <w:r>
        <w:rPr>
          <w:rFonts w:hint="eastAsia" w:ascii="仿宋_GB2312" w:hAnsi="仿宋" w:eastAsia="仿宋_GB2312" w:cs="宋体"/>
          <w:color w:val="auto"/>
          <w:sz w:val="28"/>
          <w:szCs w:val="28"/>
          <w:highlight w:val="none"/>
        </w:rPr>
        <w:t>投诉受理方式见</w:t>
      </w:r>
      <w:r>
        <w:rPr>
          <w:rFonts w:hint="eastAsia" w:ascii="仿宋_GB2312" w:hAnsi="仿宋" w:eastAsia="仿宋_GB2312" w:cs="宋体"/>
          <w:color w:val="auto"/>
          <w:sz w:val="28"/>
          <w:szCs w:val="28"/>
          <w:highlight w:val="none"/>
          <w:u w:val="single"/>
        </w:rPr>
        <w:t>响应须知前附表。</w:t>
      </w:r>
    </w:p>
    <w:p w14:paraId="509B038E">
      <w:pPr>
        <w:pStyle w:val="4"/>
        <w:ind w:firstLine="643"/>
        <w:rPr>
          <w:color w:val="auto"/>
          <w:highlight w:val="none"/>
        </w:rPr>
      </w:pPr>
      <w:r>
        <w:rPr>
          <w:rFonts w:hint="eastAsia"/>
          <w:color w:val="auto"/>
          <w:highlight w:val="none"/>
        </w:rPr>
        <w:t>十、签订合同</w:t>
      </w:r>
    </w:p>
    <w:p w14:paraId="20171A8D">
      <w:pPr>
        <w:spacing w:line="560" w:lineRule="exact"/>
        <w:ind w:firstLine="565" w:firstLineChars="201"/>
        <w:rPr>
          <w:rFonts w:ascii="楷体_GB2312" w:hAnsi="仿宋" w:eastAsia="楷体_GB2312" w:cs="宋体"/>
          <w:b/>
          <w:color w:val="auto"/>
          <w:sz w:val="28"/>
          <w:szCs w:val="28"/>
          <w:highlight w:val="none"/>
        </w:rPr>
      </w:pPr>
      <w:r>
        <w:rPr>
          <w:rFonts w:hint="eastAsia" w:ascii="楷体_GB2312" w:hAnsi="仿宋" w:eastAsia="楷体_GB2312" w:cs="宋体"/>
          <w:b/>
          <w:color w:val="auto"/>
          <w:sz w:val="28"/>
          <w:szCs w:val="28"/>
          <w:highlight w:val="none"/>
        </w:rPr>
        <w:t>35.合同的签订</w:t>
      </w:r>
    </w:p>
    <w:p w14:paraId="337D28C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采购人应当自政府采购合同签订之日起2个工作日内，将政府采购合同在省级以上人民政府财政部门指定的媒体上公告，但政府采购合同中涉及国家秘密、商业秘密的内容除外。</w:t>
      </w:r>
    </w:p>
    <w:p w14:paraId="1288105E">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采购人应当自成交通知书发出之日起</w:t>
      </w:r>
      <w:r>
        <w:rPr>
          <w:rFonts w:ascii="仿宋_GB2312" w:hAnsi="宋体" w:eastAsia="仿宋_GB2312"/>
          <w:color w:val="auto"/>
          <w:sz w:val="28"/>
          <w:szCs w:val="28"/>
          <w:highlight w:val="none"/>
        </w:rPr>
        <w:t>5</w:t>
      </w:r>
      <w:r>
        <w:rPr>
          <w:rFonts w:hint="eastAsia" w:ascii="仿宋_GB2312" w:hAnsi="宋体" w:eastAsia="仿宋_GB2312"/>
          <w:color w:val="auto"/>
          <w:sz w:val="28"/>
          <w:szCs w:val="28"/>
          <w:highlight w:val="none"/>
        </w:rPr>
        <w:t>个工作日内，按照磋商文件和成交供应商响应文件的规定，与成交供应商签订书面合同。</w:t>
      </w:r>
    </w:p>
    <w:p w14:paraId="56688DC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人与成交供应商所签订的合同不得对竞争性磋商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1101153">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成交供应商在规定时间内无正当理由拒绝与采购人签订合同的，响应供应商符合法定数量的，采购人可以按照评审报告推荐的成交候选人名单排序，确定下一候选人为成交供应商，也可以重新开展政府采购活动。</w:t>
      </w:r>
    </w:p>
    <w:p w14:paraId="1098C21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政府采购合同的履行、违约责任和解决争议的方法适用《中华人民共和国民法典》。</w:t>
      </w:r>
    </w:p>
    <w:p w14:paraId="5E7D438B">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36.履约保证金</w:t>
      </w:r>
    </w:p>
    <w:p w14:paraId="02205F8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本项目不收取履约保证金。如中标单位中标后不按采购文件相关规定执行的，按诚信体系建设要求列入信用黑名单，1-3年内禁止参加政府采购活动。</w:t>
      </w:r>
    </w:p>
    <w:p w14:paraId="27A295D4">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37.政府采购信用担保</w:t>
      </w:r>
    </w:p>
    <w:p w14:paraId="385743C5">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本项目是否属于信用担保试点范围见</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w:t>
      </w:r>
    </w:p>
    <w:p w14:paraId="508FB948">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如</w:t>
      </w:r>
      <w:r>
        <w:rPr>
          <w:rFonts w:ascii="仿宋_GB2312" w:hAnsi="宋体" w:eastAsia="仿宋_GB2312"/>
          <w:color w:val="auto"/>
          <w:sz w:val="28"/>
          <w:szCs w:val="28"/>
          <w:highlight w:val="none"/>
        </w:rPr>
        <w:t>属于</w:t>
      </w:r>
      <w:r>
        <w:rPr>
          <w:rFonts w:hint="eastAsia" w:ascii="仿宋_GB2312" w:hAnsi="宋体" w:eastAsia="仿宋_GB2312"/>
          <w:color w:val="auto"/>
          <w:sz w:val="28"/>
          <w:szCs w:val="28"/>
          <w:highlight w:val="none"/>
        </w:rPr>
        <w:t>政府采购信用担保试点范围内，中小型企业供应商可以自由按照财政部门的规定，采用投标担保、履约担保和融资担保。</w:t>
      </w:r>
    </w:p>
    <w:p w14:paraId="2CC71F5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供应商递交的投标担保函和履约担保函应符合本采购文件的规定。</w:t>
      </w:r>
    </w:p>
    <w:p w14:paraId="5B1CA1E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成交供应商可以采取融资担保的形式为政府采购项目履约进行融资。</w:t>
      </w:r>
    </w:p>
    <w:p w14:paraId="11480645">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38.预付款</w:t>
      </w:r>
    </w:p>
    <w:p w14:paraId="1AC3FF7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预付款是在指</w:t>
      </w:r>
      <w:r>
        <w:rPr>
          <w:rFonts w:ascii="仿宋_GB2312" w:hAnsi="宋体" w:eastAsia="仿宋_GB2312"/>
          <w:color w:val="auto"/>
          <w:sz w:val="28"/>
          <w:szCs w:val="28"/>
          <w:highlight w:val="none"/>
        </w:rPr>
        <w:t>政府采购合同签订后</w:t>
      </w:r>
      <w:r>
        <w:rPr>
          <w:rFonts w:hint="eastAsia" w:ascii="仿宋_GB2312" w:hAnsi="宋体" w:eastAsia="仿宋_GB2312"/>
          <w:color w:val="auto"/>
          <w:sz w:val="28"/>
          <w:szCs w:val="28"/>
          <w:highlight w:val="none"/>
        </w:rPr>
        <w:t>、履行前，</w:t>
      </w:r>
      <w:r>
        <w:rPr>
          <w:rFonts w:ascii="仿宋_GB2312" w:hAnsi="宋体" w:eastAsia="仿宋_GB2312"/>
          <w:color w:val="auto"/>
          <w:sz w:val="28"/>
          <w:szCs w:val="28"/>
          <w:highlight w:val="none"/>
        </w:rPr>
        <w:t>采购人向</w:t>
      </w:r>
      <w:r>
        <w:rPr>
          <w:rFonts w:hint="eastAsia" w:ascii="仿宋_GB2312" w:hAnsi="宋体" w:eastAsia="仿宋_GB2312"/>
          <w:color w:val="auto"/>
          <w:sz w:val="28"/>
          <w:szCs w:val="28"/>
          <w:highlight w:val="none"/>
        </w:rPr>
        <w:t>成交供应商</w:t>
      </w:r>
      <w:r>
        <w:rPr>
          <w:rFonts w:ascii="仿宋_GB2312" w:hAnsi="宋体" w:eastAsia="仿宋_GB2312"/>
          <w:color w:val="auto"/>
          <w:sz w:val="28"/>
          <w:szCs w:val="28"/>
          <w:highlight w:val="none"/>
        </w:rPr>
        <w:t>预先支付部分合同款项</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采购人预付款方式见</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w:t>
      </w:r>
    </w:p>
    <w:p w14:paraId="0FD08DC3">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39</w:t>
      </w:r>
      <w:r>
        <w:rPr>
          <w:rFonts w:ascii="仿宋_GB2312" w:hAnsi="宋体" w:eastAsia="仿宋_GB2312"/>
          <w:b/>
          <w:color w:val="auto"/>
          <w:sz w:val="28"/>
          <w:szCs w:val="28"/>
          <w:highlight w:val="none"/>
        </w:rPr>
        <w:t>.</w:t>
      </w:r>
      <w:r>
        <w:rPr>
          <w:rFonts w:hint="eastAsia" w:ascii="仿宋_GB2312" w:hAnsi="宋体" w:eastAsia="仿宋_GB2312"/>
          <w:b/>
          <w:color w:val="auto"/>
          <w:sz w:val="28"/>
          <w:szCs w:val="28"/>
          <w:highlight w:val="none"/>
        </w:rPr>
        <w:t>廉洁自律</w:t>
      </w:r>
      <w:r>
        <w:rPr>
          <w:rFonts w:ascii="仿宋_GB2312" w:hAnsi="宋体" w:eastAsia="仿宋_GB2312"/>
          <w:b/>
          <w:color w:val="auto"/>
          <w:sz w:val="28"/>
          <w:szCs w:val="28"/>
          <w:highlight w:val="none"/>
        </w:rPr>
        <w:t>规定</w:t>
      </w:r>
    </w:p>
    <w:p w14:paraId="5546748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w:t>
      </w:r>
      <w:r>
        <w:rPr>
          <w:rFonts w:ascii="仿宋_GB2312" w:hAnsi="宋体" w:eastAsia="仿宋_GB2312"/>
          <w:color w:val="auto"/>
          <w:sz w:val="28"/>
          <w:szCs w:val="28"/>
          <w:highlight w:val="none"/>
        </w:rPr>
        <w:t>工作人员</w:t>
      </w:r>
      <w:r>
        <w:rPr>
          <w:rFonts w:hint="eastAsia" w:ascii="仿宋_GB2312" w:hAnsi="宋体" w:eastAsia="仿宋_GB2312"/>
          <w:color w:val="auto"/>
          <w:sz w:val="28"/>
          <w:szCs w:val="28"/>
          <w:highlight w:val="none"/>
        </w:rPr>
        <w:t>不得与采购人、供应商恶意串通操纵政府采购活动。</w:t>
      </w:r>
    </w:p>
    <w:p w14:paraId="433A79FB">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采购代理机构工作人员不得接受采购人或者供应商组织的宴请、旅游、娱乐，不得收受礼品、现金、有价证券等，不得向采购人或者供应商报销应当由个人承担的费用。</w:t>
      </w:r>
    </w:p>
    <w:p w14:paraId="1B51B9B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为强化采购</w:t>
      </w:r>
      <w:r>
        <w:rPr>
          <w:rFonts w:ascii="仿宋_GB2312" w:hAnsi="宋体" w:eastAsia="仿宋_GB2312"/>
          <w:color w:val="auto"/>
          <w:sz w:val="28"/>
          <w:szCs w:val="28"/>
          <w:highlight w:val="none"/>
        </w:rPr>
        <w:t>代理机构内部监督机制</w:t>
      </w:r>
      <w:r>
        <w:rPr>
          <w:rFonts w:hint="eastAsia" w:ascii="仿宋_GB2312" w:hAnsi="宋体" w:eastAsia="仿宋_GB2312"/>
          <w:color w:val="auto"/>
          <w:sz w:val="28"/>
          <w:szCs w:val="28"/>
          <w:highlight w:val="none"/>
        </w:rPr>
        <w:t>，供应商可按</w:t>
      </w:r>
      <w:r>
        <w:rPr>
          <w:rFonts w:hint="eastAsia" w:ascii="仿宋_GB2312" w:hAnsi="宋体" w:eastAsia="仿宋_GB2312"/>
          <w:color w:val="auto"/>
          <w:sz w:val="28"/>
          <w:szCs w:val="28"/>
          <w:highlight w:val="none"/>
          <w:u w:val="single"/>
        </w:rPr>
        <w:t>响应须知前附表</w:t>
      </w:r>
      <w:r>
        <w:rPr>
          <w:rFonts w:hint="eastAsia" w:ascii="仿宋_GB2312" w:hAnsi="宋体" w:eastAsia="仿宋_GB2312"/>
          <w:color w:val="auto"/>
          <w:sz w:val="28"/>
          <w:szCs w:val="28"/>
          <w:highlight w:val="none"/>
        </w:rPr>
        <w:t>中</w:t>
      </w:r>
      <w:r>
        <w:rPr>
          <w:rFonts w:ascii="仿宋_GB2312" w:hAnsi="宋体" w:eastAsia="仿宋_GB2312"/>
          <w:color w:val="auto"/>
          <w:sz w:val="28"/>
          <w:szCs w:val="28"/>
          <w:highlight w:val="none"/>
        </w:rPr>
        <w:t>的</w:t>
      </w:r>
      <w:r>
        <w:rPr>
          <w:rFonts w:hint="eastAsia" w:ascii="仿宋_GB2312" w:hAnsi="宋体" w:eastAsia="仿宋_GB2312"/>
          <w:color w:val="auto"/>
          <w:sz w:val="28"/>
          <w:szCs w:val="28"/>
          <w:highlight w:val="none"/>
        </w:rPr>
        <w:t>监督电话</w:t>
      </w:r>
      <w:r>
        <w:rPr>
          <w:rFonts w:ascii="仿宋_GB2312" w:hAnsi="宋体" w:eastAsia="仿宋_GB2312"/>
          <w:color w:val="auto"/>
          <w:sz w:val="28"/>
          <w:szCs w:val="28"/>
          <w:highlight w:val="none"/>
        </w:rPr>
        <w:t>和</w:t>
      </w:r>
      <w:r>
        <w:rPr>
          <w:rFonts w:hint="eastAsia" w:ascii="仿宋_GB2312" w:hAnsi="宋体" w:eastAsia="仿宋_GB2312"/>
          <w:color w:val="auto"/>
          <w:sz w:val="28"/>
          <w:szCs w:val="28"/>
          <w:highlight w:val="none"/>
        </w:rPr>
        <w:t>邮箱，反映采购代理机构的廉洁自律</w:t>
      </w:r>
      <w:r>
        <w:rPr>
          <w:rFonts w:ascii="仿宋_GB2312" w:hAnsi="宋体" w:eastAsia="仿宋_GB2312"/>
          <w:color w:val="auto"/>
          <w:sz w:val="28"/>
          <w:szCs w:val="28"/>
          <w:highlight w:val="none"/>
        </w:rPr>
        <w:t>等</w:t>
      </w:r>
      <w:r>
        <w:rPr>
          <w:rFonts w:hint="eastAsia" w:ascii="仿宋_GB2312" w:hAnsi="宋体" w:eastAsia="仿宋_GB2312"/>
          <w:color w:val="auto"/>
          <w:sz w:val="28"/>
          <w:szCs w:val="28"/>
          <w:highlight w:val="none"/>
        </w:rPr>
        <w:t>问题。</w:t>
      </w:r>
    </w:p>
    <w:p w14:paraId="218F910A">
      <w:pPr>
        <w:snapToGrid w:val="0"/>
        <w:spacing w:line="560" w:lineRule="exact"/>
        <w:ind w:firstLine="565" w:firstLineChars="201"/>
        <w:rPr>
          <w:rFonts w:ascii="仿宋_GB2312" w:hAnsi="宋体" w:eastAsia="仿宋_GB2312"/>
          <w:b/>
          <w:color w:val="auto"/>
          <w:sz w:val="28"/>
          <w:szCs w:val="28"/>
          <w:highlight w:val="none"/>
        </w:rPr>
      </w:pPr>
      <w:r>
        <w:rPr>
          <w:rFonts w:hint="eastAsia" w:ascii="仿宋_GB2312" w:hAnsi="宋体" w:eastAsia="仿宋_GB2312"/>
          <w:b/>
          <w:color w:val="auto"/>
          <w:sz w:val="28"/>
          <w:szCs w:val="28"/>
          <w:highlight w:val="none"/>
        </w:rPr>
        <w:t>40.项目其他相关费用</w:t>
      </w:r>
    </w:p>
    <w:p w14:paraId="4567E446">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40.1代理服务费</w:t>
      </w:r>
    </w:p>
    <w:p w14:paraId="702B3DF9">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代理服务费收取标准：</w:t>
      </w:r>
      <w:r>
        <w:rPr>
          <w:rFonts w:hint="eastAsia" w:ascii="仿宋_GB2312" w:hAnsi="宋体" w:eastAsia="仿宋_GB2312"/>
          <w:color w:val="auto"/>
          <w:sz w:val="28"/>
          <w:szCs w:val="28"/>
          <w:highlight w:val="none"/>
          <w:u w:val="single"/>
        </w:rPr>
        <w:t>见响应须知前附表</w:t>
      </w:r>
      <w:r>
        <w:rPr>
          <w:rFonts w:hint="eastAsia" w:ascii="仿宋_GB2312" w:hAnsi="宋体" w:eastAsia="仿宋_GB2312"/>
          <w:color w:val="auto"/>
          <w:sz w:val="28"/>
          <w:szCs w:val="28"/>
          <w:highlight w:val="none"/>
        </w:rPr>
        <w:t>。</w:t>
      </w:r>
    </w:p>
    <w:p w14:paraId="201DD06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40.2公证费/见证律师费</w:t>
      </w:r>
    </w:p>
    <w:p w14:paraId="146C3984">
      <w:pPr>
        <w:snapToGrid w:val="0"/>
        <w:spacing w:line="560" w:lineRule="exact"/>
        <w:ind w:firstLine="562" w:firstLineChars="201"/>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公证费/见证律师费的收费标准：</w:t>
      </w:r>
      <w:r>
        <w:rPr>
          <w:rFonts w:hint="eastAsia" w:ascii="仿宋_GB2312" w:hAnsi="宋体" w:eastAsia="仿宋_GB2312"/>
          <w:color w:val="auto"/>
          <w:sz w:val="28"/>
          <w:szCs w:val="28"/>
          <w:highlight w:val="none"/>
          <w:u w:val="single"/>
        </w:rPr>
        <w:t>见响应须知前附表</w:t>
      </w:r>
      <w:r>
        <w:rPr>
          <w:rFonts w:hint="eastAsia" w:ascii="仿宋_GB2312" w:hAnsi="宋体" w:eastAsia="仿宋_GB2312"/>
          <w:color w:val="auto"/>
          <w:sz w:val="28"/>
          <w:szCs w:val="28"/>
          <w:highlight w:val="none"/>
          <w:lang w:val="zh-CN"/>
        </w:rPr>
        <w:t>。</w:t>
      </w:r>
    </w:p>
    <w:p w14:paraId="3934838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40.3政府采购专家评审费</w:t>
      </w:r>
    </w:p>
    <w:p w14:paraId="10087240">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本项目按照威海市公共资源交易中心乳山分中心有关规定的标准执行。</w:t>
      </w:r>
    </w:p>
    <w:p w14:paraId="5D18381F">
      <w:pPr>
        <w:rPr>
          <w:color w:val="auto"/>
          <w:highlight w:val="none"/>
        </w:rPr>
        <w:sectPr>
          <w:pgSz w:w="11906" w:h="16838"/>
          <w:pgMar w:top="1440" w:right="1080" w:bottom="1440" w:left="1080" w:header="851" w:footer="992" w:gutter="0"/>
          <w:cols w:space="720" w:num="1"/>
          <w:docGrid w:type="lines" w:linePitch="312" w:charSpace="0"/>
        </w:sectPr>
      </w:pPr>
    </w:p>
    <w:p w14:paraId="26EEC432">
      <w:pPr>
        <w:pStyle w:val="33"/>
        <w:spacing w:before="100" w:beforeAutospacing="1" w:after="100" w:afterAutospacing="1" w:line="415" w:lineRule="auto"/>
        <w:ind w:left="1440"/>
        <w:rPr>
          <w:rFonts w:ascii="楷体_GB2312" w:hAnsi="宋体" w:eastAsia="楷体_GB2312" w:cs="宋体"/>
          <w:color w:val="auto"/>
          <w:sz w:val="44"/>
          <w:szCs w:val="44"/>
          <w:highlight w:val="none"/>
        </w:rPr>
      </w:pPr>
      <w:r>
        <w:rPr>
          <w:rFonts w:hint="eastAsia" w:ascii="楷体_GB2312" w:hAnsi="宋体" w:eastAsia="楷体_GB2312" w:cs="宋体"/>
          <w:color w:val="auto"/>
          <w:sz w:val="44"/>
          <w:szCs w:val="44"/>
          <w:highlight w:val="none"/>
        </w:rPr>
        <w:t>第三章 采购内容与要求</w:t>
      </w:r>
    </w:p>
    <w:p w14:paraId="3E55151D">
      <w:pPr>
        <w:rPr>
          <w:color w:val="auto"/>
          <w:highlight w:val="none"/>
        </w:rPr>
      </w:pPr>
    </w:p>
    <w:p w14:paraId="5A362D15">
      <w:pPr>
        <w:rPr>
          <w:color w:val="auto"/>
          <w:highlight w:val="none"/>
        </w:rPr>
        <w:sectPr>
          <w:headerReference r:id="rId13" w:type="first"/>
          <w:footerReference r:id="rId14" w:type="default"/>
          <w:headerReference r:id="rId12" w:type="even"/>
          <w:pgSz w:w="11906" w:h="16838"/>
          <w:pgMar w:top="1440" w:right="1077" w:bottom="1440" w:left="1077" w:header="851" w:footer="992" w:gutter="0"/>
          <w:cols w:space="720" w:num="1"/>
          <w:docGrid w:type="lines" w:linePitch="312" w:charSpace="0"/>
        </w:sectPr>
      </w:pPr>
    </w:p>
    <w:p w14:paraId="1AC02CC0">
      <w:pPr>
        <w:widowControl/>
        <w:spacing w:line="560" w:lineRule="exact"/>
        <w:ind w:firstLine="643" w:firstLineChars="20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第一部分 项目背景</w:t>
      </w:r>
    </w:p>
    <w:p w14:paraId="7BE8DB97">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一、项目概况</w:t>
      </w:r>
    </w:p>
    <w:p w14:paraId="7B599AF6">
      <w:pPr>
        <w:spacing w:line="560" w:lineRule="exact"/>
        <w:ind w:firstLine="560" w:firstLineChars="200"/>
        <w:rPr>
          <w:rFonts w:hint="default"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项目名称：</w:t>
      </w:r>
      <w:r>
        <w:rPr>
          <w:rFonts w:hint="eastAsia" w:ascii="仿宋_GB2312" w:hAnsi="宋体" w:eastAsia="仿宋_GB2312"/>
          <w:color w:val="auto"/>
          <w:sz w:val="28"/>
          <w:szCs w:val="21"/>
          <w:highlight w:val="none"/>
          <w:lang w:eastAsia="zh-CN"/>
        </w:rPr>
        <w:t>2025年市区节日灯具安装工程</w:t>
      </w:r>
    </w:p>
    <w:p w14:paraId="3B13F54A">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rPr>
        <w:t>项目编号：</w:t>
      </w:r>
      <w:r>
        <w:rPr>
          <w:rFonts w:hint="eastAsia" w:ascii="仿宋_GB2312" w:hAnsi="宋体" w:eastAsia="仿宋_GB2312"/>
          <w:color w:val="auto"/>
          <w:sz w:val="28"/>
          <w:szCs w:val="21"/>
          <w:highlight w:val="none"/>
          <w:lang w:eastAsia="zh-CN"/>
        </w:rPr>
        <w:t>SDGP371083000202402000115</w:t>
      </w:r>
    </w:p>
    <w:p w14:paraId="4A1A6E30">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项目概况说明：</w:t>
      </w:r>
      <w:r>
        <w:rPr>
          <w:rFonts w:hint="eastAsia" w:ascii="仿宋_GB2312" w:hAnsi="宋体" w:eastAsia="仿宋_GB2312"/>
          <w:color w:val="auto"/>
          <w:sz w:val="28"/>
          <w:szCs w:val="21"/>
          <w:highlight w:val="none"/>
          <w:lang w:eastAsia="zh-CN"/>
        </w:rPr>
        <w:t>本工程为2025年市区节日灯具安装工程项目基本情况:对市区政府广场、胜利街、政府广场道路节点、公园广场及9个高速路口进行亮化，安装各类亮化灯具10000余套，更换胜利街、府前路国旗灯五角星230套、安装环路国旗灯和中国结92套。</w:t>
      </w:r>
      <w:r>
        <w:rPr>
          <w:rFonts w:hint="eastAsia" w:ascii="仿宋_GB2312" w:hAnsi="宋体" w:eastAsia="仿宋_GB2312"/>
          <w:color w:val="auto"/>
          <w:sz w:val="28"/>
          <w:szCs w:val="21"/>
          <w:highlight w:val="none"/>
        </w:rPr>
        <w:t>详见清单。</w:t>
      </w:r>
    </w:p>
    <w:p w14:paraId="48A6C320">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二、采购目标</w:t>
      </w:r>
    </w:p>
    <w:p w14:paraId="2452CF5A">
      <w:pPr>
        <w:pStyle w:val="67"/>
        <w:spacing w:line="560" w:lineRule="exact"/>
        <w:ind w:firstLine="560"/>
        <w:rPr>
          <w:rFonts w:ascii="仿宋_GB2312" w:hAnsi="宋体" w:eastAsia="仿宋_GB2312"/>
          <w:color w:val="auto"/>
          <w:highlight w:val="none"/>
        </w:rPr>
      </w:pPr>
      <w:r>
        <w:rPr>
          <w:rFonts w:hint="eastAsia" w:ascii="仿宋_GB2312" w:hAnsi="宋体" w:eastAsia="仿宋_GB2312"/>
          <w:color w:val="auto"/>
          <w:highlight w:val="none"/>
        </w:rPr>
        <w:t>采购标的需实现的功能或者目标：</w:t>
      </w:r>
      <w:r>
        <w:rPr>
          <w:rFonts w:hint="eastAsia" w:ascii="仿宋_GB2312" w:hAnsi="宋体" w:eastAsia="仿宋_GB2312"/>
          <w:color w:val="auto"/>
          <w:sz w:val="28"/>
          <w:szCs w:val="21"/>
          <w:highlight w:val="none"/>
          <w:lang w:eastAsia="zh-CN"/>
        </w:rPr>
        <w:t xml:space="preserve">符合相关技术要求及行业标准。 </w:t>
      </w:r>
    </w:p>
    <w:p w14:paraId="5D8D53F4">
      <w:pPr>
        <w:pStyle w:val="67"/>
        <w:spacing w:line="560" w:lineRule="exact"/>
        <w:ind w:firstLine="560"/>
        <w:rPr>
          <w:rFonts w:ascii="仿宋_GB2312" w:hAnsi="宋体" w:eastAsia="仿宋_GB2312"/>
          <w:color w:val="auto"/>
          <w:highlight w:val="none"/>
        </w:rPr>
      </w:pPr>
      <w:r>
        <w:rPr>
          <w:rFonts w:hint="eastAsia" w:ascii="仿宋_GB2312" w:hAnsi="宋体" w:eastAsia="仿宋_GB2312"/>
          <w:color w:val="auto"/>
          <w:highlight w:val="none"/>
        </w:rPr>
        <w:t>为落实政府采购政策需满足的要求：</w:t>
      </w:r>
    </w:p>
    <w:p w14:paraId="3DB053AC">
      <w:pPr>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①所报产品属于《关于调整优化节能产品、环境标志产品政府采购执行机制的通知》（财库〔2019〕9号）规定的政府优先采购范围的，投标（响应）文件中需提供国家确定的认证机构出具的、处于有效期之内的节能产品、环境标志产品认证证书扫描件。采用综合评分法的项目在打分时由评委根据各供应商所报节能、环保产品的报价在其总报价中所占的比重，分别给予报价和技术部分总分值×（节能、环保产品报价/总报价）×5％的加分。所报产品属于《节能产品政府采购品目清单》中规定的政府强制采购节能品目的，不给予优惠政策的加分/价格扣除。</w:t>
      </w:r>
    </w:p>
    <w:p w14:paraId="264FFFF4">
      <w:pPr>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②</w:t>
      </w:r>
      <w:r>
        <w:rPr>
          <w:rFonts w:ascii="仿宋_GB2312" w:hAnsi="宋体" w:eastAsia="仿宋_GB2312"/>
          <w:color w:val="auto"/>
          <w:sz w:val="28"/>
          <w:szCs w:val="28"/>
          <w:highlight w:val="none"/>
        </w:rPr>
        <w:t>本项目为专门面向中小企业采购项目，供应商提供的货物、工程或服务需满足财政部、工信部等部委发布的《关于印发&lt;政府采购促进中小企业发展管理办法&gt;的通知》（财库〔2020〕46号）中关于中小企业的规定。</w:t>
      </w:r>
    </w:p>
    <w:p w14:paraId="3C0A2632">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宋体" w:eastAsia="仿宋_GB2312"/>
          <w:color w:val="auto"/>
          <w:sz w:val="28"/>
          <w:szCs w:val="28"/>
          <w:highlight w:val="none"/>
        </w:rPr>
        <w:t>③</w:t>
      </w:r>
      <w:r>
        <w:rPr>
          <w:rFonts w:ascii="仿宋_GB2312" w:hAnsi="宋体" w:eastAsia="仿宋_GB2312"/>
          <w:color w:val="auto"/>
          <w:sz w:val="28"/>
          <w:szCs w:val="28"/>
          <w:highlight w:val="none"/>
        </w:rPr>
        <w:t>若投标人为监狱企业，根据财政部、司法部发布的《关于政府采购支持监狱企业发展有关问题的通知》（财库〔2014〕68号）的规定，在政府采购活动中，视同小型、微型企业。投标时须提供省级以上监狱管理局、戒毒管理局（含新疆生产建设兵团）出具的属于监狱企业的证明文件，否则不享受相关政策。</w:t>
      </w:r>
    </w:p>
    <w:p w14:paraId="744D9A26">
      <w:pPr>
        <w:snapToGrid w:val="0"/>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④</w:t>
      </w:r>
      <w:r>
        <w:rPr>
          <w:rFonts w:ascii="仿宋_GB2312" w:hAnsi="仿宋" w:eastAsia="仿宋_GB2312" w:cs="宋体"/>
          <w:color w:val="auto"/>
          <w:sz w:val="28"/>
          <w:szCs w:val="28"/>
          <w:highlight w:val="none"/>
        </w:rPr>
        <w:t>若投标人为残疾人福利性单位，在政府采购活动中，视同小型、微型企业，投标时残疾人福利性单位需符合《财政部民政部中国残疾人联合会关于促进残疾人就业政府采购政策的通知》（财库〔2017〕141号）规定的条件，并提供《残疾人福利性单位声明函》，否则不享受相关政策。</w:t>
      </w:r>
    </w:p>
    <w:p w14:paraId="42489811">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三、采购预算</w:t>
      </w:r>
    </w:p>
    <w:p w14:paraId="79988AD9">
      <w:pPr>
        <w:pStyle w:val="67"/>
        <w:spacing w:line="560" w:lineRule="exact"/>
        <w:ind w:firstLine="560"/>
        <w:rPr>
          <w:rFonts w:ascii="仿宋_GB2312" w:hAnsi="宋体" w:eastAsia="仿宋_GB2312"/>
          <w:color w:val="auto"/>
          <w:highlight w:val="none"/>
        </w:rPr>
      </w:pPr>
      <w:r>
        <w:rPr>
          <w:rFonts w:hint="eastAsia" w:ascii="仿宋_GB2312" w:hAnsi="宋体" w:eastAsia="仿宋_GB2312"/>
          <w:color w:val="auto"/>
          <w:highlight w:val="none"/>
        </w:rPr>
        <w:t>本项目包段的采购预算金额为</w:t>
      </w:r>
      <w:r>
        <w:rPr>
          <w:rFonts w:hint="eastAsia" w:ascii="仿宋_GB2312" w:hAnsi="宋体" w:eastAsia="仿宋_GB2312"/>
          <w:color w:val="auto"/>
          <w:highlight w:val="none"/>
          <w:lang w:eastAsia="zh-CN"/>
        </w:rPr>
        <w:t>1420000.00</w:t>
      </w:r>
      <w:r>
        <w:rPr>
          <w:rFonts w:hint="eastAsia" w:ascii="仿宋_GB2312" w:hAnsi="宋体" w:eastAsia="仿宋_GB2312"/>
          <w:color w:val="auto"/>
          <w:highlight w:val="none"/>
        </w:rPr>
        <w:t>元。</w:t>
      </w:r>
    </w:p>
    <w:p w14:paraId="21C489EE">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四、采购方式</w:t>
      </w:r>
    </w:p>
    <w:p w14:paraId="4C39F0E5">
      <w:pPr>
        <w:pStyle w:val="67"/>
        <w:spacing w:line="560" w:lineRule="exact"/>
        <w:ind w:firstLine="560"/>
        <w:rPr>
          <w:rFonts w:ascii="仿宋_GB2312" w:hAnsi="宋体" w:eastAsia="仿宋_GB2312"/>
          <w:color w:val="auto"/>
          <w:highlight w:val="none"/>
        </w:rPr>
      </w:pPr>
      <w:r>
        <w:rPr>
          <w:rFonts w:hint="eastAsia" w:ascii="仿宋_GB2312" w:hAnsi="宋体" w:eastAsia="仿宋_GB2312"/>
          <w:color w:val="auto"/>
          <w:highlight w:val="none"/>
        </w:rPr>
        <w:t>本项目包段采用竞争性磋商方式进行采购。</w:t>
      </w:r>
    </w:p>
    <w:p w14:paraId="120EB830">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7C0123F9">
      <w:pPr>
        <w:rPr>
          <w:rFonts w:ascii="楷体_GB2312" w:hAnsi="宋体" w:eastAsia="楷体_GB2312"/>
          <w:color w:val="auto"/>
          <w:sz w:val="32"/>
          <w:szCs w:val="30"/>
          <w:highlight w:val="none"/>
        </w:rPr>
      </w:pPr>
    </w:p>
    <w:p w14:paraId="49FFE97C">
      <w:pPr>
        <w:rPr>
          <w:rFonts w:ascii="楷体_GB2312" w:hAnsi="宋体" w:eastAsia="楷体_GB2312"/>
          <w:color w:val="auto"/>
          <w:sz w:val="32"/>
          <w:szCs w:val="30"/>
          <w:highlight w:val="none"/>
        </w:rPr>
      </w:pPr>
    </w:p>
    <w:p w14:paraId="7BA15993">
      <w:pPr>
        <w:rPr>
          <w:rFonts w:ascii="楷体_GB2312" w:hAnsi="宋体" w:eastAsia="楷体_GB2312"/>
          <w:color w:val="auto"/>
          <w:sz w:val="32"/>
          <w:szCs w:val="30"/>
          <w:highlight w:val="none"/>
        </w:rPr>
      </w:pPr>
    </w:p>
    <w:p w14:paraId="3D13CDC1">
      <w:pPr>
        <w:rPr>
          <w:rFonts w:ascii="楷体_GB2312" w:hAnsi="宋体" w:eastAsia="楷体_GB2312"/>
          <w:color w:val="auto"/>
          <w:sz w:val="32"/>
          <w:szCs w:val="30"/>
          <w:highlight w:val="none"/>
        </w:rPr>
      </w:pPr>
    </w:p>
    <w:p w14:paraId="67B5A957">
      <w:pPr>
        <w:rPr>
          <w:rFonts w:ascii="楷体_GB2312" w:hAnsi="宋体" w:eastAsia="楷体_GB2312"/>
          <w:color w:val="auto"/>
          <w:sz w:val="32"/>
          <w:szCs w:val="30"/>
          <w:highlight w:val="none"/>
        </w:rPr>
      </w:pPr>
    </w:p>
    <w:p w14:paraId="427CDC6D">
      <w:pPr>
        <w:rPr>
          <w:rFonts w:ascii="楷体_GB2312" w:hAnsi="宋体" w:eastAsia="楷体_GB2312"/>
          <w:color w:val="auto"/>
          <w:sz w:val="32"/>
          <w:szCs w:val="30"/>
          <w:highlight w:val="none"/>
        </w:rPr>
      </w:pPr>
    </w:p>
    <w:p w14:paraId="0B339530">
      <w:pPr>
        <w:tabs>
          <w:tab w:val="left" w:pos="6915"/>
        </w:tabs>
        <w:rPr>
          <w:rFonts w:ascii="楷体_GB2312" w:hAnsi="宋体" w:eastAsia="楷体_GB2312"/>
          <w:color w:val="auto"/>
          <w:sz w:val="32"/>
          <w:szCs w:val="30"/>
          <w:highlight w:val="none"/>
        </w:rPr>
      </w:pPr>
      <w:r>
        <w:rPr>
          <w:rFonts w:ascii="楷体_GB2312" w:hAnsi="宋体" w:eastAsia="楷体_GB2312"/>
          <w:color w:val="auto"/>
          <w:sz w:val="32"/>
          <w:szCs w:val="30"/>
          <w:highlight w:val="none"/>
        </w:rPr>
        <w:tab/>
      </w:r>
    </w:p>
    <w:p w14:paraId="12DDA39E">
      <w:pPr>
        <w:rPr>
          <w:rFonts w:ascii="楷体_GB2312" w:hAnsi="宋体" w:eastAsia="楷体_GB2312"/>
          <w:color w:val="auto"/>
          <w:sz w:val="32"/>
          <w:szCs w:val="30"/>
          <w:highlight w:val="none"/>
        </w:rPr>
      </w:pPr>
    </w:p>
    <w:p w14:paraId="7724B6B9">
      <w:pPr>
        <w:rPr>
          <w:rFonts w:ascii="楷体_GB2312" w:hAnsi="宋体" w:eastAsia="楷体_GB2312"/>
          <w:color w:val="auto"/>
          <w:sz w:val="32"/>
          <w:szCs w:val="30"/>
          <w:highlight w:val="none"/>
        </w:rPr>
      </w:pPr>
    </w:p>
    <w:p w14:paraId="2A0435EA">
      <w:pPr>
        <w:rPr>
          <w:rFonts w:ascii="楷体_GB2312" w:hAnsi="宋体" w:eastAsia="楷体_GB2312"/>
          <w:color w:val="auto"/>
          <w:sz w:val="32"/>
          <w:szCs w:val="30"/>
          <w:highlight w:val="none"/>
        </w:rPr>
      </w:pPr>
    </w:p>
    <w:p w14:paraId="54052E3C">
      <w:pPr>
        <w:rPr>
          <w:rFonts w:ascii="楷体_GB2312" w:hAnsi="宋体" w:eastAsia="楷体_GB2312"/>
          <w:color w:val="auto"/>
          <w:sz w:val="32"/>
          <w:szCs w:val="30"/>
          <w:highlight w:val="none"/>
        </w:rPr>
      </w:pPr>
    </w:p>
    <w:p w14:paraId="62629114">
      <w:pPr>
        <w:rPr>
          <w:rFonts w:ascii="楷体_GB2312" w:hAnsi="宋体" w:eastAsia="楷体_GB2312"/>
          <w:color w:val="auto"/>
          <w:sz w:val="32"/>
          <w:szCs w:val="30"/>
          <w:highlight w:val="none"/>
        </w:rPr>
      </w:pPr>
    </w:p>
    <w:p w14:paraId="71105104">
      <w:pPr>
        <w:rPr>
          <w:rFonts w:ascii="楷体_GB2312" w:hAnsi="宋体" w:eastAsia="楷体_GB2312"/>
          <w:color w:val="auto"/>
          <w:sz w:val="32"/>
          <w:szCs w:val="30"/>
          <w:highlight w:val="none"/>
        </w:rPr>
      </w:pPr>
      <w:r>
        <w:rPr>
          <w:rFonts w:ascii="楷体_GB2312" w:hAnsi="宋体" w:eastAsia="楷体_GB2312"/>
          <w:color w:val="auto"/>
          <w:sz w:val="32"/>
          <w:szCs w:val="30"/>
          <w:highlight w:val="none"/>
        </w:rPr>
        <w:br w:type="page"/>
      </w:r>
    </w:p>
    <w:p w14:paraId="529D793F">
      <w:pPr>
        <w:pStyle w:val="2"/>
        <w:rPr>
          <w:color w:val="auto"/>
          <w:highlight w:val="none"/>
        </w:rPr>
        <w:sectPr>
          <w:headerReference r:id="rId15" w:type="default"/>
          <w:footerReference r:id="rId16" w:type="default"/>
          <w:pgSz w:w="11906" w:h="16838"/>
          <w:pgMar w:top="1440" w:right="1077" w:bottom="1440" w:left="1077" w:header="851" w:footer="992" w:gutter="0"/>
          <w:cols w:space="720" w:num="1"/>
          <w:docGrid w:type="lines" w:linePitch="312" w:charSpace="0"/>
        </w:sectPr>
      </w:pPr>
    </w:p>
    <w:p w14:paraId="13A160BC">
      <w:pPr>
        <w:widowControl/>
        <w:spacing w:line="560" w:lineRule="exact"/>
        <w:ind w:firstLine="643" w:firstLineChars="20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第二部分 采购清单及技术参数</w:t>
      </w:r>
    </w:p>
    <w:p w14:paraId="2EA84321">
      <w:pPr>
        <w:pStyle w:val="15"/>
        <w:spacing w:line="560" w:lineRule="exact"/>
        <w:ind w:firstLine="56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 xml:space="preserve">本项目包段的采购标的物如下，供应商需逐项进行报价： </w:t>
      </w:r>
    </w:p>
    <w:tbl>
      <w:tblPr>
        <w:tblStyle w:val="35"/>
        <w:tblW w:w="13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993"/>
        <w:gridCol w:w="734"/>
        <w:gridCol w:w="1200"/>
        <w:gridCol w:w="735"/>
        <w:gridCol w:w="840"/>
        <w:gridCol w:w="8475"/>
      </w:tblGrid>
      <w:tr w14:paraId="6E8E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D9D9D9"/>
            <w:vAlign w:val="center"/>
          </w:tcPr>
          <w:p w14:paraId="17497EBC">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序号</w:t>
            </w:r>
          </w:p>
        </w:tc>
        <w:tc>
          <w:tcPr>
            <w:tcW w:w="993" w:type="dxa"/>
            <w:tcBorders>
              <w:top w:val="single" w:color="auto" w:sz="4" w:space="0"/>
              <w:left w:val="single" w:color="auto" w:sz="4" w:space="0"/>
              <w:bottom w:val="single" w:color="auto" w:sz="4" w:space="0"/>
              <w:right w:val="single" w:color="auto" w:sz="4" w:space="0"/>
            </w:tcBorders>
            <w:shd w:val="clear" w:color="auto" w:fill="D9D9D9"/>
            <w:vAlign w:val="center"/>
          </w:tcPr>
          <w:p w14:paraId="263650C7">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分类</w:t>
            </w:r>
          </w:p>
        </w:tc>
        <w:tc>
          <w:tcPr>
            <w:tcW w:w="734" w:type="dxa"/>
            <w:tcBorders>
              <w:top w:val="single" w:color="auto" w:sz="4" w:space="0"/>
              <w:left w:val="single" w:color="auto" w:sz="4" w:space="0"/>
              <w:bottom w:val="single" w:color="auto" w:sz="4" w:space="0"/>
              <w:right w:val="single" w:color="auto" w:sz="4" w:space="0"/>
            </w:tcBorders>
            <w:shd w:val="clear" w:color="auto" w:fill="D9D9D9"/>
            <w:vAlign w:val="center"/>
          </w:tcPr>
          <w:p w14:paraId="5F7CB382">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清单</w:t>
            </w:r>
          </w:p>
          <w:p w14:paraId="37EC5118">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分组</w:t>
            </w:r>
          </w:p>
        </w:tc>
        <w:tc>
          <w:tcPr>
            <w:tcW w:w="1200" w:type="dxa"/>
            <w:tcBorders>
              <w:top w:val="single" w:color="auto" w:sz="4" w:space="0"/>
              <w:left w:val="single" w:color="auto" w:sz="4" w:space="0"/>
              <w:bottom w:val="single" w:color="auto" w:sz="4" w:space="0"/>
              <w:right w:val="single" w:color="auto" w:sz="4" w:space="0"/>
            </w:tcBorders>
            <w:shd w:val="clear" w:color="auto" w:fill="D9D9D9"/>
            <w:vAlign w:val="center"/>
          </w:tcPr>
          <w:p w14:paraId="5C4EFFAB">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清单名称</w:t>
            </w:r>
          </w:p>
        </w:tc>
        <w:tc>
          <w:tcPr>
            <w:tcW w:w="735" w:type="dxa"/>
            <w:tcBorders>
              <w:top w:val="single" w:color="auto" w:sz="4" w:space="0"/>
              <w:left w:val="single" w:color="auto" w:sz="4" w:space="0"/>
              <w:bottom w:val="single" w:color="auto" w:sz="4" w:space="0"/>
              <w:right w:val="single" w:color="auto" w:sz="4" w:space="0"/>
            </w:tcBorders>
            <w:shd w:val="clear" w:color="auto" w:fill="D9D9D9"/>
            <w:vAlign w:val="center"/>
          </w:tcPr>
          <w:p w14:paraId="06A32A90">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数量</w:t>
            </w:r>
          </w:p>
        </w:tc>
        <w:tc>
          <w:tcPr>
            <w:tcW w:w="840" w:type="dxa"/>
            <w:tcBorders>
              <w:top w:val="single" w:color="auto" w:sz="4" w:space="0"/>
              <w:left w:val="single" w:color="auto" w:sz="4" w:space="0"/>
              <w:bottom w:val="single" w:color="auto" w:sz="4" w:space="0"/>
              <w:right w:val="single" w:color="auto" w:sz="4" w:space="0"/>
            </w:tcBorders>
            <w:shd w:val="clear" w:color="auto" w:fill="D9D9D9"/>
            <w:vAlign w:val="center"/>
          </w:tcPr>
          <w:p w14:paraId="1A134949">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单位</w:t>
            </w:r>
          </w:p>
        </w:tc>
        <w:tc>
          <w:tcPr>
            <w:tcW w:w="8475" w:type="dxa"/>
            <w:tcBorders>
              <w:top w:val="single" w:color="auto" w:sz="4" w:space="0"/>
              <w:left w:val="single" w:color="auto" w:sz="4" w:space="0"/>
              <w:bottom w:val="single" w:color="auto" w:sz="4" w:space="0"/>
              <w:right w:val="single" w:color="auto" w:sz="4" w:space="0"/>
            </w:tcBorders>
            <w:shd w:val="clear" w:color="auto" w:fill="D9D9D9"/>
            <w:vAlign w:val="center"/>
          </w:tcPr>
          <w:p w14:paraId="54EB0088">
            <w:pPr>
              <w:jc w:val="center"/>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功能与技术参数</w:t>
            </w:r>
          </w:p>
        </w:tc>
      </w:tr>
      <w:tr w14:paraId="6CEF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B5AB17F">
            <w:pPr>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993" w:type="dxa"/>
            <w:tcBorders>
              <w:top w:val="single" w:color="auto" w:sz="4" w:space="0"/>
              <w:left w:val="single" w:color="auto" w:sz="4" w:space="0"/>
              <w:bottom w:val="single" w:color="auto" w:sz="4" w:space="0"/>
              <w:right w:val="single" w:color="auto" w:sz="4" w:space="0"/>
            </w:tcBorders>
            <w:vAlign w:val="center"/>
          </w:tcPr>
          <w:p w14:paraId="2942CDA7">
            <w:pPr>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货物</w:t>
            </w:r>
          </w:p>
        </w:tc>
        <w:tc>
          <w:tcPr>
            <w:tcW w:w="734" w:type="dxa"/>
            <w:tcBorders>
              <w:top w:val="single" w:color="auto" w:sz="4" w:space="0"/>
              <w:left w:val="single" w:color="auto" w:sz="4" w:space="0"/>
              <w:bottom w:val="single" w:color="auto" w:sz="4" w:space="0"/>
              <w:right w:val="single" w:color="auto" w:sz="4" w:space="0"/>
            </w:tcBorders>
            <w:vAlign w:val="center"/>
          </w:tcPr>
          <w:p w14:paraId="405A2BAC">
            <w:pPr>
              <w:jc w:val="center"/>
              <w:rPr>
                <w:rFonts w:hint="eastAsia" w:ascii="仿宋_GB2312" w:hAnsi="仿宋_GB2312" w:eastAsia="仿宋_GB2312" w:cs="仿宋_GB2312"/>
                <w:color w:val="auto"/>
                <w:sz w:val="24"/>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6CF7ED54">
            <w:pPr>
              <w:jc w:val="center"/>
              <w:rPr>
                <w:rFonts w:hint="default"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2025年市区节日灯具安装工程</w:t>
            </w:r>
          </w:p>
        </w:tc>
        <w:tc>
          <w:tcPr>
            <w:tcW w:w="735" w:type="dxa"/>
            <w:tcBorders>
              <w:top w:val="single" w:color="auto" w:sz="4" w:space="0"/>
              <w:left w:val="single" w:color="auto" w:sz="4" w:space="0"/>
              <w:bottom w:val="single" w:color="auto" w:sz="4" w:space="0"/>
              <w:right w:val="single" w:color="auto" w:sz="4" w:space="0"/>
            </w:tcBorders>
            <w:vAlign w:val="center"/>
          </w:tcPr>
          <w:p w14:paraId="325DB738">
            <w:pPr>
              <w:jc w:val="center"/>
              <w:rPr>
                <w:rFonts w:hint="eastAsia" w:ascii="仿宋_GB2312" w:hAnsi="仿宋_GB2312" w:eastAsia="仿宋_GB2312" w:cs="仿宋_GB2312"/>
                <w:color w:val="auto"/>
                <w:sz w:val="24"/>
                <w:highlight w:val="none"/>
                <w:lang w:val="en-US" w:eastAsia="zh-CN"/>
              </w:rPr>
            </w:pPr>
          </w:p>
        </w:tc>
        <w:tc>
          <w:tcPr>
            <w:tcW w:w="840" w:type="dxa"/>
            <w:tcBorders>
              <w:top w:val="single" w:color="auto" w:sz="4" w:space="0"/>
              <w:left w:val="single" w:color="auto" w:sz="4" w:space="0"/>
              <w:bottom w:val="single" w:color="auto" w:sz="4" w:space="0"/>
              <w:right w:val="single" w:color="auto" w:sz="4" w:space="0"/>
            </w:tcBorders>
            <w:vAlign w:val="center"/>
          </w:tcPr>
          <w:p w14:paraId="34D87D11">
            <w:pPr>
              <w:jc w:val="center"/>
              <w:rPr>
                <w:rFonts w:hint="eastAsia" w:ascii="仿宋_GB2312" w:hAnsi="仿宋_GB2312" w:eastAsia="仿宋_GB2312" w:cs="仿宋_GB2312"/>
                <w:color w:val="auto"/>
                <w:sz w:val="24"/>
                <w:highlight w:val="none"/>
                <w:lang w:eastAsia="zh-CN"/>
              </w:rPr>
            </w:pPr>
          </w:p>
        </w:tc>
        <w:tc>
          <w:tcPr>
            <w:tcW w:w="8475" w:type="dxa"/>
            <w:tcBorders>
              <w:top w:val="single" w:color="auto" w:sz="4" w:space="0"/>
              <w:left w:val="single" w:color="auto" w:sz="4" w:space="0"/>
              <w:bottom w:val="single" w:color="auto" w:sz="4" w:space="0"/>
              <w:right w:val="single" w:color="auto" w:sz="4" w:space="0"/>
            </w:tcBorders>
          </w:tcPr>
          <w:p w14:paraId="7CC8A87E">
            <w:pPr>
              <w:jc w:val="left"/>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详见清单</w:t>
            </w:r>
          </w:p>
        </w:tc>
      </w:tr>
    </w:tbl>
    <w:p w14:paraId="02C0E1E1">
      <w:pPr>
        <w:pStyle w:val="15"/>
        <w:spacing w:line="560" w:lineRule="exact"/>
        <w:ind w:firstLine="560" w:firstLineChars="200"/>
        <w:rPr>
          <w:rFonts w:hint="eastAsia" w:ascii="仿宋_GB2312" w:hAnsi="宋体" w:eastAsia="仿宋_GB2312"/>
          <w:color w:val="auto"/>
          <w:szCs w:val="21"/>
          <w:highlight w:val="none"/>
        </w:rPr>
      </w:pPr>
    </w:p>
    <w:p w14:paraId="1E55E84F">
      <w:pPr>
        <w:widowControl/>
        <w:spacing w:line="200" w:lineRule="exact"/>
        <w:ind w:firstLine="200" w:firstLineChars="200"/>
        <w:jc w:val="center"/>
        <w:rPr>
          <w:rFonts w:ascii="仿宋_GB2312" w:hAnsi="宋体" w:eastAsia="仿宋_GB2312"/>
          <w:color w:val="auto"/>
          <w:sz w:val="10"/>
          <w:szCs w:val="10"/>
          <w:highlight w:val="none"/>
        </w:rPr>
      </w:pPr>
    </w:p>
    <w:p w14:paraId="15A924D6">
      <w:pPr>
        <w:widowControl/>
        <w:spacing w:line="560" w:lineRule="exact"/>
        <w:ind w:firstLine="643" w:firstLineChars="200"/>
        <w:jc w:val="center"/>
        <w:rPr>
          <w:rFonts w:ascii="楷体_GB2312" w:hAnsi="宋体" w:eastAsia="楷体_GB2312"/>
          <w:b/>
          <w:bCs/>
          <w:color w:val="auto"/>
          <w:kern w:val="44"/>
          <w:sz w:val="32"/>
          <w:szCs w:val="30"/>
          <w:highlight w:val="none"/>
        </w:rPr>
        <w:sectPr>
          <w:pgSz w:w="16838" w:h="11906" w:orient="landscape"/>
          <w:pgMar w:top="1077" w:right="1440" w:bottom="1077" w:left="1440" w:header="851" w:footer="992" w:gutter="0"/>
          <w:cols w:space="720" w:num="1"/>
          <w:docGrid w:type="lines" w:linePitch="312" w:charSpace="0"/>
        </w:sectPr>
      </w:pPr>
    </w:p>
    <w:p w14:paraId="2C769735">
      <w:pPr>
        <w:jc w:val="center"/>
        <w:rPr>
          <w:rFonts w:hint="eastAsia" w:ascii="仿宋_GB2312" w:hAnsi="宋体" w:eastAsia="仿宋_GB2312" w:cs="Times New Roman"/>
          <w:b/>
          <w:bCs/>
          <w:color w:val="auto"/>
          <w:sz w:val="28"/>
          <w:szCs w:val="28"/>
          <w:highlight w:val="none"/>
          <w:lang w:val="en-US" w:eastAsia="zh-CN"/>
        </w:rPr>
      </w:pPr>
      <w:r>
        <w:rPr>
          <w:rFonts w:hint="eastAsia" w:ascii="仿宋_GB2312" w:hAnsi="宋体" w:eastAsia="仿宋_GB2312" w:cs="Times New Roman"/>
          <w:b/>
          <w:bCs/>
          <w:color w:val="auto"/>
          <w:sz w:val="28"/>
          <w:szCs w:val="28"/>
          <w:highlight w:val="none"/>
          <w:lang w:val="en-US" w:eastAsia="zh-CN"/>
        </w:rPr>
        <w:t>样品明细表（所有灯具均包括安装调试）</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332"/>
        <w:gridCol w:w="700"/>
        <w:gridCol w:w="1522"/>
        <w:gridCol w:w="3278"/>
        <w:gridCol w:w="960"/>
      </w:tblGrid>
      <w:tr w14:paraId="5A98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697" w:type="dxa"/>
            <w:noWrap w:val="0"/>
            <w:vAlign w:val="center"/>
          </w:tcPr>
          <w:p w14:paraId="5072C8AB">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序号</w:t>
            </w:r>
          </w:p>
        </w:tc>
        <w:tc>
          <w:tcPr>
            <w:tcW w:w="1332" w:type="dxa"/>
            <w:noWrap w:val="0"/>
            <w:vAlign w:val="center"/>
          </w:tcPr>
          <w:p w14:paraId="59D7F400">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名称</w:t>
            </w:r>
          </w:p>
        </w:tc>
        <w:tc>
          <w:tcPr>
            <w:tcW w:w="700" w:type="dxa"/>
            <w:noWrap w:val="0"/>
            <w:vAlign w:val="center"/>
          </w:tcPr>
          <w:p w14:paraId="01C35335">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备注</w:t>
            </w:r>
          </w:p>
        </w:tc>
        <w:tc>
          <w:tcPr>
            <w:tcW w:w="1522" w:type="dxa"/>
            <w:noWrap w:val="0"/>
            <w:vAlign w:val="center"/>
          </w:tcPr>
          <w:p w14:paraId="37904EA6">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规格</w:t>
            </w:r>
          </w:p>
        </w:tc>
        <w:tc>
          <w:tcPr>
            <w:tcW w:w="3278" w:type="dxa"/>
            <w:noWrap w:val="0"/>
            <w:vAlign w:val="center"/>
          </w:tcPr>
          <w:p w14:paraId="3CA37A8E">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式样</w:t>
            </w:r>
          </w:p>
        </w:tc>
        <w:tc>
          <w:tcPr>
            <w:tcW w:w="960" w:type="dxa"/>
            <w:noWrap w:val="0"/>
            <w:vAlign w:val="center"/>
          </w:tcPr>
          <w:p w14:paraId="0BF55947">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样品</w:t>
            </w:r>
          </w:p>
        </w:tc>
      </w:tr>
      <w:tr w14:paraId="36429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68B573C0">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w:t>
            </w:r>
          </w:p>
        </w:tc>
        <w:tc>
          <w:tcPr>
            <w:tcW w:w="1332" w:type="dxa"/>
            <w:noWrap w:val="0"/>
            <w:vAlign w:val="center"/>
          </w:tcPr>
          <w:p w14:paraId="6AAA1FAD">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LED网灯</w:t>
            </w:r>
          </w:p>
        </w:tc>
        <w:tc>
          <w:tcPr>
            <w:tcW w:w="700" w:type="dxa"/>
            <w:noWrap w:val="0"/>
            <w:vAlign w:val="center"/>
          </w:tcPr>
          <w:p w14:paraId="60369256">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1F7760F0">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3*6米</w:t>
            </w:r>
          </w:p>
        </w:tc>
        <w:tc>
          <w:tcPr>
            <w:tcW w:w="3278" w:type="dxa"/>
            <w:noWrap w:val="0"/>
            <w:vAlign w:val="center"/>
          </w:tcPr>
          <w:p w14:paraId="1AE652CC">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899795" cy="899795"/>
                  <wp:effectExtent l="0" t="0" r="14605" b="14605"/>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24"/>
                          <a:stretch>
                            <a:fillRect/>
                          </a:stretch>
                        </pic:blipFill>
                        <pic:spPr>
                          <a:xfrm>
                            <a:off x="0" y="0"/>
                            <a:ext cx="899795" cy="899795"/>
                          </a:xfrm>
                          <a:prstGeom prst="rect">
                            <a:avLst/>
                          </a:prstGeom>
                          <a:noFill/>
                          <a:ln>
                            <a:noFill/>
                          </a:ln>
                        </pic:spPr>
                      </pic:pic>
                    </a:graphicData>
                  </a:graphic>
                </wp:inline>
              </w:drawing>
            </w:r>
          </w:p>
        </w:tc>
        <w:tc>
          <w:tcPr>
            <w:tcW w:w="960" w:type="dxa"/>
            <w:noWrap w:val="0"/>
            <w:vAlign w:val="center"/>
          </w:tcPr>
          <w:p w14:paraId="65A9410B">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r w14:paraId="2C38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4320795C">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2</w:t>
            </w:r>
          </w:p>
        </w:tc>
        <w:tc>
          <w:tcPr>
            <w:tcW w:w="1332" w:type="dxa"/>
            <w:noWrap w:val="0"/>
            <w:vAlign w:val="center"/>
          </w:tcPr>
          <w:p w14:paraId="6D763268">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LED灯笼</w:t>
            </w:r>
          </w:p>
        </w:tc>
        <w:tc>
          <w:tcPr>
            <w:tcW w:w="700" w:type="dxa"/>
            <w:noWrap w:val="0"/>
            <w:vAlign w:val="center"/>
          </w:tcPr>
          <w:p w14:paraId="6FC7368A">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4B5F85BA">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直径30cm</w:t>
            </w:r>
          </w:p>
        </w:tc>
        <w:tc>
          <w:tcPr>
            <w:tcW w:w="3278" w:type="dxa"/>
            <w:noWrap w:val="0"/>
            <w:vAlign w:val="center"/>
          </w:tcPr>
          <w:p w14:paraId="36751C1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682625" cy="899795"/>
                  <wp:effectExtent l="0" t="0" r="3175" b="14605"/>
                  <wp:docPr id="9" name="图片 3" descr="1611027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1611027180(1)"/>
                          <pic:cNvPicPr>
                            <a:picLocks noChangeAspect="1"/>
                          </pic:cNvPicPr>
                        </pic:nvPicPr>
                        <pic:blipFill>
                          <a:blip r:embed="rId25"/>
                          <a:stretch>
                            <a:fillRect/>
                          </a:stretch>
                        </pic:blipFill>
                        <pic:spPr>
                          <a:xfrm>
                            <a:off x="0" y="0"/>
                            <a:ext cx="682625" cy="899795"/>
                          </a:xfrm>
                          <a:prstGeom prst="rect">
                            <a:avLst/>
                          </a:prstGeom>
                          <a:noFill/>
                          <a:ln>
                            <a:noFill/>
                          </a:ln>
                        </pic:spPr>
                      </pic:pic>
                    </a:graphicData>
                  </a:graphic>
                </wp:inline>
              </w:drawing>
            </w:r>
          </w:p>
        </w:tc>
        <w:tc>
          <w:tcPr>
            <w:tcW w:w="960" w:type="dxa"/>
            <w:noWrap w:val="0"/>
            <w:vAlign w:val="center"/>
          </w:tcPr>
          <w:p w14:paraId="7DEA2E4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r w14:paraId="7117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027DA826">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3</w:t>
            </w:r>
          </w:p>
        </w:tc>
        <w:tc>
          <w:tcPr>
            <w:tcW w:w="1332" w:type="dxa"/>
            <w:noWrap w:val="0"/>
            <w:vAlign w:val="center"/>
          </w:tcPr>
          <w:p w14:paraId="1E3241EF">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LED灯串</w:t>
            </w:r>
          </w:p>
        </w:tc>
        <w:tc>
          <w:tcPr>
            <w:tcW w:w="700" w:type="dxa"/>
            <w:noWrap w:val="0"/>
            <w:vAlign w:val="center"/>
          </w:tcPr>
          <w:p w14:paraId="23F32624">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03EB553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10米/串</w:t>
            </w:r>
          </w:p>
        </w:tc>
        <w:tc>
          <w:tcPr>
            <w:tcW w:w="3278" w:type="dxa"/>
            <w:noWrap w:val="0"/>
            <w:vAlign w:val="center"/>
          </w:tcPr>
          <w:p w14:paraId="3FBC521C">
            <w:pPr>
              <w:jc w:val="left"/>
              <w:rPr>
                <w:rFonts w:hint="eastAsia" w:ascii="仿宋_GB2312" w:hAnsi="宋体" w:eastAsia="仿宋_GB2312" w:cs="Times New Roman"/>
                <w:color w:val="auto"/>
                <w:sz w:val="24"/>
                <w:highlight w:val="none"/>
                <w:lang w:val="en-US" w:eastAsia="zh-CN"/>
              </w:rPr>
            </w:pPr>
          </w:p>
        </w:tc>
        <w:tc>
          <w:tcPr>
            <w:tcW w:w="960" w:type="dxa"/>
            <w:noWrap w:val="0"/>
            <w:vAlign w:val="center"/>
          </w:tcPr>
          <w:p w14:paraId="22815FDB">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r w14:paraId="17D2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2E492B05">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4</w:t>
            </w:r>
          </w:p>
        </w:tc>
        <w:tc>
          <w:tcPr>
            <w:tcW w:w="1332" w:type="dxa"/>
            <w:noWrap w:val="0"/>
            <w:vAlign w:val="center"/>
          </w:tcPr>
          <w:p w14:paraId="7BE5B638">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LED星光灯</w:t>
            </w:r>
          </w:p>
        </w:tc>
        <w:tc>
          <w:tcPr>
            <w:tcW w:w="700" w:type="dxa"/>
            <w:noWrap w:val="0"/>
            <w:vAlign w:val="center"/>
          </w:tcPr>
          <w:p w14:paraId="0D4DDB47">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41C92C32">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直径30-40cm</w:t>
            </w:r>
          </w:p>
        </w:tc>
        <w:tc>
          <w:tcPr>
            <w:tcW w:w="3278" w:type="dxa"/>
            <w:noWrap w:val="0"/>
            <w:vAlign w:val="center"/>
          </w:tcPr>
          <w:p w14:paraId="582732C6">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897890" cy="946150"/>
                  <wp:effectExtent l="0" t="0" r="16510" b="6350"/>
                  <wp:docPr id="11" name="图片 11" descr="55ef34e52f74e777b0f1d54d796a2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55ef34e52f74e777b0f1d54d796a2c9"/>
                          <pic:cNvPicPr>
                            <a:picLocks noChangeAspect="1"/>
                          </pic:cNvPicPr>
                        </pic:nvPicPr>
                        <pic:blipFill>
                          <a:blip r:embed="rId26"/>
                          <a:stretch>
                            <a:fillRect/>
                          </a:stretch>
                        </pic:blipFill>
                        <pic:spPr>
                          <a:xfrm>
                            <a:off x="0" y="0"/>
                            <a:ext cx="897890" cy="946150"/>
                          </a:xfrm>
                          <a:prstGeom prst="rect">
                            <a:avLst/>
                          </a:prstGeom>
                        </pic:spPr>
                      </pic:pic>
                    </a:graphicData>
                  </a:graphic>
                </wp:inline>
              </w:drawing>
            </w:r>
            <w:r>
              <w:rPr>
                <w:rFonts w:hint="eastAsia" w:ascii="仿宋_GB2312" w:hAnsi="宋体" w:eastAsia="仿宋_GB2312" w:cs="Times New Roman"/>
                <w:color w:val="auto"/>
                <w:sz w:val="24"/>
                <w:highlight w:val="none"/>
                <w:lang w:val="en-US" w:eastAsia="zh-CN"/>
              </w:rPr>
              <w:drawing>
                <wp:inline distT="0" distB="0" distL="114300" distR="114300">
                  <wp:extent cx="924560" cy="1232535"/>
                  <wp:effectExtent l="0" t="0" r="8890" b="5715"/>
                  <wp:docPr id="12" name="图片 12" descr="a2de00b7bc7f8c68a5c4ffd87ff5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2de00b7bc7f8c68a5c4ffd87ff5b60"/>
                          <pic:cNvPicPr>
                            <a:picLocks noChangeAspect="1"/>
                          </pic:cNvPicPr>
                        </pic:nvPicPr>
                        <pic:blipFill>
                          <a:blip r:embed="rId27"/>
                          <a:stretch>
                            <a:fillRect/>
                          </a:stretch>
                        </pic:blipFill>
                        <pic:spPr>
                          <a:xfrm>
                            <a:off x="0" y="0"/>
                            <a:ext cx="924560" cy="1232535"/>
                          </a:xfrm>
                          <a:prstGeom prst="rect">
                            <a:avLst/>
                          </a:prstGeom>
                        </pic:spPr>
                      </pic:pic>
                    </a:graphicData>
                  </a:graphic>
                </wp:inline>
              </w:drawing>
            </w:r>
          </w:p>
        </w:tc>
        <w:tc>
          <w:tcPr>
            <w:tcW w:w="960" w:type="dxa"/>
            <w:noWrap w:val="0"/>
            <w:vAlign w:val="center"/>
          </w:tcPr>
          <w:p w14:paraId="56522050">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各1个</w:t>
            </w:r>
          </w:p>
        </w:tc>
      </w:tr>
      <w:tr w14:paraId="770A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57D21E68">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5</w:t>
            </w:r>
          </w:p>
        </w:tc>
        <w:tc>
          <w:tcPr>
            <w:tcW w:w="1332" w:type="dxa"/>
            <w:noWrap w:val="0"/>
            <w:vAlign w:val="center"/>
          </w:tcPr>
          <w:p w14:paraId="764EA4E0">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4号国旗</w:t>
            </w:r>
          </w:p>
        </w:tc>
        <w:tc>
          <w:tcPr>
            <w:tcW w:w="700" w:type="dxa"/>
            <w:noWrap w:val="0"/>
            <w:vAlign w:val="center"/>
          </w:tcPr>
          <w:p w14:paraId="64CD62AF">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598FD3F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4号</w:t>
            </w:r>
          </w:p>
        </w:tc>
        <w:tc>
          <w:tcPr>
            <w:tcW w:w="3278" w:type="dxa"/>
            <w:noWrap w:val="0"/>
            <w:vAlign w:val="center"/>
          </w:tcPr>
          <w:p w14:paraId="5AFA3A7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535940" cy="899795"/>
                  <wp:effectExtent l="0" t="0" r="16510" b="14605"/>
                  <wp:docPr id="10" name="图片 10" descr="1611027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11027138(1)"/>
                          <pic:cNvPicPr>
                            <a:picLocks noChangeAspect="1"/>
                          </pic:cNvPicPr>
                        </pic:nvPicPr>
                        <pic:blipFill>
                          <a:blip r:embed="rId28"/>
                          <a:stretch>
                            <a:fillRect/>
                          </a:stretch>
                        </pic:blipFill>
                        <pic:spPr>
                          <a:xfrm>
                            <a:off x="0" y="0"/>
                            <a:ext cx="535940" cy="899795"/>
                          </a:xfrm>
                          <a:prstGeom prst="rect">
                            <a:avLst/>
                          </a:prstGeom>
                          <a:noFill/>
                          <a:ln>
                            <a:noFill/>
                          </a:ln>
                        </pic:spPr>
                      </pic:pic>
                    </a:graphicData>
                  </a:graphic>
                </wp:inline>
              </w:drawing>
            </w:r>
          </w:p>
        </w:tc>
        <w:tc>
          <w:tcPr>
            <w:tcW w:w="960" w:type="dxa"/>
            <w:noWrap w:val="0"/>
            <w:vAlign w:val="center"/>
          </w:tcPr>
          <w:p w14:paraId="10B67AF0">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r w14:paraId="7765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6AB72D39">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6</w:t>
            </w:r>
          </w:p>
        </w:tc>
        <w:tc>
          <w:tcPr>
            <w:tcW w:w="1332" w:type="dxa"/>
            <w:noWrap w:val="0"/>
            <w:vAlign w:val="center"/>
          </w:tcPr>
          <w:p w14:paraId="2EB095F7">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三串灯笼</w:t>
            </w:r>
          </w:p>
        </w:tc>
        <w:tc>
          <w:tcPr>
            <w:tcW w:w="700" w:type="dxa"/>
            <w:noWrap w:val="0"/>
            <w:vAlign w:val="center"/>
          </w:tcPr>
          <w:p w14:paraId="49C30F6C">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583392F6">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直径80cm三个一组的发光灯笼</w:t>
            </w:r>
          </w:p>
        </w:tc>
        <w:tc>
          <w:tcPr>
            <w:tcW w:w="3278" w:type="dxa"/>
            <w:noWrap w:val="0"/>
            <w:vAlign w:val="center"/>
          </w:tcPr>
          <w:p w14:paraId="4280BB34">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451485" cy="899795"/>
                  <wp:effectExtent l="0" t="0" r="5715" b="14605"/>
                  <wp:docPr id="13" name="图片 8" descr="1611027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1611027328(1)"/>
                          <pic:cNvPicPr>
                            <a:picLocks noChangeAspect="1"/>
                          </pic:cNvPicPr>
                        </pic:nvPicPr>
                        <pic:blipFill>
                          <a:blip r:embed="rId29"/>
                          <a:stretch>
                            <a:fillRect/>
                          </a:stretch>
                        </pic:blipFill>
                        <pic:spPr>
                          <a:xfrm>
                            <a:off x="0" y="0"/>
                            <a:ext cx="451485" cy="899795"/>
                          </a:xfrm>
                          <a:prstGeom prst="rect">
                            <a:avLst/>
                          </a:prstGeom>
                          <a:noFill/>
                          <a:ln>
                            <a:noFill/>
                          </a:ln>
                        </pic:spPr>
                      </pic:pic>
                    </a:graphicData>
                  </a:graphic>
                </wp:inline>
              </w:drawing>
            </w:r>
          </w:p>
        </w:tc>
        <w:tc>
          <w:tcPr>
            <w:tcW w:w="960" w:type="dxa"/>
            <w:noWrap w:val="0"/>
            <w:vAlign w:val="center"/>
          </w:tcPr>
          <w:p w14:paraId="18599542">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r w14:paraId="2E85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697" w:type="dxa"/>
            <w:noWrap w:val="0"/>
            <w:vAlign w:val="center"/>
          </w:tcPr>
          <w:p w14:paraId="6F5A85E2">
            <w:pPr>
              <w:jc w:val="left"/>
              <w:rPr>
                <w:rFonts w:hint="default"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7</w:t>
            </w:r>
          </w:p>
        </w:tc>
        <w:tc>
          <w:tcPr>
            <w:tcW w:w="1332" w:type="dxa"/>
            <w:noWrap w:val="0"/>
            <w:vAlign w:val="center"/>
          </w:tcPr>
          <w:p w14:paraId="14974939">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小中国结</w:t>
            </w:r>
          </w:p>
        </w:tc>
        <w:tc>
          <w:tcPr>
            <w:tcW w:w="700" w:type="dxa"/>
            <w:noWrap w:val="0"/>
            <w:vAlign w:val="center"/>
          </w:tcPr>
          <w:p w14:paraId="4999E482">
            <w:pPr>
              <w:jc w:val="left"/>
              <w:rPr>
                <w:rFonts w:hint="eastAsia" w:ascii="仿宋_GB2312" w:hAnsi="宋体" w:eastAsia="仿宋_GB2312" w:cs="Times New Roman"/>
                <w:color w:val="auto"/>
                <w:sz w:val="24"/>
                <w:highlight w:val="none"/>
                <w:lang w:val="en-US" w:eastAsia="zh-CN"/>
              </w:rPr>
            </w:pPr>
          </w:p>
        </w:tc>
        <w:tc>
          <w:tcPr>
            <w:tcW w:w="1522" w:type="dxa"/>
            <w:noWrap w:val="0"/>
            <w:vAlign w:val="center"/>
          </w:tcPr>
          <w:p w14:paraId="7F7D827B">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120*60cm</w:t>
            </w:r>
          </w:p>
        </w:tc>
        <w:tc>
          <w:tcPr>
            <w:tcW w:w="3278" w:type="dxa"/>
            <w:noWrap w:val="0"/>
            <w:vAlign w:val="center"/>
          </w:tcPr>
          <w:p w14:paraId="448D7111">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drawing>
                <wp:inline distT="0" distB="0" distL="114300" distR="114300">
                  <wp:extent cx="451485" cy="899795"/>
                  <wp:effectExtent l="0" t="0" r="5715" b="1460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30"/>
                          <a:stretch>
                            <a:fillRect/>
                          </a:stretch>
                        </pic:blipFill>
                        <pic:spPr>
                          <a:xfrm>
                            <a:off x="0" y="0"/>
                            <a:ext cx="451485" cy="899795"/>
                          </a:xfrm>
                          <a:prstGeom prst="rect">
                            <a:avLst/>
                          </a:prstGeom>
                          <a:noFill/>
                          <a:ln>
                            <a:noFill/>
                          </a:ln>
                        </pic:spPr>
                      </pic:pic>
                    </a:graphicData>
                  </a:graphic>
                </wp:inline>
              </w:drawing>
            </w:r>
          </w:p>
        </w:tc>
        <w:tc>
          <w:tcPr>
            <w:tcW w:w="960" w:type="dxa"/>
            <w:noWrap w:val="0"/>
            <w:vAlign w:val="center"/>
          </w:tcPr>
          <w:p w14:paraId="762858D9">
            <w:pPr>
              <w:jc w:val="left"/>
              <w:rPr>
                <w:rFonts w:hint="eastAsia" w:ascii="仿宋_GB2312" w:hAnsi="宋体" w:eastAsia="仿宋_GB2312" w:cs="Times New Roman"/>
                <w:color w:val="auto"/>
                <w:sz w:val="24"/>
                <w:highlight w:val="none"/>
                <w:lang w:val="en-US" w:eastAsia="zh-CN"/>
              </w:rPr>
            </w:pPr>
            <w:r>
              <w:rPr>
                <w:rFonts w:hint="eastAsia" w:ascii="仿宋_GB2312" w:hAnsi="宋体" w:eastAsia="仿宋_GB2312" w:cs="Times New Roman"/>
                <w:color w:val="auto"/>
                <w:sz w:val="24"/>
                <w:highlight w:val="none"/>
                <w:lang w:val="en-US" w:eastAsia="zh-CN"/>
              </w:rPr>
              <w:t>1个</w:t>
            </w:r>
          </w:p>
        </w:tc>
      </w:tr>
    </w:tbl>
    <w:p w14:paraId="130D4AF4">
      <w:pPr>
        <w:rPr>
          <w:rFonts w:hint="eastAsia" w:ascii="楷体_GB2312" w:hAnsi="宋体" w:eastAsia="楷体_GB2312"/>
          <w:b/>
          <w:bCs/>
          <w:color w:val="auto"/>
          <w:kern w:val="44"/>
          <w:sz w:val="32"/>
          <w:szCs w:val="30"/>
          <w:highlight w:val="none"/>
        </w:rPr>
      </w:pPr>
    </w:p>
    <w:p w14:paraId="75549E65">
      <w:pPr>
        <w:widowControl/>
        <w:spacing w:line="560" w:lineRule="exact"/>
        <w:ind w:firstLine="643" w:firstLineChars="20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第三部分 技术要求</w:t>
      </w:r>
    </w:p>
    <w:p w14:paraId="461C8FEA">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一、需执行的标准</w:t>
      </w:r>
    </w:p>
    <w:p w14:paraId="3975DF0A">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1）国家相关标准：按照国家最新标准执行  </w:t>
      </w:r>
    </w:p>
    <w:p w14:paraId="4EF05846">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2）行业标准：按照行业最新标准执行  </w:t>
      </w:r>
    </w:p>
    <w:p w14:paraId="336086D8">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3）地方标准：按照地方最新标准执行  </w:t>
      </w:r>
    </w:p>
    <w:p w14:paraId="1034EF5C">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4）其他标准：按照最新标准执行</w:t>
      </w:r>
    </w:p>
    <w:p w14:paraId="25481847">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二、实施及交付</w:t>
      </w:r>
    </w:p>
    <w:p w14:paraId="491B20E0">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1）质量要求</w:t>
      </w:r>
    </w:p>
    <w:p w14:paraId="17730015">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合格 </w:t>
      </w:r>
    </w:p>
    <w:p w14:paraId="6BCCF4BD">
      <w:pPr>
        <w:spacing w:line="560" w:lineRule="exact"/>
        <w:ind w:firstLine="560" w:firstLineChars="200"/>
        <w:rPr>
          <w:rFonts w:ascii="仿宋_GB2312" w:hAnsi="宋体" w:eastAsia="仿宋_GB2312"/>
          <w:color w:val="auto"/>
          <w:sz w:val="28"/>
          <w:szCs w:val="21"/>
          <w:highlight w:val="none"/>
        </w:rPr>
      </w:pPr>
      <w:r>
        <w:rPr>
          <w:rFonts w:ascii="仿宋_GB2312" w:hAnsi="宋体" w:eastAsia="仿宋_GB2312"/>
          <w:color w:val="auto"/>
          <w:sz w:val="28"/>
          <w:szCs w:val="21"/>
          <w:highlight w:val="none"/>
        </w:rPr>
        <w:t>2）安全要求</w:t>
      </w:r>
    </w:p>
    <w:p w14:paraId="49FA2D5E">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使用安全 </w:t>
      </w:r>
    </w:p>
    <w:p w14:paraId="09361A14">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3）交付期</w:t>
      </w:r>
    </w:p>
    <w:p w14:paraId="31CE6BF3">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lang w:eastAsia="zh-CN"/>
        </w:rPr>
        <w:t>合同签订后20日历天内安装调试完毕。</w:t>
      </w:r>
    </w:p>
    <w:p w14:paraId="21F34474">
      <w:pPr>
        <w:spacing w:line="560" w:lineRule="exact"/>
        <w:ind w:firstLine="560" w:firstLineChars="200"/>
        <w:rPr>
          <w:rFonts w:ascii="仿宋_GB2312" w:hAnsi="宋体" w:eastAsia="仿宋_GB2312"/>
          <w:color w:val="auto"/>
          <w:sz w:val="28"/>
          <w:szCs w:val="21"/>
          <w:highlight w:val="none"/>
        </w:rPr>
      </w:pPr>
      <w:r>
        <w:rPr>
          <w:rFonts w:ascii="仿宋_GB2312" w:hAnsi="宋体" w:eastAsia="仿宋_GB2312"/>
          <w:color w:val="auto"/>
          <w:sz w:val="28"/>
          <w:szCs w:val="21"/>
          <w:highlight w:val="none"/>
        </w:rPr>
        <w:t>4）交付（实施）地点</w:t>
      </w:r>
    </w:p>
    <w:p w14:paraId="1538BB9C">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采购人指定地点 </w:t>
      </w:r>
    </w:p>
    <w:p w14:paraId="7B51AB99">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5）付款方式</w:t>
      </w:r>
    </w:p>
    <w:p w14:paraId="182FE9B9">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8"/>
          <w:highlight w:val="none"/>
          <w:lang w:eastAsia="zh-CN"/>
        </w:rPr>
        <w:t>按工程形象进度付款，按月计量，在建设期内支付30%，工程竣工验收合格支付到合同价款的50%，审计结束支付到结算价款的70%，剩余资金分三年付清，每年支付10%。</w:t>
      </w:r>
    </w:p>
    <w:p w14:paraId="445F370E">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三、服务要求</w:t>
      </w:r>
    </w:p>
    <w:p w14:paraId="2D76D7EE">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1）服务标准</w:t>
      </w:r>
    </w:p>
    <w:p w14:paraId="0BABB88D">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 xml:space="preserve">在规定的期限内，保质保量完成供货任务。 </w:t>
      </w:r>
    </w:p>
    <w:p w14:paraId="7BF8570D">
      <w:pPr>
        <w:spacing w:line="560" w:lineRule="exact"/>
        <w:ind w:firstLine="560" w:firstLineChars="200"/>
        <w:rPr>
          <w:rFonts w:ascii="仿宋_GB2312" w:hAnsi="宋体" w:eastAsia="仿宋_GB2312"/>
          <w:color w:val="auto"/>
          <w:sz w:val="28"/>
          <w:szCs w:val="21"/>
          <w:highlight w:val="none"/>
        </w:rPr>
      </w:pPr>
      <w:r>
        <w:rPr>
          <w:rFonts w:ascii="仿宋_GB2312" w:hAnsi="宋体" w:eastAsia="仿宋_GB2312"/>
          <w:color w:val="auto"/>
          <w:sz w:val="28"/>
          <w:szCs w:val="21"/>
          <w:highlight w:val="none"/>
        </w:rPr>
        <w:t>2）</w:t>
      </w:r>
      <w:r>
        <w:rPr>
          <w:rFonts w:hint="eastAsia" w:ascii="仿宋_GB2312" w:hAnsi="宋体" w:eastAsia="仿宋_GB2312"/>
          <w:color w:val="auto"/>
          <w:sz w:val="28"/>
          <w:szCs w:val="21"/>
          <w:highlight w:val="none"/>
        </w:rPr>
        <w:t>质保期</w:t>
      </w:r>
    </w:p>
    <w:p w14:paraId="73043962">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lang w:eastAsia="zh-CN"/>
        </w:rPr>
        <w:t xml:space="preserve">由报价企业提报最长的质保年限，不得低于1年，否则为无效报价。 </w:t>
      </w:r>
    </w:p>
    <w:p w14:paraId="346A5D58">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四、验收标准</w:t>
      </w:r>
    </w:p>
    <w:p w14:paraId="133F8010">
      <w:pPr>
        <w:spacing w:line="56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8"/>
          <w:highlight w:val="none"/>
        </w:rPr>
        <w:t xml:space="preserve">符合相关技术要求及行业标准。 </w:t>
      </w:r>
      <w:r>
        <w:rPr>
          <w:rFonts w:hint="eastAsia" w:ascii="仿宋_GB2312" w:hAnsi="宋体" w:eastAsia="仿宋_GB2312"/>
          <w:color w:val="auto"/>
          <w:sz w:val="28"/>
          <w:szCs w:val="21"/>
          <w:highlight w:val="none"/>
        </w:rPr>
        <w:t xml:space="preserve"> </w:t>
      </w:r>
    </w:p>
    <w:p w14:paraId="20C1F5E1">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五、其他技术及服务要求</w:t>
      </w:r>
    </w:p>
    <w:p w14:paraId="3B8CD751">
      <w:pPr>
        <w:spacing w:line="560" w:lineRule="exact"/>
        <w:ind w:firstLine="560" w:firstLineChars="200"/>
        <w:rPr>
          <w:rFonts w:ascii="仿宋_GB2312" w:hAnsi="宋体" w:eastAsia="仿宋_GB2312"/>
          <w:color w:val="auto"/>
          <w:sz w:val="28"/>
          <w:szCs w:val="28"/>
          <w:highlight w:val="none"/>
        </w:rPr>
      </w:pPr>
      <w:r>
        <w:rPr>
          <w:rFonts w:hint="eastAsia" w:ascii="仿宋" w:hAnsi="仿宋" w:eastAsia="仿宋"/>
          <w:color w:val="auto"/>
          <w:sz w:val="28"/>
          <w:szCs w:val="28"/>
          <w:highlight w:val="none"/>
        </w:rPr>
        <w:t>应达到国家或行业标准；无国家或行业标准的须达到招标文件的要求</w:t>
      </w:r>
      <w:r>
        <w:rPr>
          <w:rFonts w:hint="eastAsia" w:ascii="仿宋_GB2312" w:hAnsi="宋体" w:eastAsia="仿宋_GB2312"/>
          <w:color w:val="auto"/>
          <w:sz w:val="28"/>
          <w:szCs w:val="28"/>
          <w:highlight w:val="none"/>
        </w:rPr>
        <w:t>。</w:t>
      </w:r>
    </w:p>
    <w:p w14:paraId="6BB5B421">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六、采购人拟采用的采购方式</w:t>
      </w:r>
    </w:p>
    <w:p w14:paraId="4BAF43B5">
      <w:pPr>
        <w:widowControl/>
        <w:adjustRightInd w:val="0"/>
        <w:spacing w:line="560" w:lineRule="exact"/>
        <w:ind w:firstLine="560" w:firstLineChars="200"/>
        <w:jc w:val="left"/>
        <w:rPr>
          <w:rFonts w:ascii="黑体" w:hAnsi="黑体" w:eastAsia="黑体"/>
          <w:color w:val="auto"/>
          <w:sz w:val="32"/>
          <w:szCs w:val="32"/>
          <w:highlight w:val="none"/>
        </w:rPr>
      </w:pPr>
      <w:r>
        <w:rPr>
          <w:rFonts w:hint="eastAsia" w:ascii="仿宋_GB2312" w:hAnsi="宋体" w:eastAsia="仿宋_GB2312"/>
          <w:color w:val="auto"/>
          <w:sz w:val="28"/>
          <w:highlight w:val="none"/>
        </w:rPr>
        <w:t>竞争性磋商</w:t>
      </w:r>
    </w:p>
    <w:p w14:paraId="2631A1C0">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七、采购人拟采用采购方式的理由（非公开招标方式需要填写）</w:t>
      </w:r>
    </w:p>
    <w:p w14:paraId="5D47E602">
      <w:pPr>
        <w:spacing w:line="56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未达到公开招标限额。</w:t>
      </w:r>
    </w:p>
    <w:p w14:paraId="7557D977">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八、采购意向是否公开</w:t>
      </w:r>
      <w:r>
        <w:rPr>
          <w:rFonts w:hint="eastAsia" w:ascii="仿宋_GB2312" w:hAnsi="宋体" w:eastAsia="仿宋_GB2312"/>
          <w:b/>
          <w:color w:val="auto"/>
          <w:sz w:val="28"/>
          <w:szCs w:val="21"/>
          <w:highlight w:val="none"/>
        </w:rPr>
        <w:t>：是</w:t>
      </w:r>
    </w:p>
    <w:p w14:paraId="0587C9E2">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九、是否收取各类涉企保证金（投标保证金、履约保证金)：</w:t>
      </w:r>
      <w:r>
        <w:rPr>
          <w:rFonts w:hint="eastAsia" w:ascii="仿宋_GB2312" w:hAnsi="宋体" w:eastAsia="仿宋_GB2312"/>
          <w:b/>
          <w:color w:val="auto"/>
          <w:sz w:val="28"/>
          <w:szCs w:val="21"/>
          <w:highlight w:val="none"/>
        </w:rPr>
        <w:t>否</w:t>
      </w:r>
    </w:p>
    <w:p w14:paraId="3736CA47">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十、是否为专门面向中小企业采购：</w:t>
      </w:r>
      <w:r>
        <w:rPr>
          <w:rFonts w:ascii="仿宋_GB2312" w:hAnsi="宋体" w:eastAsia="仿宋_GB2312"/>
          <w:b/>
          <w:color w:val="auto"/>
          <w:sz w:val="28"/>
          <w:szCs w:val="21"/>
          <w:highlight w:val="none"/>
        </w:rPr>
        <w:t>是</w:t>
      </w:r>
    </w:p>
    <w:p w14:paraId="27276857">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十一、是否允许联合体响应：</w:t>
      </w:r>
      <w:r>
        <w:rPr>
          <w:rFonts w:hint="eastAsia" w:ascii="仿宋_GB2312" w:hAnsi="宋体" w:eastAsia="仿宋_GB2312"/>
          <w:b/>
          <w:color w:val="auto"/>
          <w:sz w:val="28"/>
          <w:szCs w:val="21"/>
          <w:highlight w:val="none"/>
        </w:rPr>
        <w:t>否；</w:t>
      </w:r>
    </w:p>
    <w:p w14:paraId="630F4C5F">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十二、对中小企业在资金支付期限、预付款比例等方面的优惠措施：无</w:t>
      </w:r>
    </w:p>
    <w:p w14:paraId="30FDBBC9">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rPr>
        <w:t>十三、采购标的对应的中小企业划分标准所属行业：其他未列明行业。</w:t>
      </w:r>
    </w:p>
    <w:p w14:paraId="6EBEE9EB">
      <w:pPr>
        <w:spacing w:line="560" w:lineRule="exact"/>
        <w:ind w:firstLine="562" w:firstLineChars="200"/>
        <w:rPr>
          <w:rFonts w:ascii="仿宋_GB2312" w:hAnsi="宋体" w:eastAsia="仿宋_GB2312"/>
          <w:b/>
          <w:color w:val="auto"/>
          <w:sz w:val="28"/>
          <w:szCs w:val="21"/>
          <w:highlight w:val="none"/>
        </w:rPr>
      </w:pPr>
      <w:r>
        <w:rPr>
          <w:rFonts w:hint="eastAsia" w:ascii="黑体" w:hAnsi="黑体" w:eastAsia="黑体"/>
          <w:b/>
          <w:color w:val="auto"/>
          <w:sz w:val="28"/>
          <w:szCs w:val="21"/>
          <w:highlight w:val="none"/>
        </w:rPr>
        <w:t xml:space="preserve">十四、联系方式 </w:t>
      </w:r>
    </w:p>
    <w:p w14:paraId="00A07BB9">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rPr>
        <w:t>采购人：</w:t>
      </w:r>
      <w:r>
        <w:rPr>
          <w:rFonts w:ascii="仿宋_GB2312" w:hAnsi="宋体" w:eastAsia="仿宋_GB2312"/>
          <w:color w:val="auto"/>
          <w:sz w:val="28"/>
          <w:szCs w:val="21"/>
          <w:highlight w:val="none"/>
        </w:rPr>
        <w:t xml:space="preserve"> </w:t>
      </w:r>
      <w:r>
        <w:rPr>
          <w:rFonts w:hint="eastAsia" w:ascii="仿宋_GB2312" w:hAnsi="宋体" w:eastAsia="仿宋_GB2312"/>
          <w:color w:val="auto"/>
          <w:sz w:val="28"/>
          <w:szCs w:val="21"/>
          <w:highlight w:val="none"/>
          <w:lang w:eastAsia="zh-CN"/>
        </w:rPr>
        <w:t>乳山市城市管理综合服务中心</w:t>
      </w:r>
    </w:p>
    <w:p w14:paraId="7BA4D474">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rPr>
        <w:t>采购人地址：</w:t>
      </w:r>
      <w:r>
        <w:rPr>
          <w:rFonts w:hint="eastAsia" w:ascii="仿宋_GB2312" w:hAnsi="宋体" w:eastAsia="仿宋_GB2312"/>
          <w:color w:val="auto"/>
          <w:sz w:val="28"/>
          <w:szCs w:val="21"/>
          <w:highlight w:val="none"/>
          <w:lang w:eastAsia="zh-CN"/>
        </w:rPr>
        <w:t>乳山市胜利街38号</w:t>
      </w:r>
    </w:p>
    <w:p w14:paraId="3E91FE3A">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rPr>
        <w:t>联系人：</w:t>
      </w:r>
      <w:r>
        <w:rPr>
          <w:rFonts w:hint="eastAsia" w:ascii="仿宋_GB2312" w:hAnsi="宋体" w:eastAsia="仿宋_GB2312"/>
          <w:color w:val="auto"/>
          <w:sz w:val="28"/>
          <w:szCs w:val="21"/>
          <w:highlight w:val="none"/>
          <w:lang w:eastAsia="zh-CN"/>
        </w:rPr>
        <w:t>杜俊科</w:t>
      </w:r>
    </w:p>
    <w:p w14:paraId="5FA2FD95">
      <w:pPr>
        <w:spacing w:line="560" w:lineRule="exact"/>
        <w:ind w:firstLine="560" w:firstLineChars="200"/>
        <w:rPr>
          <w:rFonts w:hint="eastAsia" w:ascii="仿宋_GB2312" w:hAnsi="宋体" w:eastAsia="仿宋_GB2312"/>
          <w:color w:val="auto"/>
          <w:sz w:val="28"/>
          <w:szCs w:val="21"/>
          <w:highlight w:val="none"/>
          <w:lang w:eastAsia="zh-CN"/>
        </w:rPr>
      </w:pPr>
      <w:r>
        <w:rPr>
          <w:rFonts w:hint="eastAsia" w:ascii="仿宋_GB2312" w:hAnsi="宋体" w:eastAsia="仿宋_GB2312"/>
          <w:color w:val="auto"/>
          <w:sz w:val="28"/>
          <w:szCs w:val="21"/>
          <w:highlight w:val="none"/>
        </w:rPr>
        <w:t>联系电话：</w:t>
      </w:r>
      <w:r>
        <w:rPr>
          <w:rFonts w:hint="eastAsia" w:ascii="仿宋_GB2312" w:hAnsi="宋体" w:eastAsia="仿宋_GB2312"/>
          <w:color w:val="auto"/>
          <w:sz w:val="28"/>
          <w:szCs w:val="21"/>
          <w:highlight w:val="none"/>
          <w:lang w:eastAsia="zh-CN"/>
        </w:rPr>
        <w:t xml:space="preserve">0631-6624158 </w:t>
      </w:r>
    </w:p>
    <w:p w14:paraId="517D4096">
      <w:pPr>
        <w:rPr>
          <w:color w:val="auto"/>
          <w:highlight w:val="none"/>
        </w:rPr>
        <w:sectPr>
          <w:pgSz w:w="11906" w:h="16838"/>
          <w:pgMar w:top="1440" w:right="1077" w:bottom="1440" w:left="1077" w:header="851" w:footer="992" w:gutter="0"/>
          <w:cols w:space="720" w:num="1"/>
          <w:docGrid w:type="lines" w:linePitch="312" w:charSpace="0"/>
        </w:sectPr>
      </w:pPr>
    </w:p>
    <w:p w14:paraId="2611BB7D">
      <w:pPr>
        <w:pStyle w:val="33"/>
        <w:spacing w:before="100" w:beforeAutospacing="1" w:after="100" w:afterAutospacing="1" w:line="415" w:lineRule="auto"/>
        <w:rPr>
          <w:rFonts w:ascii="楷体_GB2312" w:hAnsi="宋体" w:eastAsia="楷体_GB2312" w:cs="宋体"/>
          <w:color w:val="auto"/>
          <w:sz w:val="44"/>
          <w:szCs w:val="44"/>
          <w:highlight w:val="none"/>
        </w:rPr>
      </w:pPr>
      <w:r>
        <w:rPr>
          <w:rFonts w:hint="eastAsia" w:ascii="楷体_GB2312" w:hAnsi="宋体" w:eastAsia="楷体_GB2312" w:cs="宋体"/>
          <w:color w:val="auto"/>
          <w:sz w:val="44"/>
          <w:szCs w:val="44"/>
          <w:highlight w:val="none"/>
        </w:rPr>
        <w:t>第四章 磋商原则、程序和方法</w:t>
      </w:r>
    </w:p>
    <w:p w14:paraId="29D46604">
      <w:pPr>
        <w:spacing w:line="720" w:lineRule="auto"/>
        <w:ind w:firstLine="562" w:firstLineChars="200"/>
        <w:rPr>
          <w:rFonts w:ascii="楷体_GB2312" w:eastAsia="楷体_GB2312"/>
          <w:b/>
          <w:color w:val="auto"/>
          <w:sz w:val="28"/>
          <w:szCs w:val="28"/>
          <w:highlight w:val="none"/>
        </w:rPr>
      </w:pPr>
      <w:r>
        <w:rPr>
          <w:rFonts w:hint="eastAsia" w:ascii="楷体_GB2312" w:eastAsia="楷体_GB2312"/>
          <w:b/>
          <w:color w:val="auto"/>
          <w:sz w:val="28"/>
          <w:szCs w:val="28"/>
          <w:highlight w:val="none"/>
        </w:rPr>
        <w:t>一、评审原则</w:t>
      </w:r>
    </w:p>
    <w:p w14:paraId="32AC353F">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“客观、公正、审慎”为本次评审的基本原则，磋商小组将按照这一原则的要求，公正、平等地对待各报价供应商，同时，在评审时恪守以下原则：</w:t>
      </w:r>
    </w:p>
    <w:p w14:paraId="52439F16">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1.客观性原则：磋商小组将严格按照竞争性磋商文件的要求，对报价供应商的响应文件进行认真评审，磋商小组对响应文件的评审仅依据响应文件本身，而不依靠响应文件以外的任何因素。</w:t>
      </w:r>
    </w:p>
    <w:p w14:paraId="34BF5DAF">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2.统一性原则：磋商小组将按照统一的评审原则和评审方法，采用统一标准进行评审。</w:t>
      </w:r>
    </w:p>
    <w:p w14:paraId="24D2F840">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3.独立性原则：评审工作在磋商小组内部独立进行，不受外界任何因素的干扰和影响。</w:t>
      </w:r>
    </w:p>
    <w:p w14:paraId="62D90DA1">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4.保密性原则：磋商小组及熟知情况的有关工作人员必须对每位评委的评审意见和报价供应商的商业秘密严格保密。</w:t>
      </w:r>
    </w:p>
    <w:p w14:paraId="3E97C73F">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5.综合性原则：磋商小组将综合分析、评审报价供应商的各项指标。</w:t>
      </w:r>
    </w:p>
    <w:p w14:paraId="724F489C">
      <w:pPr>
        <w:spacing w:line="720" w:lineRule="auto"/>
        <w:ind w:firstLine="562" w:firstLineChars="200"/>
        <w:rPr>
          <w:rFonts w:ascii="楷体_GB2312" w:eastAsia="楷体_GB2312"/>
          <w:b/>
          <w:color w:val="auto"/>
          <w:sz w:val="28"/>
          <w:szCs w:val="28"/>
          <w:highlight w:val="none"/>
        </w:rPr>
      </w:pPr>
      <w:r>
        <w:rPr>
          <w:rFonts w:hint="eastAsia" w:ascii="楷体_GB2312" w:eastAsia="楷体_GB2312"/>
          <w:b/>
          <w:color w:val="auto"/>
          <w:sz w:val="28"/>
          <w:szCs w:val="28"/>
          <w:highlight w:val="none"/>
        </w:rPr>
        <w:t>二、评审程序</w:t>
      </w:r>
    </w:p>
    <w:p w14:paraId="65D61B46">
      <w:pPr>
        <w:spacing w:before="156" w:beforeLines="50" w:line="520" w:lineRule="exact"/>
        <w:rPr>
          <w:rFonts w:ascii="仿宋_GB2312" w:hAnsi="宋体" w:eastAsia="仿宋_GB2312"/>
          <w:b/>
          <w:color w:val="auto"/>
          <w:sz w:val="28"/>
          <w:szCs w:val="21"/>
          <w:highlight w:val="none"/>
        </w:rPr>
      </w:pPr>
      <w:r>
        <w:rPr>
          <w:rFonts w:hint="eastAsia" w:ascii="仿宋_GB2312" w:hAnsi="宋体" w:eastAsia="仿宋_GB2312"/>
          <w:b/>
          <w:color w:val="auto"/>
          <w:sz w:val="28"/>
          <w:szCs w:val="21"/>
          <w:highlight w:val="none"/>
        </w:rPr>
        <w:t>（一）磋商程序</w:t>
      </w:r>
    </w:p>
    <w:p w14:paraId="1A24BFD3">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1.磋商小组将按照竞争性磋商文件的规定对响应文件进行有效性、完整性和响应程度审查，以确定响应文件的实质性响应。</w:t>
      </w:r>
    </w:p>
    <w:p w14:paraId="38FD3A1D">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2.出现下列情形之一的，视为对竞争性磋商文件未做出实质性响应，按照无效报价处理。</w:t>
      </w:r>
    </w:p>
    <w:p w14:paraId="7DC40A0D">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详见《响应须知前附表》-《实质性条款一览表》</w:t>
      </w:r>
    </w:p>
    <w:p w14:paraId="4BCE6FCF">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3.属于无效报价的，报价供应商不能通过修正或撤消响应文件中不符合之处而成为实质性响应的报价，采购代理将通知报价供应商，并说明无效报价理由。属于有效响应文件的，将进行下一轮此的询标和澄清。</w:t>
      </w:r>
    </w:p>
    <w:p w14:paraId="53E2EA74">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4.澄清、说明或者补正</w:t>
      </w:r>
    </w:p>
    <w:p w14:paraId="5815FB59">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对有效响应文件中含义不明确、同类问题前后表述不一致或者有明显文字和计算错误的内容，磋商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91D3C7D">
      <w:pPr>
        <w:spacing w:line="520" w:lineRule="exact"/>
        <w:ind w:firstLine="560" w:firstLineChars="200"/>
        <w:rPr>
          <w:rFonts w:ascii="宋体" w:hAnsi="宋体"/>
          <w:color w:val="auto"/>
          <w:sz w:val="24"/>
          <w:szCs w:val="21"/>
          <w:highlight w:val="none"/>
        </w:rPr>
      </w:pPr>
      <w:r>
        <w:rPr>
          <w:rFonts w:hint="eastAsia" w:ascii="仿宋_GB2312" w:hAnsi="宋体" w:eastAsia="仿宋_GB2312"/>
          <w:color w:val="auto"/>
          <w:sz w:val="28"/>
          <w:szCs w:val="21"/>
          <w:highlight w:val="none"/>
        </w:rPr>
        <w:t>（2）报价供应商依据评审要求进行澄清、说明或者补正的内容构成响应文件的组成部分。</w:t>
      </w:r>
    </w:p>
    <w:p w14:paraId="5AB6793F">
      <w:pPr>
        <w:spacing w:before="156" w:beforeLines="50" w:line="520" w:lineRule="exact"/>
        <w:rPr>
          <w:rFonts w:ascii="仿宋_GB2312" w:hAnsi="宋体" w:eastAsia="仿宋_GB2312"/>
          <w:b/>
          <w:color w:val="auto"/>
          <w:sz w:val="28"/>
          <w:szCs w:val="21"/>
          <w:highlight w:val="none"/>
        </w:rPr>
      </w:pPr>
      <w:r>
        <w:rPr>
          <w:rFonts w:hint="eastAsia" w:ascii="仿宋_GB2312" w:hAnsi="宋体" w:eastAsia="仿宋_GB2312"/>
          <w:b/>
          <w:color w:val="auto"/>
          <w:sz w:val="28"/>
          <w:szCs w:val="21"/>
          <w:highlight w:val="none"/>
        </w:rPr>
        <w:t>（二）磋商、优化方案</w:t>
      </w:r>
    </w:p>
    <w:p w14:paraId="26410EA8">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（1）磋商小组所有成员应当集中与单一供应商分别进行磋商，并给予所有参加磋商的供应商平等的磋商机会。</w:t>
      </w:r>
    </w:p>
    <w:p w14:paraId="46838C63">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（2）磋商小组可以根据磋商文件和磋商情况实质性变动采购需求中的技术、服务要求以及合同草案条款，但不得变动磋商文件中的其他内容。实质性变动的内容，须经采购人代表确认。</w:t>
      </w:r>
    </w:p>
    <w:p w14:paraId="5C781895">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（3）对磋商文件作出的实质性变动是磋商文件的有效组成部分，磋商小组应当及时以书面形式同时通知所有参加磋商的供应商。</w:t>
      </w:r>
    </w:p>
    <w:p w14:paraId="1FB73A9E">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（4）供应商应当按照磋商文件的变动情况和磋商小组的要求重新提交响应文件，并由其法定代表人或被授权人签字或者加盖公章。</w:t>
      </w:r>
    </w:p>
    <w:p w14:paraId="2C4A3FD5">
      <w:pPr>
        <w:spacing w:before="156" w:beforeLines="50" w:line="520" w:lineRule="exact"/>
        <w:rPr>
          <w:rFonts w:ascii="仿宋_GB2312" w:hAnsi="宋体" w:eastAsia="仿宋_GB2312"/>
          <w:b/>
          <w:color w:val="auto"/>
          <w:sz w:val="28"/>
          <w:szCs w:val="21"/>
          <w:highlight w:val="none"/>
        </w:rPr>
      </w:pPr>
      <w:r>
        <w:rPr>
          <w:rFonts w:hint="eastAsia" w:ascii="仿宋_GB2312" w:hAnsi="宋体" w:eastAsia="仿宋_GB2312"/>
          <w:b/>
          <w:color w:val="auto"/>
          <w:sz w:val="28"/>
          <w:szCs w:val="21"/>
          <w:highlight w:val="none"/>
        </w:rPr>
        <w:t>（三）最后报价</w:t>
      </w:r>
    </w:p>
    <w:p w14:paraId="24784DF8">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（1）磋商文件能够详细列明采购标的的技术、服务要求的，磋商结束后，磋商小组应当要求所有实质性响应的报价供应商在规定时间内提交最终报价。</w:t>
      </w:r>
    </w:p>
    <w:p w14:paraId="404419C3">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（2）最终报价是报价供应商响应文件的有效组成部分。</w:t>
      </w:r>
    </w:p>
    <w:p w14:paraId="5FA4E6AA">
      <w:pPr>
        <w:spacing w:line="720" w:lineRule="auto"/>
        <w:ind w:firstLine="562" w:firstLineChars="200"/>
        <w:rPr>
          <w:rFonts w:ascii="楷体_GB2312" w:eastAsia="楷体_GB2312"/>
          <w:b/>
          <w:color w:val="auto"/>
          <w:sz w:val="28"/>
          <w:szCs w:val="28"/>
          <w:highlight w:val="none"/>
        </w:rPr>
      </w:pPr>
      <w:r>
        <w:rPr>
          <w:rFonts w:hint="eastAsia" w:ascii="楷体_GB2312" w:eastAsia="楷体_GB2312"/>
          <w:b/>
          <w:color w:val="auto"/>
          <w:sz w:val="28"/>
          <w:szCs w:val="28"/>
          <w:highlight w:val="none"/>
        </w:rPr>
        <w:t>三、评审方法</w:t>
      </w:r>
    </w:p>
    <w:p w14:paraId="10338A5C">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（1）评审方法：综合评分法，即报价供应商的响应文件满足磋商文件全部实质性要求，且按评审因素的量化指标评审得分最高的供应商为成交候选供应商的评审方法。</w:t>
      </w:r>
    </w:p>
    <w:p w14:paraId="36890348">
      <w:pPr>
        <w:spacing w:line="520" w:lineRule="exact"/>
        <w:ind w:firstLine="560" w:firstLineChars="200"/>
        <w:rPr>
          <w:rFonts w:ascii="仿宋_GB2312" w:hAnsi="宋体" w:eastAsia="仿宋_GB2312"/>
          <w:color w:val="auto"/>
          <w:sz w:val="28"/>
          <w:szCs w:val="21"/>
          <w:highlight w:val="none"/>
        </w:rPr>
      </w:pPr>
      <w:r>
        <w:rPr>
          <w:rFonts w:hint="eastAsia" w:ascii="仿宋_GB2312" w:hAnsi="宋体" w:eastAsia="仿宋_GB2312"/>
          <w:color w:val="auto"/>
          <w:sz w:val="28"/>
          <w:szCs w:val="21"/>
          <w:highlight w:val="none"/>
        </w:rPr>
        <w:t>（2）评审细则：</w:t>
      </w:r>
    </w:p>
    <w:tbl>
      <w:tblPr>
        <w:tblStyle w:val="35"/>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026"/>
        <w:gridCol w:w="5328"/>
        <w:gridCol w:w="1026"/>
        <w:gridCol w:w="773"/>
      </w:tblGrid>
      <w:tr w14:paraId="4E148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0"/>
            <w:vAlign w:val="center"/>
          </w:tcPr>
          <w:p w14:paraId="31A1EF4E">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编号</w:t>
            </w:r>
          </w:p>
        </w:tc>
        <w:tc>
          <w:tcPr>
            <w:tcW w:w="773" w:type="dxa"/>
            <w:shd w:val="clear" w:color="auto" w:fill="D9D9D9"/>
            <w:noWrap w:val="0"/>
            <w:vAlign w:val="center"/>
          </w:tcPr>
          <w:p w14:paraId="5699B53F">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类型</w:t>
            </w:r>
          </w:p>
        </w:tc>
        <w:tc>
          <w:tcPr>
            <w:tcW w:w="1026" w:type="dxa"/>
            <w:shd w:val="clear" w:color="auto" w:fill="D9D9D9"/>
            <w:noWrap w:val="0"/>
            <w:vAlign w:val="center"/>
          </w:tcPr>
          <w:p w14:paraId="696AC3F6">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评分标题</w:t>
            </w:r>
          </w:p>
        </w:tc>
        <w:tc>
          <w:tcPr>
            <w:tcW w:w="5328" w:type="dxa"/>
            <w:shd w:val="clear" w:color="auto" w:fill="D9D9D9"/>
            <w:noWrap w:val="0"/>
            <w:vAlign w:val="center"/>
          </w:tcPr>
          <w:p w14:paraId="5497D382">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评分标准</w:t>
            </w:r>
          </w:p>
        </w:tc>
        <w:tc>
          <w:tcPr>
            <w:tcW w:w="1026" w:type="dxa"/>
            <w:shd w:val="clear" w:color="auto" w:fill="D9D9D9"/>
            <w:noWrap w:val="0"/>
            <w:vAlign w:val="center"/>
          </w:tcPr>
          <w:p w14:paraId="642CEFB8">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性质</w:t>
            </w:r>
          </w:p>
        </w:tc>
        <w:tc>
          <w:tcPr>
            <w:tcW w:w="773" w:type="dxa"/>
            <w:shd w:val="clear" w:color="auto" w:fill="D9D9D9"/>
            <w:noWrap w:val="0"/>
            <w:vAlign w:val="center"/>
          </w:tcPr>
          <w:p w14:paraId="51241953">
            <w:pPr>
              <w:widowControl w:val="0"/>
              <w:ind w:firstLine="0"/>
              <w:jc w:val="center"/>
              <w:rPr>
                <w:rFonts w:ascii="仿宋_GB2312" w:hAnsi="宋体" w:eastAsia="仿宋_GB2312" w:cs="Times New Roman"/>
                <w:b/>
                <w:color w:val="auto"/>
                <w:kern w:val="2"/>
                <w:sz w:val="24"/>
                <w:szCs w:val="24"/>
                <w:highlight w:val="none"/>
                <w:lang w:val="en-US" w:eastAsia="zh-CN" w:bidi="ar-SA"/>
              </w:rPr>
            </w:pPr>
            <w:r>
              <w:rPr>
                <w:rFonts w:hint="eastAsia" w:ascii="仿宋_GB2312" w:hAnsi="宋体" w:eastAsia="仿宋_GB2312" w:cs="Times New Roman"/>
                <w:b/>
                <w:color w:val="auto"/>
                <w:kern w:val="2"/>
                <w:sz w:val="24"/>
                <w:szCs w:val="24"/>
                <w:highlight w:val="none"/>
                <w:lang w:val="en-US" w:eastAsia="zh-CN" w:bidi="ar-SA"/>
              </w:rPr>
              <w:t>分数</w:t>
            </w:r>
          </w:p>
        </w:tc>
      </w:tr>
      <w:tr w14:paraId="36146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5253511">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1.1</w:t>
            </w:r>
          </w:p>
        </w:tc>
        <w:tc>
          <w:tcPr>
            <w:tcW w:w="773" w:type="dxa"/>
            <w:noWrap w:val="0"/>
            <w:vAlign w:val="center"/>
          </w:tcPr>
          <w:p w14:paraId="4FB973A0">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价格</w:t>
            </w:r>
          </w:p>
        </w:tc>
        <w:tc>
          <w:tcPr>
            <w:tcW w:w="1026" w:type="dxa"/>
            <w:noWrap w:val="0"/>
            <w:vAlign w:val="center"/>
          </w:tcPr>
          <w:p w14:paraId="5008D842">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报价</w:t>
            </w:r>
          </w:p>
        </w:tc>
        <w:tc>
          <w:tcPr>
            <w:tcW w:w="5328" w:type="dxa"/>
            <w:noWrap w:val="0"/>
            <w:vAlign w:val="center"/>
          </w:tcPr>
          <w:p w14:paraId="44B43316">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能够满足磋商文件要求且最终报价最低的为评标基准价，其价格分为满分。其他供应商的价格分统一按照下列公式计算：投标报价得分=(评标基准价／最终报价)×30。</w:t>
            </w:r>
          </w:p>
        </w:tc>
        <w:tc>
          <w:tcPr>
            <w:tcW w:w="1026" w:type="dxa"/>
            <w:noWrap w:val="0"/>
            <w:vAlign w:val="center"/>
          </w:tcPr>
          <w:p w14:paraId="7968886B">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价格分</w:t>
            </w:r>
          </w:p>
        </w:tc>
        <w:tc>
          <w:tcPr>
            <w:tcW w:w="773" w:type="dxa"/>
            <w:noWrap w:val="0"/>
            <w:vAlign w:val="center"/>
          </w:tcPr>
          <w:p w14:paraId="6413C7E0">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30.00</w:t>
            </w:r>
          </w:p>
        </w:tc>
      </w:tr>
      <w:tr w14:paraId="063D7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75CD1227">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2.2.1</w:t>
            </w:r>
          </w:p>
        </w:tc>
        <w:tc>
          <w:tcPr>
            <w:tcW w:w="773" w:type="dxa"/>
            <w:noWrap w:val="0"/>
            <w:vAlign w:val="center"/>
          </w:tcPr>
          <w:p w14:paraId="08981C3D">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商务</w:t>
            </w:r>
          </w:p>
        </w:tc>
        <w:tc>
          <w:tcPr>
            <w:tcW w:w="1026" w:type="dxa"/>
            <w:noWrap w:val="0"/>
            <w:vAlign w:val="center"/>
          </w:tcPr>
          <w:p w14:paraId="0C70496A">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样品</w:t>
            </w:r>
          </w:p>
        </w:tc>
        <w:tc>
          <w:tcPr>
            <w:tcW w:w="5328" w:type="dxa"/>
            <w:noWrap w:val="0"/>
            <w:vAlign w:val="center"/>
          </w:tcPr>
          <w:p w14:paraId="66CA1379">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根据供应商所提供产品参数、技术经济性能与采购文件要求的响应程度，质量、技术先进性、性能、工艺、材料等综合评审； </w:t>
            </w:r>
          </w:p>
          <w:p w14:paraId="7332CFF8">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优于或完全满足采购文件对于产品技术指标及功能、工艺、材料要求得11-15分； </w:t>
            </w:r>
          </w:p>
          <w:p w14:paraId="0D0AF00E">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仅能满足采购人基本的使用需求得7-10分； </w:t>
            </w:r>
          </w:p>
          <w:p w14:paraId="2EB40323">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技术功能表述不清或无此项内容的得 3-6分。</w:t>
            </w:r>
          </w:p>
          <w:p w14:paraId="1152BD97">
            <w:pPr>
              <w:pStyle w:val="18"/>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textAlignment w:val="auto"/>
              <w:rPr>
                <w:rFonts w:hint="eastAsia" w:ascii="仿宋_GB2312" w:hAnsi="黑体" w:eastAsia="仿宋_GB2312" w:cs="方正楷体简体"/>
                <w:b/>
                <w:bCs/>
                <w:color w:val="auto"/>
                <w:kern w:val="2"/>
                <w:sz w:val="24"/>
                <w:szCs w:val="24"/>
                <w:highlight w:val="none"/>
                <w:lang w:val="en-US" w:eastAsia="zh-CN" w:bidi="ar-SA"/>
              </w:rPr>
            </w:pPr>
            <w:r>
              <w:rPr>
                <w:rFonts w:hint="eastAsia" w:ascii="仿宋_GB2312" w:hAnsi="黑体" w:eastAsia="仿宋_GB2312" w:cs="方正楷体简体"/>
                <w:b/>
                <w:bCs/>
                <w:color w:val="auto"/>
                <w:kern w:val="2"/>
                <w:sz w:val="24"/>
                <w:szCs w:val="24"/>
                <w:highlight w:val="none"/>
                <w:lang w:val="en-US" w:eastAsia="zh-CN" w:bidi="ar-SA"/>
              </w:rPr>
              <w:t>注：未提供样品、样品携带不齐全的该项不得分。</w:t>
            </w:r>
          </w:p>
          <w:p w14:paraId="6C66650F">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ascii="仿宋_GB2312" w:hAnsi="宋体" w:eastAsia="仿宋_GB2312" w:cs="Times New Roman"/>
                <w:color w:val="auto"/>
                <w:kern w:val="2"/>
                <w:sz w:val="24"/>
                <w:szCs w:val="24"/>
                <w:highlight w:val="none"/>
                <w:lang w:val="en-US" w:eastAsia="zh-CN" w:bidi="ar-SA"/>
              </w:rPr>
            </w:pPr>
            <w:r>
              <w:rPr>
                <w:rFonts w:hint="eastAsia" w:ascii="仿宋_GB2312" w:hAnsi="宋体" w:eastAsia="仿宋_GB2312" w:cs="Times New Roman"/>
                <w:color w:val="auto"/>
                <w:kern w:val="2"/>
                <w:sz w:val="24"/>
                <w:szCs w:val="24"/>
                <w:highlight w:val="none"/>
                <w:lang w:val="en-US" w:eastAsia="zh-CN" w:bidi="ar-SA"/>
              </w:rPr>
              <w:t>（评委以1分为单位进行打分）</w:t>
            </w:r>
          </w:p>
        </w:tc>
        <w:tc>
          <w:tcPr>
            <w:tcW w:w="1026" w:type="dxa"/>
            <w:noWrap w:val="0"/>
            <w:vAlign w:val="center"/>
          </w:tcPr>
          <w:p w14:paraId="3900FC4A">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41B1E5FE">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15.00</w:t>
            </w:r>
          </w:p>
        </w:tc>
      </w:tr>
      <w:tr w14:paraId="33568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4227CF22">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3.1.1</w:t>
            </w:r>
          </w:p>
        </w:tc>
        <w:tc>
          <w:tcPr>
            <w:tcW w:w="773" w:type="dxa"/>
            <w:noWrap w:val="0"/>
            <w:vAlign w:val="center"/>
          </w:tcPr>
          <w:p w14:paraId="534768DB">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设计方案</w:t>
            </w:r>
          </w:p>
        </w:tc>
        <w:tc>
          <w:tcPr>
            <w:tcW w:w="1026" w:type="dxa"/>
            <w:noWrap w:val="0"/>
            <w:vAlign w:val="center"/>
          </w:tcPr>
          <w:p w14:paraId="29F819BF">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设计服务方案</w:t>
            </w:r>
          </w:p>
        </w:tc>
        <w:tc>
          <w:tcPr>
            <w:tcW w:w="5328" w:type="dxa"/>
            <w:noWrap w:val="0"/>
            <w:vAlign w:val="center"/>
          </w:tcPr>
          <w:p w14:paraId="6B336534">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项目工作进度计划，进度保障措施；根据本项目各阶段周期要求，编制详细进度计划（包含各阶段重要工作节点）与相关设计条件、影响项目进度的因素并提出解决方案、利于项目工作开展的技术服务内容：方案编制清晰有完整的实施计划和细则、进度计划能够提前完成得8-10分，方案编制合理、进度计划满足项目需求得5-7分，方案编制可行、进度计划一般得2-4分，方案编制及进度计划编制不合理或缺项不得分。</w:t>
            </w:r>
          </w:p>
          <w:p w14:paraId="4CA7655F">
            <w:pPr>
              <w:pStyle w:val="18"/>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left"/>
              <w:textAlignment w:val="auto"/>
              <w:rPr>
                <w:color w:val="auto"/>
                <w:highlight w:val="none"/>
                <w:lang w:val="en-US" w:eastAsia="zh-CN"/>
              </w:rPr>
            </w:pPr>
            <w:r>
              <w:rPr>
                <w:rFonts w:hint="eastAsia" w:ascii="仿宋_GB2312" w:hAnsi="宋体" w:eastAsia="仿宋_GB2312" w:cs="Times New Roman"/>
                <w:color w:val="auto"/>
                <w:kern w:val="2"/>
                <w:sz w:val="24"/>
                <w:szCs w:val="24"/>
                <w:highlight w:val="none"/>
                <w:lang w:val="en-US" w:eastAsia="zh-CN" w:bidi="ar-SA"/>
              </w:rPr>
              <w:t>（评委以1分为单位进行打分）</w:t>
            </w:r>
          </w:p>
        </w:tc>
        <w:tc>
          <w:tcPr>
            <w:tcW w:w="1026" w:type="dxa"/>
            <w:noWrap w:val="0"/>
            <w:vAlign w:val="center"/>
          </w:tcPr>
          <w:p w14:paraId="63C1AC37">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78D8BBD6">
            <w:pPr>
              <w:widowControl w:val="0"/>
              <w:ind w:firstLine="0"/>
              <w:jc w:val="center"/>
              <w:rPr>
                <w:rFonts w:ascii="仿宋_GB2312" w:hAnsi="宋体" w:eastAsia="仿宋_GB2312" w:cs="Times New Roman"/>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10.00</w:t>
            </w:r>
          </w:p>
        </w:tc>
      </w:tr>
      <w:tr w14:paraId="5D7B5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18F1A31E">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3.2.1</w:t>
            </w:r>
          </w:p>
        </w:tc>
        <w:tc>
          <w:tcPr>
            <w:tcW w:w="773" w:type="dxa"/>
            <w:vMerge w:val="restart"/>
            <w:noWrap w:val="0"/>
            <w:vAlign w:val="center"/>
          </w:tcPr>
          <w:p w14:paraId="6A195EF2">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施工组织设计</w:t>
            </w:r>
          </w:p>
        </w:tc>
        <w:tc>
          <w:tcPr>
            <w:tcW w:w="1026" w:type="dxa"/>
            <w:noWrap w:val="0"/>
            <w:vAlign w:val="center"/>
          </w:tcPr>
          <w:p w14:paraId="1730DD61">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1.施工方案</w:t>
            </w:r>
          </w:p>
        </w:tc>
        <w:tc>
          <w:tcPr>
            <w:tcW w:w="5328" w:type="dxa"/>
            <w:noWrap w:val="0"/>
            <w:vAlign w:val="center"/>
          </w:tcPr>
          <w:p w14:paraId="160E134F">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施工方案、节日灯悬挂、撤回方案等内容的完整、先进、可行、具体得5分，方案、内容编制比较清晰得3分，方案、内容编制一般得1分，缺项或不合理不得分。</w:t>
            </w:r>
          </w:p>
        </w:tc>
        <w:tc>
          <w:tcPr>
            <w:tcW w:w="1026" w:type="dxa"/>
            <w:noWrap w:val="0"/>
            <w:vAlign w:val="center"/>
          </w:tcPr>
          <w:p w14:paraId="4124F5ED">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3F83B168">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39AC4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7B023E35">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3.2.2</w:t>
            </w:r>
          </w:p>
        </w:tc>
        <w:tc>
          <w:tcPr>
            <w:tcW w:w="773" w:type="dxa"/>
            <w:vMerge w:val="continue"/>
            <w:noWrap w:val="0"/>
            <w:vAlign w:val="center"/>
          </w:tcPr>
          <w:p w14:paraId="145007DC">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3C0347C2">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2.保证安全、质量、等措施 </w:t>
            </w:r>
          </w:p>
        </w:tc>
        <w:tc>
          <w:tcPr>
            <w:tcW w:w="5328" w:type="dxa"/>
            <w:noWrap w:val="0"/>
            <w:vAlign w:val="center"/>
          </w:tcPr>
          <w:p w14:paraId="3F21B0CD">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保证安全、质量、控制造价、环境保护、文明施工、冬季雨季施工、清除市区影响的维护措施、不扰民措施，现场交通组织等的技术措施，合理可行得5分；技术措施较合理可行得3分；技术措施一般得1分，缺项或不合理不得分。</w:t>
            </w:r>
          </w:p>
        </w:tc>
        <w:tc>
          <w:tcPr>
            <w:tcW w:w="1026" w:type="dxa"/>
            <w:noWrap w:val="0"/>
            <w:vAlign w:val="center"/>
          </w:tcPr>
          <w:p w14:paraId="1C94244F">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56F551E8">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33F6C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7119288D">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3.2.3</w:t>
            </w:r>
          </w:p>
        </w:tc>
        <w:tc>
          <w:tcPr>
            <w:tcW w:w="773" w:type="dxa"/>
            <w:vMerge w:val="continue"/>
            <w:noWrap w:val="0"/>
            <w:vAlign w:val="center"/>
          </w:tcPr>
          <w:p w14:paraId="162654C8">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2E4A68D9">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3.应急方案 </w:t>
            </w:r>
          </w:p>
          <w:p w14:paraId="4BE7D069">
            <w:pPr>
              <w:widowControl w:val="0"/>
              <w:ind w:firstLine="240" w:firstLineChars="100"/>
              <w:jc w:val="both"/>
              <w:rPr>
                <w:rFonts w:hint="eastAsia" w:ascii="仿宋_GB2312" w:hAnsi="黑体" w:eastAsia="仿宋_GB2312" w:cs="方正楷体简体"/>
                <w:color w:val="auto"/>
                <w:kern w:val="2"/>
                <w:sz w:val="24"/>
                <w:szCs w:val="24"/>
                <w:highlight w:val="none"/>
                <w:lang w:val="en-US" w:eastAsia="zh-CN" w:bidi="ar-SA"/>
              </w:rPr>
            </w:pPr>
          </w:p>
        </w:tc>
        <w:tc>
          <w:tcPr>
            <w:tcW w:w="5328" w:type="dxa"/>
            <w:noWrap w:val="0"/>
            <w:vAlign w:val="center"/>
          </w:tcPr>
          <w:p w14:paraId="4C31CAFC">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针对本项目的应急方案，合理可行得5分；针对本项目的应急方案，较合理可行得3分；针对本项目的应急方案， 一般得1分，缺项或不合理不得分。</w:t>
            </w:r>
          </w:p>
        </w:tc>
        <w:tc>
          <w:tcPr>
            <w:tcW w:w="1026" w:type="dxa"/>
            <w:noWrap w:val="0"/>
            <w:vAlign w:val="center"/>
          </w:tcPr>
          <w:p w14:paraId="006F27B0">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5B2FF25C">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7046D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7834BBFF">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3.2.4</w:t>
            </w:r>
          </w:p>
        </w:tc>
        <w:tc>
          <w:tcPr>
            <w:tcW w:w="773" w:type="dxa"/>
            <w:vMerge w:val="continue"/>
            <w:noWrap w:val="0"/>
            <w:vAlign w:val="center"/>
          </w:tcPr>
          <w:p w14:paraId="2D53E182">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2168D49D">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4.防护、防尘、防噪、综合管线保 </w:t>
            </w:r>
          </w:p>
          <w:p w14:paraId="171ED31D">
            <w:pPr>
              <w:widowControl w:val="0"/>
              <w:ind w:firstLine="240" w:firstLineChars="10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护方案</w:t>
            </w:r>
          </w:p>
        </w:tc>
        <w:tc>
          <w:tcPr>
            <w:tcW w:w="5328" w:type="dxa"/>
            <w:noWrap w:val="0"/>
            <w:vAlign w:val="center"/>
          </w:tcPr>
          <w:p w14:paraId="2E3162A6">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防护、防尘、防噪、综合管线保护方案，合理可行得5分；防护、防尘、防噪、综合管线保护方案编制较合理可行得3分；防护、防尘、防噪、综合管线保护方案编制一般得1分，缺项或不合理不得分。</w:t>
            </w:r>
          </w:p>
        </w:tc>
        <w:tc>
          <w:tcPr>
            <w:tcW w:w="1026" w:type="dxa"/>
            <w:noWrap w:val="0"/>
            <w:vAlign w:val="center"/>
          </w:tcPr>
          <w:p w14:paraId="01432144">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174C9BA7">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32240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5CE453BC">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3.2.5</w:t>
            </w:r>
          </w:p>
        </w:tc>
        <w:tc>
          <w:tcPr>
            <w:tcW w:w="773" w:type="dxa"/>
            <w:vMerge w:val="continue"/>
            <w:noWrap w:val="0"/>
            <w:vAlign w:val="center"/>
          </w:tcPr>
          <w:p w14:paraId="339C4B10">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0A391B3E">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5.投入本工程的主要施工机械设备 </w:t>
            </w:r>
          </w:p>
          <w:p w14:paraId="6481F398">
            <w:pPr>
              <w:widowControl w:val="0"/>
              <w:ind w:firstLine="240" w:firstLineChars="10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情况</w:t>
            </w:r>
          </w:p>
        </w:tc>
        <w:tc>
          <w:tcPr>
            <w:tcW w:w="5328" w:type="dxa"/>
            <w:noWrap w:val="0"/>
            <w:vAlign w:val="center"/>
          </w:tcPr>
          <w:p w14:paraId="78A10773">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投入本工程的主要施工机械设备情况，机械设备配备充足得5分，满足项目需求得3分，配备一般得1分，缺项或不合理不得分。</w:t>
            </w:r>
          </w:p>
        </w:tc>
        <w:tc>
          <w:tcPr>
            <w:tcW w:w="1026" w:type="dxa"/>
            <w:noWrap w:val="0"/>
            <w:vAlign w:val="center"/>
          </w:tcPr>
          <w:p w14:paraId="06DF7BCD">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48E624D6">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3883A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72FD2083">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3.2.6</w:t>
            </w:r>
          </w:p>
        </w:tc>
        <w:tc>
          <w:tcPr>
            <w:tcW w:w="773" w:type="dxa"/>
            <w:vMerge w:val="continue"/>
            <w:noWrap w:val="0"/>
            <w:vAlign w:val="center"/>
          </w:tcPr>
          <w:p w14:paraId="5FF95266">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34BEC6EC">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6.劳动力安排计划 </w:t>
            </w:r>
          </w:p>
        </w:tc>
        <w:tc>
          <w:tcPr>
            <w:tcW w:w="5328" w:type="dxa"/>
            <w:noWrap w:val="0"/>
            <w:vAlign w:val="center"/>
          </w:tcPr>
          <w:p w14:paraId="58880744">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劳动力安排计划，优于项目需求5分，满足项目需求得3分，安排计划一般得1分，缺项或不合理不得分。</w:t>
            </w:r>
          </w:p>
        </w:tc>
        <w:tc>
          <w:tcPr>
            <w:tcW w:w="1026" w:type="dxa"/>
            <w:noWrap w:val="0"/>
            <w:vAlign w:val="center"/>
          </w:tcPr>
          <w:p w14:paraId="36E1C7A9">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6C538830">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7B019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5AE0D56">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3.2.7</w:t>
            </w:r>
          </w:p>
        </w:tc>
        <w:tc>
          <w:tcPr>
            <w:tcW w:w="773" w:type="dxa"/>
            <w:vMerge w:val="continue"/>
            <w:noWrap w:val="0"/>
            <w:vAlign w:val="center"/>
          </w:tcPr>
          <w:p w14:paraId="2B45773D">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033CD163">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 xml:space="preserve">7.配件、 </w:t>
            </w:r>
          </w:p>
          <w:p w14:paraId="0DF6BA47">
            <w:pPr>
              <w:widowControl w:val="0"/>
              <w:ind w:firstLine="240" w:firstLineChars="10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耗材、选件和备件</w:t>
            </w:r>
          </w:p>
        </w:tc>
        <w:tc>
          <w:tcPr>
            <w:tcW w:w="5328" w:type="dxa"/>
            <w:noWrap w:val="0"/>
            <w:vAlign w:val="center"/>
          </w:tcPr>
          <w:p w14:paraId="09BCEE95">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供应商所投设备、备件、备选配件、耗材充足得5分；供应商所投设备、备件、备选配件、耗材满足项目需求得3分；供应商所投设备、备件、备选配件、耗材一般得1分，缺项或不合理不得分。</w:t>
            </w:r>
          </w:p>
          <w:p w14:paraId="3A7FD702">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64F1E9A1">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54667D16">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7A2C9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21D5B2E0">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3.2.8</w:t>
            </w:r>
          </w:p>
        </w:tc>
        <w:tc>
          <w:tcPr>
            <w:tcW w:w="773" w:type="dxa"/>
            <w:vMerge w:val="continue"/>
            <w:noWrap w:val="0"/>
            <w:vAlign w:val="center"/>
          </w:tcPr>
          <w:p w14:paraId="09DC91D4">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p>
        </w:tc>
        <w:tc>
          <w:tcPr>
            <w:tcW w:w="1026" w:type="dxa"/>
            <w:noWrap w:val="0"/>
            <w:vAlign w:val="center"/>
          </w:tcPr>
          <w:p w14:paraId="0B93C235">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8.工程进度计划与保证交货期措施</w:t>
            </w:r>
          </w:p>
        </w:tc>
        <w:tc>
          <w:tcPr>
            <w:tcW w:w="5328" w:type="dxa"/>
            <w:noWrap w:val="0"/>
            <w:vAlign w:val="center"/>
          </w:tcPr>
          <w:p w14:paraId="7F39E1B3">
            <w:pPr>
              <w:keepNext w:val="0"/>
              <w:keepLines w:val="0"/>
              <w:pageBreakBefore w:val="0"/>
              <w:widowControl w:val="0"/>
              <w:kinsoku/>
              <w:wordWrap/>
              <w:overflowPunct/>
              <w:topLinePunct w:val="0"/>
              <w:autoSpaceDE/>
              <w:autoSpaceDN/>
              <w:bidi w:val="0"/>
              <w:adjustRightInd/>
              <w:snapToGrid/>
              <w:spacing w:line="380" w:lineRule="exact"/>
              <w:ind w:firstLine="240" w:firstLineChars="100"/>
              <w:jc w:val="both"/>
              <w:textAlignment w:val="auto"/>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工程进度计划完善、交货期保证力度强、清理现场措施完善得5分；计划较完善、保证力较强，得3分；计划较完善措施一般，保证力度弱，得1分，缺项或不合理不得分。</w:t>
            </w:r>
          </w:p>
        </w:tc>
        <w:tc>
          <w:tcPr>
            <w:tcW w:w="1026" w:type="dxa"/>
            <w:noWrap w:val="0"/>
            <w:vAlign w:val="center"/>
          </w:tcPr>
          <w:p w14:paraId="5B528194">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556BBB5E">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r w14:paraId="613B5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3E54F22D">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4.1</w:t>
            </w:r>
          </w:p>
        </w:tc>
        <w:tc>
          <w:tcPr>
            <w:tcW w:w="773" w:type="dxa"/>
            <w:noWrap w:val="0"/>
            <w:vAlign w:val="center"/>
          </w:tcPr>
          <w:p w14:paraId="67C78DD6">
            <w:pPr>
              <w:widowControl w:val="0"/>
              <w:jc w:val="both"/>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售后服 务</w:t>
            </w:r>
          </w:p>
        </w:tc>
        <w:tc>
          <w:tcPr>
            <w:tcW w:w="1026" w:type="dxa"/>
            <w:noWrap w:val="0"/>
            <w:vAlign w:val="center"/>
          </w:tcPr>
          <w:p w14:paraId="1D331124">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售后服务</w:t>
            </w:r>
          </w:p>
        </w:tc>
        <w:tc>
          <w:tcPr>
            <w:tcW w:w="5328" w:type="dxa"/>
            <w:noWrap w:val="0"/>
            <w:vAlign w:val="top"/>
          </w:tcPr>
          <w:p w14:paraId="0C25AC6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宋体" w:eastAsia="宋体" w:cs="宋体"/>
                <w:color w:val="auto"/>
                <w:kern w:val="2"/>
                <w:sz w:val="24"/>
                <w:szCs w:val="22"/>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具有完善的售后服务体系，对产品售后服务有文字承诺和详细完整的“三包”，免费保修及售后服务措施和方案（包括亮灯期间的维护等），根据服务承诺的内容综合评定，本项0-5分。（以0.1分为单位打分）</w:t>
            </w:r>
          </w:p>
        </w:tc>
        <w:tc>
          <w:tcPr>
            <w:tcW w:w="1026" w:type="dxa"/>
            <w:noWrap w:val="0"/>
            <w:vAlign w:val="center"/>
          </w:tcPr>
          <w:p w14:paraId="519852F3">
            <w:pPr>
              <w:widowControl w:val="0"/>
              <w:ind w:firstLine="0"/>
              <w:jc w:val="center"/>
              <w:rPr>
                <w:rFonts w:hint="eastAsia"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主观分</w:t>
            </w:r>
          </w:p>
        </w:tc>
        <w:tc>
          <w:tcPr>
            <w:tcW w:w="773" w:type="dxa"/>
            <w:noWrap w:val="0"/>
            <w:vAlign w:val="center"/>
          </w:tcPr>
          <w:p w14:paraId="16A45F6D">
            <w:pPr>
              <w:widowControl w:val="0"/>
              <w:ind w:firstLine="0"/>
              <w:jc w:val="center"/>
              <w:rPr>
                <w:rFonts w:hint="default" w:ascii="仿宋_GB2312" w:hAnsi="黑体" w:eastAsia="仿宋_GB2312" w:cs="方正楷体简体"/>
                <w:color w:val="auto"/>
                <w:kern w:val="2"/>
                <w:sz w:val="24"/>
                <w:szCs w:val="24"/>
                <w:highlight w:val="none"/>
                <w:lang w:val="en-US" w:eastAsia="zh-CN" w:bidi="ar-SA"/>
              </w:rPr>
            </w:pPr>
            <w:r>
              <w:rPr>
                <w:rFonts w:hint="eastAsia" w:ascii="仿宋_GB2312" w:hAnsi="黑体" w:eastAsia="仿宋_GB2312" w:cs="方正楷体简体"/>
                <w:color w:val="auto"/>
                <w:kern w:val="2"/>
                <w:sz w:val="24"/>
                <w:szCs w:val="24"/>
                <w:highlight w:val="none"/>
                <w:lang w:val="en-US" w:eastAsia="zh-CN" w:bidi="ar-SA"/>
              </w:rPr>
              <w:t>5.00</w:t>
            </w:r>
          </w:p>
        </w:tc>
      </w:tr>
    </w:tbl>
    <w:p w14:paraId="359F2054">
      <w:pPr>
        <w:spacing w:line="520" w:lineRule="exact"/>
        <w:ind w:firstLine="560" w:firstLineChars="200"/>
        <w:rPr>
          <w:rFonts w:ascii="仿宋_GB2312" w:hAnsi="宋体" w:eastAsia="仿宋_GB2312"/>
          <w:color w:val="auto"/>
          <w:sz w:val="28"/>
          <w:szCs w:val="21"/>
          <w:highlight w:val="none"/>
        </w:rPr>
      </w:pPr>
    </w:p>
    <w:p w14:paraId="1E7B53A2">
      <w:pPr>
        <w:widowControl/>
        <w:spacing w:line="360" w:lineRule="auto"/>
        <w:rPr>
          <w:rFonts w:ascii="宋体" w:hAnsi="宋体"/>
          <w:color w:val="auto"/>
          <w:sz w:val="24"/>
          <w:highlight w:val="none"/>
        </w:rPr>
        <w:sectPr>
          <w:pgSz w:w="11906" w:h="16838"/>
          <w:pgMar w:top="1440" w:right="1080" w:bottom="1440" w:left="1080" w:header="851" w:footer="992" w:gutter="0"/>
          <w:cols w:space="720" w:num="1"/>
          <w:docGrid w:type="lines" w:linePitch="312" w:charSpace="0"/>
        </w:sectPr>
      </w:pPr>
    </w:p>
    <w:p w14:paraId="28186217">
      <w:pPr>
        <w:spacing w:before="100" w:beforeAutospacing="1" w:after="100" w:afterAutospacing="1" w:line="415" w:lineRule="auto"/>
        <w:ind w:left="720"/>
        <w:jc w:val="center"/>
        <w:outlineLvl w:val="0"/>
        <w:rPr>
          <w:rFonts w:ascii="楷体_GB2312" w:hAnsi="宋体" w:eastAsia="楷体_GB2312" w:cs="宋体"/>
          <w:b/>
          <w:bCs/>
          <w:color w:val="auto"/>
          <w:sz w:val="44"/>
          <w:szCs w:val="44"/>
          <w:highlight w:val="none"/>
        </w:rPr>
        <w:sectPr>
          <w:headerReference r:id="rId17" w:type="default"/>
          <w:footerReference r:id="rId18" w:type="default"/>
          <w:pgSz w:w="11906" w:h="16838"/>
          <w:pgMar w:top="1440" w:right="1077" w:bottom="1440" w:left="1077" w:header="851" w:footer="992" w:gutter="0"/>
          <w:cols w:space="720" w:num="1"/>
          <w:docGrid w:type="linesAndChars" w:linePitch="312" w:charSpace="0"/>
        </w:sectPr>
      </w:pPr>
      <w:r>
        <w:rPr>
          <w:rFonts w:hint="eastAsia" w:ascii="楷体_GB2312" w:hAnsi="宋体" w:eastAsia="楷体_GB2312" w:cs="宋体"/>
          <w:b/>
          <w:bCs/>
          <w:color w:val="auto"/>
          <w:sz w:val="44"/>
          <w:szCs w:val="44"/>
          <w:highlight w:val="none"/>
        </w:rPr>
        <w:t>第五章 投标（响应）文件格式</w:t>
      </w:r>
    </w:p>
    <w:p w14:paraId="493B24EE">
      <w:pPr>
        <w:jc w:val="left"/>
        <w:rPr>
          <w:rFonts w:ascii="仿宋" w:hAnsi="仿宋" w:eastAsia="仿宋"/>
          <w:color w:val="auto"/>
          <w:sz w:val="52"/>
          <w:highlight w:val="none"/>
        </w:rPr>
      </w:pPr>
    </w:p>
    <w:p w14:paraId="5E78E507">
      <w:pPr>
        <w:rPr>
          <w:rFonts w:ascii="方正小标宋简体" w:hAnsi="仿宋" w:eastAsia="方正小标宋简体"/>
          <w:bCs/>
          <w:color w:val="auto"/>
          <w:sz w:val="84"/>
          <w:highlight w:val="none"/>
        </w:rPr>
      </w:pPr>
    </w:p>
    <w:p w14:paraId="7731B393">
      <w:pP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响 应 文 件</w:t>
      </w:r>
    </w:p>
    <w:p w14:paraId="66FD13E7">
      <w:pPr>
        <w:jc w:val="center"/>
        <w:rPr>
          <w:rFonts w:ascii="仿宋" w:hAnsi="仿宋" w:eastAsia="仿宋"/>
          <w:color w:val="auto"/>
          <w:sz w:val="72"/>
          <w:highlight w:val="none"/>
        </w:rPr>
      </w:pPr>
      <w:r>
        <w:rPr>
          <w:rFonts w:hint="eastAsia" w:ascii="仿宋" w:hAnsi="仿宋" w:eastAsia="仿宋" w:cs="Calibri"/>
          <w:color w:val="auto"/>
          <w:sz w:val="72"/>
          <w:highlight w:val="none"/>
        </w:rPr>
        <w:t>（第一册）</w:t>
      </w:r>
    </w:p>
    <w:p w14:paraId="62C3259C">
      <w:pPr>
        <w:jc w:val="center"/>
        <w:rPr>
          <w:rFonts w:ascii="仿宋" w:hAnsi="仿宋" w:eastAsia="仿宋"/>
          <w:color w:val="auto"/>
          <w:sz w:val="72"/>
          <w:highlight w:val="none"/>
        </w:rPr>
      </w:pPr>
    </w:p>
    <w:p w14:paraId="15A65C7F">
      <w:pPr>
        <w:jc w:val="left"/>
        <w:rPr>
          <w:rFonts w:hint="default" w:ascii="仿宋" w:hAnsi="仿宋" w:eastAsia="仿宋"/>
          <w:color w:val="auto"/>
          <w:sz w:val="36"/>
          <w:szCs w:val="36"/>
          <w:highlight w:val="none"/>
        </w:rPr>
      </w:pPr>
      <w:r>
        <w:rPr>
          <w:rFonts w:hint="eastAsia" w:ascii="黑体" w:hAnsi="黑体" w:eastAsia="黑体"/>
          <w:bCs/>
          <w:color w:val="auto"/>
          <w:sz w:val="36"/>
          <w:szCs w:val="36"/>
          <w:highlight w:val="none"/>
        </w:rPr>
        <w:t>采购项目：</w:t>
      </w:r>
      <w:r>
        <w:rPr>
          <w:rFonts w:hint="eastAsia" w:ascii="仿宋" w:hAnsi="仿宋" w:eastAsia="仿宋"/>
          <w:bCs/>
          <w:color w:val="auto"/>
          <w:sz w:val="36"/>
          <w:szCs w:val="36"/>
          <w:highlight w:val="none"/>
          <w:lang w:eastAsia="zh-CN"/>
        </w:rPr>
        <w:t>2025年市区节日灯具安装工程</w:t>
      </w:r>
    </w:p>
    <w:p w14:paraId="46EDB58F">
      <w:pPr>
        <w:jc w:val="left"/>
        <w:rPr>
          <w:rFonts w:hint="eastAsia" w:ascii="仿宋" w:hAnsi="仿宋" w:eastAsia="仿宋"/>
          <w:b/>
          <w:color w:val="auto"/>
          <w:sz w:val="36"/>
          <w:highlight w:val="none"/>
          <w:lang w:eastAsia="zh-CN"/>
        </w:rPr>
      </w:pPr>
      <w:r>
        <w:rPr>
          <w:rFonts w:hint="eastAsia" w:ascii="黑体" w:hAnsi="黑体" w:eastAsia="黑体"/>
          <w:bCs/>
          <w:color w:val="auto"/>
          <w:sz w:val="36"/>
          <w:szCs w:val="36"/>
          <w:highlight w:val="none"/>
        </w:rPr>
        <w:t>采购编号</w:t>
      </w:r>
      <w:r>
        <w:rPr>
          <w:rFonts w:hint="eastAsia" w:ascii="仿宋" w:hAnsi="仿宋" w:eastAsia="仿宋"/>
          <w:bCs/>
          <w:color w:val="auto"/>
          <w:sz w:val="36"/>
          <w:szCs w:val="36"/>
          <w:highlight w:val="none"/>
        </w:rPr>
        <w:t>：</w:t>
      </w:r>
      <w:r>
        <w:rPr>
          <w:rFonts w:hint="eastAsia" w:ascii="仿宋" w:hAnsi="仿宋" w:eastAsia="仿宋"/>
          <w:color w:val="auto"/>
          <w:sz w:val="36"/>
          <w:szCs w:val="36"/>
          <w:highlight w:val="none"/>
          <w:lang w:eastAsia="zh-CN"/>
        </w:rPr>
        <w:t>SDGP371083000202402000115</w:t>
      </w:r>
    </w:p>
    <w:p w14:paraId="2217A1B4">
      <w:pPr>
        <w:jc w:val="left"/>
        <w:rPr>
          <w:rFonts w:ascii="黑体" w:hAnsi="黑体" w:eastAsia="黑体"/>
          <w:bCs/>
          <w:color w:val="auto"/>
          <w:sz w:val="36"/>
          <w:szCs w:val="36"/>
          <w:highlight w:val="none"/>
        </w:rPr>
      </w:pPr>
      <w:r>
        <w:rPr>
          <w:rFonts w:hint="eastAsia" w:ascii="黑体" w:hAnsi="黑体" w:eastAsia="黑体"/>
          <w:bCs/>
          <w:color w:val="auto"/>
          <w:sz w:val="36"/>
          <w:szCs w:val="36"/>
          <w:highlight w:val="none"/>
        </w:rPr>
        <w:t>所投包号：</w:t>
      </w:r>
      <w:r>
        <w:rPr>
          <w:rFonts w:ascii="黑体" w:hAnsi="黑体" w:eastAsia="黑体"/>
          <w:bCs/>
          <w:color w:val="auto"/>
          <w:sz w:val="36"/>
          <w:szCs w:val="36"/>
          <w:highlight w:val="none"/>
        </w:rPr>
        <w:t>A</w:t>
      </w:r>
    </w:p>
    <w:p w14:paraId="490D76E5">
      <w:pPr>
        <w:jc w:val="left"/>
        <w:rPr>
          <w:rFonts w:ascii="仿宋" w:hAnsi="仿宋" w:eastAsia="仿宋"/>
          <w:color w:val="auto"/>
          <w:sz w:val="36"/>
          <w:highlight w:val="none"/>
        </w:rPr>
      </w:pPr>
    </w:p>
    <w:p w14:paraId="3A9436E6">
      <w:pPr>
        <w:tabs>
          <w:tab w:val="left" w:pos="580"/>
        </w:tabs>
        <w:ind w:left="185" w:leftChars="88" w:firstLine="1800" w:firstLineChars="500"/>
        <w:rPr>
          <w:rFonts w:ascii="仿宋" w:hAnsi="仿宋" w:eastAsia="仿宋"/>
          <w:color w:val="auto"/>
          <w:sz w:val="36"/>
          <w:szCs w:val="21"/>
          <w:highlight w:val="none"/>
        </w:rPr>
      </w:pPr>
    </w:p>
    <w:p w14:paraId="5542316D">
      <w:pPr>
        <w:tabs>
          <w:tab w:val="left" w:pos="580"/>
        </w:tabs>
        <w:ind w:left="185" w:leftChars="88" w:firstLine="1800" w:firstLineChars="500"/>
        <w:rPr>
          <w:rFonts w:ascii="仿宋_GB2312" w:hAnsi="仿宋" w:eastAsia="仿宋_GB2312"/>
          <w:color w:val="auto"/>
          <w:sz w:val="36"/>
          <w:szCs w:val="36"/>
          <w:highlight w:val="none"/>
        </w:rPr>
      </w:pPr>
    </w:p>
    <w:p w14:paraId="48176D4F">
      <w:pPr>
        <w:tabs>
          <w:tab w:val="left" w:pos="580"/>
        </w:tabs>
        <w:ind w:firstLine="1800" w:firstLineChars="500"/>
        <w:rPr>
          <w:rFonts w:ascii="仿宋_GB2312" w:hAnsi="仿宋" w:eastAsia="仿宋_GB2312"/>
          <w:color w:val="auto"/>
          <w:sz w:val="36"/>
          <w:szCs w:val="36"/>
          <w:highlight w:val="none"/>
        </w:rPr>
      </w:pPr>
      <w:r>
        <w:rPr>
          <w:rFonts w:hint="eastAsia" w:ascii="仿宋_GB2312" w:hAnsi="仿宋" w:eastAsia="仿宋_GB2312"/>
          <w:color w:val="auto"/>
          <w:sz w:val="36"/>
          <w:szCs w:val="36"/>
          <w:highlight w:val="none"/>
        </w:rPr>
        <w:t>供应商名称：***有限公司</w:t>
      </w:r>
    </w:p>
    <w:p w14:paraId="14727C10">
      <w:pPr>
        <w:tabs>
          <w:tab w:val="left" w:pos="580"/>
        </w:tabs>
        <w:ind w:firstLine="1800" w:firstLineChars="500"/>
        <w:rPr>
          <w:rFonts w:ascii="仿宋_GB2312" w:hAnsi="仿宋" w:eastAsia="仿宋_GB2312"/>
          <w:color w:val="auto"/>
          <w:sz w:val="36"/>
          <w:szCs w:val="36"/>
          <w:highlight w:val="none"/>
        </w:rPr>
      </w:pPr>
      <w:r>
        <w:rPr>
          <w:rFonts w:hint="eastAsia" w:ascii="仿宋_GB2312" w:hAnsi="仿宋" w:eastAsia="仿宋_GB2312"/>
          <w:color w:val="auto"/>
          <w:sz w:val="36"/>
          <w:szCs w:val="36"/>
          <w:highlight w:val="none"/>
        </w:rPr>
        <w:t>日      期：</w:t>
      </w:r>
      <w:r>
        <w:rPr>
          <w:rFonts w:ascii="仿宋_GB2312" w:hAnsi="仿宋" w:eastAsia="仿宋_GB2312"/>
          <w:color w:val="auto"/>
          <w:sz w:val="36"/>
          <w:szCs w:val="36"/>
          <w:highlight w:val="none"/>
        </w:rPr>
        <w:t xml:space="preserve">   </w:t>
      </w:r>
      <w:r>
        <w:rPr>
          <w:rFonts w:hint="eastAsia" w:ascii="仿宋_GB2312" w:hAnsi="仿宋" w:eastAsia="仿宋_GB2312"/>
          <w:color w:val="auto"/>
          <w:sz w:val="36"/>
          <w:szCs w:val="36"/>
          <w:highlight w:val="none"/>
        </w:rPr>
        <w:t>年  月  日</w:t>
      </w:r>
    </w:p>
    <w:p w14:paraId="39BC4511">
      <w:pPr>
        <w:widowControl/>
        <w:jc w:val="center"/>
        <w:rPr>
          <w:color w:val="auto"/>
          <w:highlight w:val="none"/>
        </w:rPr>
      </w:pPr>
      <w:r>
        <w:rPr>
          <w:rFonts w:ascii="仿宋_GB2312" w:hAnsi="仿宋" w:eastAsia="仿宋_GB2312"/>
          <w:color w:val="auto"/>
          <w:sz w:val="36"/>
          <w:szCs w:val="36"/>
          <w:highlight w:val="none"/>
        </w:rPr>
        <w:br w:type="page"/>
      </w:r>
      <w:r>
        <w:rPr>
          <w:rFonts w:ascii="黑体" w:hAnsi="黑体" w:eastAsia="黑体"/>
          <w:color w:val="auto"/>
          <w:sz w:val="44"/>
          <w:szCs w:val="44"/>
          <w:highlight w:val="none"/>
        </w:rPr>
        <w:t>目录</w:t>
      </w:r>
    </w:p>
    <w:p w14:paraId="38420A26">
      <w:pPr>
        <w:tabs>
          <w:tab w:val="right" w:leader="dot" w:pos="8296"/>
        </w:tabs>
        <w:jc w:val="center"/>
        <w:rPr>
          <w:rFonts w:ascii="仿宋_GB2312" w:eastAsia="仿宋_GB2312"/>
          <w:color w:val="auto"/>
          <w:szCs w:val="21"/>
          <w:highlight w:val="none"/>
        </w:rPr>
      </w:pPr>
      <w:r>
        <w:rPr>
          <w:rFonts w:hint="eastAsia" w:ascii="仿宋_GB2312" w:eastAsia="仿宋_GB2312"/>
          <w:color w:val="auto"/>
          <w:sz w:val="32"/>
          <w:szCs w:val="21"/>
          <w:highlight w:val="none"/>
        </w:rPr>
        <w:t>（由供应商自行编制）</w:t>
      </w:r>
    </w:p>
    <w:p w14:paraId="5B47A4BF">
      <w:pPr>
        <w:keepNext/>
        <w:keepLines/>
        <w:spacing w:before="120" w:after="120" w:line="560" w:lineRule="exact"/>
        <w:jc w:val="center"/>
        <w:outlineLvl w:val="1"/>
        <w:rPr>
          <w:rFonts w:ascii="Arial" w:hAnsi="Arial" w:eastAsia="黑体"/>
          <w:bCs/>
          <w:color w:val="auto"/>
          <w:sz w:val="44"/>
          <w:szCs w:val="32"/>
          <w:highlight w:val="none"/>
        </w:rPr>
      </w:pPr>
      <w:r>
        <w:rPr>
          <w:rFonts w:ascii="仿宋_GB2312" w:hAnsi="宋体" w:eastAsia="仿宋_GB2312"/>
          <w:b/>
          <w:bCs/>
          <w:color w:val="auto"/>
          <w:sz w:val="30"/>
          <w:szCs w:val="30"/>
          <w:highlight w:val="none"/>
        </w:rPr>
        <w:br w:type="page"/>
      </w:r>
      <w:r>
        <w:rPr>
          <w:rFonts w:hint="eastAsia" w:ascii="Arial" w:hAnsi="Arial" w:eastAsia="黑体"/>
          <w:bCs/>
          <w:color w:val="auto"/>
          <w:sz w:val="44"/>
          <w:szCs w:val="32"/>
          <w:highlight w:val="none"/>
        </w:rPr>
        <w:t>报价承诺函</w:t>
      </w:r>
    </w:p>
    <w:p w14:paraId="2EE5A07C">
      <w:pPr>
        <w:spacing w:line="56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lang w:eastAsia="zh-CN"/>
        </w:rPr>
        <w:t>乳山天平建设工程咨询有限公司</w:t>
      </w:r>
      <w:r>
        <w:rPr>
          <w:rFonts w:hint="eastAsia" w:ascii="仿宋_GB2312" w:hAnsi="仿宋" w:eastAsia="仿宋_GB2312"/>
          <w:color w:val="auto"/>
          <w:sz w:val="30"/>
          <w:szCs w:val="30"/>
          <w:highlight w:val="none"/>
        </w:rPr>
        <w:t>：</w:t>
      </w:r>
    </w:p>
    <w:p w14:paraId="54E4E049">
      <w:pPr>
        <w:spacing w:line="560" w:lineRule="exact"/>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我方根据项目编号为</w:t>
      </w:r>
      <w:r>
        <w:rPr>
          <w:rFonts w:hint="eastAsia" w:ascii="仿宋_GB2312" w:hAnsi="仿宋" w:eastAsia="仿宋_GB2312"/>
          <w:color w:val="auto"/>
          <w:sz w:val="30"/>
          <w:szCs w:val="30"/>
          <w:highlight w:val="none"/>
          <w:lang w:eastAsia="zh-CN"/>
        </w:rPr>
        <w:t>SDGP371083000202402000115</w:t>
      </w:r>
      <w:r>
        <w:rPr>
          <w:rFonts w:hint="eastAsia" w:ascii="仿宋_GB2312" w:hAnsi="仿宋" w:eastAsia="仿宋_GB2312"/>
          <w:color w:val="auto"/>
          <w:sz w:val="30"/>
          <w:szCs w:val="30"/>
          <w:highlight w:val="none"/>
        </w:rPr>
        <w:t>项目名称为</w:t>
      </w:r>
      <w:r>
        <w:rPr>
          <w:rFonts w:hint="eastAsia" w:ascii="仿宋_GB2312" w:hAnsi="仿宋" w:eastAsia="仿宋_GB2312"/>
          <w:color w:val="auto"/>
          <w:sz w:val="30"/>
          <w:szCs w:val="30"/>
          <w:highlight w:val="none"/>
          <w:lang w:eastAsia="zh-CN"/>
        </w:rPr>
        <w:t>2025年市区节日灯具安装工程</w:t>
      </w:r>
      <w:r>
        <w:rPr>
          <w:rFonts w:hint="eastAsia" w:ascii="仿宋_GB2312" w:hAnsi="仿宋" w:eastAsia="仿宋_GB2312"/>
          <w:color w:val="auto"/>
          <w:sz w:val="30"/>
          <w:szCs w:val="30"/>
          <w:highlight w:val="none"/>
        </w:rPr>
        <w:t>磋商文件要求，经详细研究决定参加报价。</w:t>
      </w:r>
    </w:p>
    <w:p w14:paraId="336D4040">
      <w:pPr>
        <w:spacing w:line="560" w:lineRule="exact"/>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1. 我方接受本采购文件中关于电子招投标的各项规定，遵守《中华人民共和国电子签名法》关于电子签名的各项规定。我方愿意按照磋商文件的规定和要求提供产品，报价详见《开标（报价）一览表》。</w:t>
      </w:r>
    </w:p>
    <w:p w14:paraId="289997DB">
      <w:pPr>
        <w:spacing w:line="560" w:lineRule="exact"/>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2.我方同意</w:t>
      </w:r>
      <w:r>
        <w:rPr>
          <w:rFonts w:hint="eastAsia" w:ascii="仿宋_GB2312" w:hAnsi="仿宋" w:eastAsia="仿宋_GB2312" w:cs="宋体"/>
          <w:color w:val="auto"/>
          <w:sz w:val="30"/>
          <w:szCs w:val="30"/>
          <w:highlight w:val="none"/>
        </w:rPr>
        <w:t>90天</w:t>
      </w:r>
      <w:r>
        <w:rPr>
          <w:rFonts w:hint="eastAsia" w:ascii="仿宋_GB2312" w:hAnsi="仿宋" w:eastAsia="仿宋_GB2312"/>
          <w:color w:val="auto"/>
          <w:sz w:val="30"/>
          <w:szCs w:val="30"/>
          <w:highlight w:val="none"/>
        </w:rPr>
        <w:t>的报价有效期，严格遵守响应文件的各项承诺。在此期限届满之前，本响应文件始终对我方具有约束力，并随时接受成交。我方承诺在报价有效期内不修改、撤销响应文件。</w:t>
      </w:r>
    </w:p>
    <w:p w14:paraId="3AE7A6D7">
      <w:pPr>
        <w:spacing w:line="560" w:lineRule="exact"/>
        <w:ind w:firstLine="600" w:firstLineChars="200"/>
        <w:rPr>
          <w:rFonts w:ascii="仿宋_GB2312" w:hAnsi="仿宋" w:eastAsia="仿宋_GB2312"/>
          <w:strike/>
          <w:color w:val="auto"/>
          <w:sz w:val="30"/>
          <w:szCs w:val="30"/>
          <w:highlight w:val="none"/>
        </w:rPr>
      </w:pPr>
      <w:r>
        <w:rPr>
          <w:rFonts w:hint="eastAsia" w:ascii="仿宋_GB2312" w:hAnsi="仿宋" w:eastAsia="仿宋_GB2312"/>
          <w:color w:val="auto"/>
          <w:sz w:val="30"/>
          <w:szCs w:val="30"/>
          <w:highlight w:val="none"/>
        </w:rPr>
        <w:t>3. 我方愿意遵守本采购文件的规定和要求并提供磋商文件中要求的所有资料，若响应文件中存在虚假资料的，则视为我方隐瞒真实情况、提供虚假资料，我方愿意接受主管部门做出的行政处罚。</w:t>
      </w:r>
    </w:p>
    <w:p w14:paraId="285FA7FB">
      <w:pPr>
        <w:spacing w:line="560" w:lineRule="exact"/>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4.我方同意最低价是成交的主要选择标准，但不是唯一的选择标准。</w:t>
      </w:r>
    </w:p>
    <w:p w14:paraId="5D2FF3EC">
      <w:pPr>
        <w:spacing w:line="560" w:lineRule="exact"/>
        <w:ind w:firstLine="450" w:firstLineChars="15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5.如果我方成交：</w:t>
      </w:r>
    </w:p>
    <w:p w14:paraId="64E7CD2D">
      <w:pPr>
        <w:ind w:firstLine="450" w:firstLineChars="15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（1）我方承诺在成交通知书发出后，在规定期限内与采购人签订合同；</w:t>
      </w:r>
      <w:r>
        <w:rPr>
          <w:rFonts w:ascii="仿宋_GB2312" w:hAnsi="仿宋" w:eastAsia="仿宋_GB2312"/>
          <w:color w:val="auto"/>
          <w:sz w:val="30"/>
          <w:szCs w:val="30"/>
          <w:highlight w:val="none"/>
        </w:rPr>
        <w:t xml:space="preserve"> </w:t>
      </w:r>
    </w:p>
    <w:p w14:paraId="638E00E9">
      <w:pPr>
        <w:spacing w:line="560" w:lineRule="exact"/>
        <w:ind w:firstLine="450" w:firstLineChars="15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（2）我方承诺在合同约定的期限内，按期、保质、保量完成供货任务；</w:t>
      </w:r>
    </w:p>
    <w:p w14:paraId="4A775771">
      <w:pPr>
        <w:spacing w:line="560" w:lineRule="exact"/>
        <w:ind w:firstLine="450" w:firstLineChars="15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（3）我方承诺将按照磋商文件的规定全额交纳代理服务费。</w:t>
      </w:r>
    </w:p>
    <w:p w14:paraId="46840EDD">
      <w:pPr>
        <w:spacing w:line="560" w:lineRule="exact"/>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6.所有有关本报价的函电，请按下列地址联系：</w:t>
      </w:r>
    </w:p>
    <w:p w14:paraId="73824DF2">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单    位：                     邮政编码：</w:t>
      </w:r>
    </w:p>
    <w:p w14:paraId="5F7768B4">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地    址：                     联 系 人：</w:t>
      </w:r>
    </w:p>
    <w:p w14:paraId="2ADF4AD2">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电    话：                     传    真：</w:t>
      </w:r>
    </w:p>
    <w:p w14:paraId="1407B227">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开户名称：</w:t>
      </w:r>
    </w:p>
    <w:p w14:paraId="46B2AD18">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开户银行：</w:t>
      </w:r>
    </w:p>
    <w:p w14:paraId="3CA37D0B">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开户账号：</w:t>
      </w:r>
    </w:p>
    <w:p w14:paraId="18767F83">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供应商（盖章）： </w:t>
      </w:r>
    </w:p>
    <w:p w14:paraId="0FDABB0D">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法定代表人或被授权人（签字或盖章）：</w:t>
      </w:r>
    </w:p>
    <w:p w14:paraId="67126ADC">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报价日期：××年××月××日</w:t>
      </w:r>
    </w:p>
    <w:p w14:paraId="24CC7810">
      <w:pPr>
        <w:spacing w:line="560" w:lineRule="exact"/>
        <w:ind w:firstLine="64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p w14:paraId="5580ED65">
      <w:pPr>
        <w:keepNext/>
        <w:keepLines/>
        <w:spacing w:before="120" w:after="120" w:line="560" w:lineRule="exact"/>
        <w:jc w:val="center"/>
        <w:outlineLvl w:val="1"/>
        <w:rPr>
          <w:rFonts w:ascii="Arial" w:hAnsi="Arial" w:eastAsia="黑体"/>
          <w:bCs/>
          <w:color w:val="auto"/>
          <w:sz w:val="44"/>
          <w:szCs w:val="32"/>
          <w:highlight w:val="none"/>
        </w:rPr>
      </w:pPr>
      <w:r>
        <w:rPr>
          <w:rFonts w:ascii="仿宋_GB2312" w:hAnsi="仿宋" w:eastAsia="仿宋_GB2312"/>
          <w:bCs/>
          <w:color w:val="auto"/>
          <w:sz w:val="30"/>
          <w:szCs w:val="30"/>
          <w:highlight w:val="none"/>
        </w:rPr>
        <w:br w:type="page"/>
      </w:r>
      <w:r>
        <w:rPr>
          <w:rFonts w:hint="eastAsia" w:ascii="Arial" w:hAnsi="Arial" w:eastAsia="黑体"/>
          <w:bCs/>
          <w:color w:val="auto"/>
          <w:sz w:val="44"/>
          <w:szCs w:val="32"/>
          <w:highlight w:val="none"/>
        </w:rPr>
        <w:t>供应商资格证明文件</w:t>
      </w:r>
    </w:p>
    <w:p w14:paraId="1F9CE1BD">
      <w:pPr>
        <w:keepNext/>
        <w:keepLines/>
        <w:spacing w:before="120" w:after="120" w:line="560" w:lineRule="exact"/>
        <w:jc w:val="center"/>
        <w:outlineLvl w:val="2"/>
        <w:rPr>
          <w:rFonts w:eastAsia="黑体"/>
          <w:bCs/>
          <w:color w:val="auto"/>
          <w:sz w:val="32"/>
          <w:szCs w:val="32"/>
          <w:highlight w:val="none"/>
        </w:rPr>
      </w:pPr>
      <w:r>
        <w:rPr>
          <w:rFonts w:hint="eastAsia" w:eastAsia="黑体"/>
          <w:bCs/>
          <w:color w:val="auto"/>
          <w:sz w:val="32"/>
          <w:szCs w:val="32"/>
          <w:highlight w:val="none"/>
        </w:rPr>
        <w:t>有效的营业执照副本扫描件</w:t>
      </w:r>
    </w:p>
    <w:p w14:paraId="46F0E61C">
      <w:pPr>
        <w:keepNext/>
        <w:keepLines/>
        <w:spacing w:before="120" w:after="120" w:line="560" w:lineRule="exact"/>
        <w:jc w:val="center"/>
        <w:outlineLvl w:val="2"/>
        <w:rPr>
          <w:rFonts w:eastAsia="黑体"/>
          <w:bCs/>
          <w:color w:val="auto"/>
          <w:sz w:val="32"/>
          <w:szCs w:val="32"/>
          <w:highlight w:val="none"/>
        </w:rPr>
      </w:pPr>
      <w:r>
        <w:rPr>
          <w:rFonts w:eastAsia="黑体"/>
          <w:bCs/>
          <w:color w:val="auto"/>
          <w:sz w:val="32"/>
          <w:szCs w:val="32"/>
          <w:highlight w:val="none"/>
        </w:rPr>
        <w:br w:type="page"/>
      </w:r>
      <w:r>
        <w:rPr>
          <w:rFonts w:hint="eastAsia" w:eastAsia="黑体"/>
          <w:bCs/>
          <w:color w:val="auto"/>
          <w:sz w:val="32"/>
          <w:szCs w:val="32"/>
          <w:highlight w:val="none"/>
        </w:rPr>
        <w:t>报价供应商资质证书扫描件（如有）</w:t>
      </w:r>
    </w:p>
    <w:p w14:paraId="2236B2BB">
      <w:pPr>
        <w:keepNext/>
        <w:keepLines/>
        <w:spacing w:before="120" w:after="120" w:line="560" w:lineRule="exact"/>
        <w:jc w:val="center"/>
        <w:outlineLvl w:val="2"/>
        <w:rPr>
          <w:rFonts w:eastAsia="黑体"/>
          <w:bCs/>
          <w:color w:val="auto"/>
          <w:sz w:val="32"/>
          <w:szCs w:val="32"/>
          <w:highlight w:val="none"/>
        </w:rPr>
      </w:pPr>
      <w:r>
        <w:rPr>
          <w:color w:val="auto"/>
          <w:highlight w:val="none"/>
        </w:rPr>
        <w:br w:type="page"/>
      </w:r>
      <w:r>
        <w:rPr>
          <w:rFonts w:hint="eastAsia" w:eastAsia="黑体"/>
          <w:bCs/>
          <w:color w:val="auto"/>
          <w:sz w:val="32"/>
          <w:szCs w:val="32"/>
          <w:highlight w:val="none"/>
        </w:rPr>
        <w:t>法定代表人或负责人身份证明书</w:t>
      </w:r>
    </w:p>
    <w:p w14:paraId="493D6AEA">
      <w:pPr>
        <w:ind w:right="840"/>
        <w:jc w:val="center"/>
        <w:rPr>
          <w:rFonts w:hAnsi="宋体"/>
          <w:color w:val="auto"/>
          <w:highlight w:val="none"/>
        </w:rPr>
      </w:pPr>
    </w:p>
    <w:p w14:paraId="115EF8E9">
      <w:pPr>
        <w:spacing w:line="560" w:lineRule="exact"/>
        <w:rPr>
          <w:rFonts w:ascii="仿宋_GB2312" w:hAnsi="仿宋" w:eastAsia="仿宋_GB2312"/>
          <w:color w:val="auto"/>
          <w:sz w:val="30"/>
          <w:szCs w:val="30"/>
          <w:highlight w:val="none"/>
        </w:rPr>
      </w:pPr>
      <w:r>
        <w:rPr>
          <w:rFonts w:hint="eastAsia" w:ascii="仿宋_GB2312" w:hAnsi="仿宋" w:eastAsia="仿宋_GB2312"/>
          <w:color w:val="auto"/>
          <w:sz w:val="32"/>
          <w:szCs w:val="32"/>
          <w:highlight w:val="none"/>
        </w:rPr>
        <w:t>致</w:t>
      </w:r>
      <w:r>
        <w:rPr>
          <w:rFonts w:hint="eastAsia" w:ascii="仿宋_GB2312" w:hAnsi="仿宋" w:eastAsia="仿宋_GB2312"/>
          <w:color w:val="auto"/>
          <w:sz w:val="30"/>
          <w:szCs w:val="30"/>
          <w:highlight w:val="none"/>
          <w:lang w:eastAsia="zh-CN"/>
        </w:rPr>
        <w:t>乳山天平建设工程咨询有限公司</w:t>
      </w:r>
      <w:r>
        <w:rPr>
          <w:rFonts w:hint="eastAsia" w:ascii="仿宋_GB2312" w:hAnsi="仿宋" w:eastAsia="仿宋_GB2312"/>
          <w:color w:val="auto"/>
          <w:sz w:val="30"/>
          <w:szCs w:val="30"/>
          <w:highlight w:val="none"/>
        </w:rPr>
        <w:t>：</w:t>
      </w:r>
    </w:p>
    <w:p w14:paraId="30CE5445">
      <w:pPr>
        <w:tabs>
          <w:tab w:val="left" w:pos="5580"/>
        </w:tabs>
        <w:spacing w:line="600" w:lineRule="exact"/>
        <w:ind w:left="1100" w:leftChars="-29" w:hanging="1161"/>
        <w:rPr>
          <w:rFonts w:ascii="仿宋_GB2312" w:hAnsi="仿宋" w:eastAsia="仿宋_GB2312"/>
          <w:color w:val="auto"/>
          <w:sz w:val="32"/>
          <w:szCs w:val="32"/>
          <w:highlight w:val="none"/>
        </w:rPr>
      </w:pPr>
    </w:p>
    <w:p w14:paraId="41DAD531">
      <w:pPr>
        <w:tabs>
          <w:tab w:val="left" w:pos="5580"/>
        </w:tabs>
        <w:spacing w:line="600" w:lineRule="exact"/>
        <w:ind w:left="-113" w:leftChars="-54"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（姓名、性别、年龄、身份证号码）在我单位任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（董事长、总经理等）职务，是我单位的法定代表人/负责人。</w:t>
      </w:r>
    </w:p>
    <w:p w14:paraId="2CF5A633">
      <w:pPr>
        <w:tabs>
          <w:tab w:val="left" w:pos="5580"/>
        </w:tabs>
        <w:spacing w:line="600" w:lineRule="exact"/>
        <w:rPr>
          <w:rFonts w:ascii="仿宋_GB2312" w:hAnsi="仿宋" w:eastAsia="仿宋_GB2312"/>
          <w:color w:val="auto"/>
          <w:sz w:val="32"/>
          <w:szCs w:val="32"/>
          <w:highlight w:val="none"/>
        </w:rPr>
      </w:pPr>
    </w:p>
    <w:p w14:paraId="6846AE18">
      <w:pPr>
        <w:tabs>
          <w:tab w:val="left" w:pos="5580"/>
        </w:tabs>
        <w:spacing w:line="600" w:lineRule="exact"/>
        <w:ind w:left="1080" w:leftChars="257" w:hanging="5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特此证明。</w:t>
      </w:r>
    </w:p>
    <w:p w14:paraId="03206C5F">
      <w:pPr>
        <w:spacing w:line="600" w:lineRule="exact"/>
        <w:rPr>
          <w:rFonts w:ascii="仿宋_GB2312" w:hAnsi="仿宋" w:eastAsia="仿宋_GB2312"/>
          <w:color w:val="auto"/>
          <w:sz w:val="32"/>
          <w:szCs w:val="32"/>
          <w:highlight w:val="none"/>
        </w:rPr>
      </w:pPr>
    </w:p>
    <w:p w14:paraId="7B7182EB">
      <w:pPr>
        <w:tabs>
          <w:tab w:val="left" w:pos="5580"/>
        </w:tabs>
        <w:spacing w:line="600" w:lineRule="exact"/>
        <w:ind w:left="-540" w:leftChars="-257" w:right="960" w:firstLine="1200" w:firstLineChars="375"/>
        <w:jc w:val="righ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供应商名称（公</w:t>
      </w:r>
      <w:r>
        <w:rPr>
          <w:rFonts w:ascii="仿宋_GB2312" w:hAnsi="仿宋" w:eastAsia="仿宋_GB2312"/>
          <w:color w:val="auto"/>
          <w:sz w:val="32"/>
          <w:szCs w:val="32"/>
          <w:highlight w:val="none"/>
        </w:rPr>
        <w:t>章）：</w:t>
      </w:r>
      <w:r>
        <w:rPr>
          <w:rFonts w:hint="eastAsia" w:ascii="仿宋_GB2312" w:hAnsi="仿宋" w:eastAsia="仿宋_GB2312"/>
          <w:color w:val="auto"/>
          <w:sz w:val="32"/>
          <w:szCs w:val="32"/>
          <w:highlight w:val="none"/>
        </w:rPr>
        <w:t xml:space="preserve">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 xml:space="preserve"> </w:t>
      </w:r>
    </w:p>
    <w:p w14:paraId="1F2495D5">
      <w:pPr>
        <w:keepNext/>
        <w:keepLines/>
        <w:spacing w:before="120" w:after="120" w:line="560" w:lineRule="exact"/>
        <w:jc w:val="center"/>
        <w:outlineLvl w:val="2"/>
        <w:rPr>
          <w:rFonts w:eastAsia="黑体"/>
          <w:bCs/>
          <w:color w:val="auto"/>
          <w:sz w:val="44"/>
          <w:szCs w:val="32"/>
          <w:highlight w:val="none"/>
        </w:rPr>
      </w:pPr>
      <w:r>
        <w:rPr>
          <w:color w:val="auto"/>
          <w:highlight w:val="none"/>
        </w:rPr>
        <w:br w:type="page"/>
      </w:r>
      <w:r>
        <w:rPr>
          <w:rFonts w:hint="eastAsia" w:eastAsia="黑体"/>
          <w:bCs/>
          <w:color w:val="auto"/>
          <w:sz w:val="32"/>
          <w:szCs w:val="32"/>
          <w:highlight w:val="none"/>
        </w:rPr>
        <w:t>法人授权委托书</w:t>
      </w:r>
    </w:p>
    <w:p w14:paraId="06F3D394">
      <w:pPr>
        <w:spacing w:line="480" w:lineRule="exact"/>
        <w:ind w:firstLine="640" w:firstLineChars="200"/>
        <w:rPr>
          <w:color w:val="auto"/>
          <w:highlight w:val="none"/>
        </w:rPr>
      </w:pPr>
      <w:r>
        <w:rPr>
          <w:rFonts w:hint="eastAsia" w:ascii="仿宋_GB2312" w:hAnsi="仿宋" w:eastAsia="仿宋_GB2312"/>
          <w:color w:val="auto"/>
          <w:sz w:val="32"/>
          <w:szCs w:val="32"/>
          <w:highlight w:val="none"/>
        </w:rPr>
        <w:t>本授权书声明：注册于</w:t>
      </w:r>
      <w:r>
        <w:rPr>
          <w:rFonts w:hint="eastAsia" w:ascii="仿宋_GB2312" w:hAnsi="仿宋" w:eastAsia="仿宋_GB2312"/>
          <w:color w:val="auto"/>
          <w:sz w:val="32"/>
          <w:szCs w:val="32"/>
          <w:highlight w:val="none"/>
          <w:u w:val="single"/>
        </w:rPr>
        <w:t xml:space="preserve">   （国家或地区的名称）  </w:t>
      </w:r>
      <w:r>
        <w:rPr>
          <w:rFonts w:hint="eastAsia" w:ascii="仿宋_GB2312" w:hAnsi="仿宋" w:eastAsia="仿宋_GB2312"/>
          <w:color w:val="auto"/>
          <w:sz w:val="32"/>
          <w:szCs w:val="32"/>
          <w:highlight w:val="none"/>
        </w:rPr>
        <w:t>的</w:t>
      </w:r>
      <w:r>
        <w:rPr>
          <w:rFonts w:hint="eastAsia" w:ascii="仿宋_GB2312" w:hAnsi="仿宋" w:eastAsia="仿宋_GB2312"/>
          <w:color w:val="auto"/>
          <w:sz w:val="32"/>
          <w:szCs w:val="32"/>
          <w:highlight w:val="none"/>
          <w:u w:val="single"/>
        </w:rPr>
        <w:t xml:space="preserve">  （公司名称）  </w:t>
      </w:r>
      <w:r>
        <w:rPr>
          <w:rFonts w:hint="eastAsia" w:ascii="仿宋_GB2312" w:hAnsi="仿宋" w:eastAsia="仿宋_GB2312"/>
          <w:color w:val="auto"/>
          <w:sz w:val="32"/>
          <w:szCs w:val="32"/>
          <w:highlight w:val="none"/>
        </w:rPr>
        <w:t>的</w:t>
      </w:r>
      <w:r>
        <w:rPr>
          <w:rFonts w:hint="eastAsia" w:ascii="仿宋_GB2312" w:hAnsi="仿宋" w:eastAsia="仿宋_GB2312"/>
          <w:color w:val="auto"/>
          <w:sz w:val="32"/>
          <w:szCs w:val="32"/>
          <w:highlight w:val="none"/>
          <w:u w:val="single"/>
        </w:rPr>
        <w:t xml:space="preserve"> （法人代表姓名、职务）  （</w:t>
      </w:r>
      <w:r>
        <w:rPr>
          <w:rFonts w:hint="eastAsia" w:ascii="仿宋_GB2312" w:hAnsi="仿宋" w:eastAsia="仿宋_GB2312"/>
          <w:color w:val="auto"/>
          <w:sz w:val="32"/>
          <w:szCs w:val="32"/>
          <w:highlight w:val="none"/>
        </w:rPr>
        <w:t>身份证</w:t>
      </w:r>
      <w:r>
        <w:rPr>
          <w:rFonts w:ascii="仿宋_GB2312" w:hAnsi="仿宋" w:eastAsia="仿宋_GB2312"/>
          <w:color w:val="auto"/>
          <w:sz w:val="32"/>
          <w:szCs w:val="32"/>
          <w:highlight w:val="none"/>
        </w:rPr>
        <w:t>号码</w:t>
      </w:r>
      <w:r>
        <w:rPr>
          <w:rFonts w:hint="eastAsia" w:ascii="仿宋_GB2312" w:hAnsi="仿宋" w:eastAsia="仿宋_GB2312"/>
          <w:color w:val="auto"/>
          <w:sz w:val="32"/>
          <w:szCs w:val="32"/>
          <w:highlight w:val="none"/>
        </w:rPr>
        <w:t xml:space="preserve">：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），代表本公司授权</w:t>
      </w:r>
      <w:r>
        <w:rPr>
          <w:rFonts w:hint="eastAsia" w:ascii="仿宋_GB2312" w:hAnsi="仿宋" w:eastAsia="仿宋_GB2312"/>
          <w:color w:val="auto"/>
          <w:sz w:val="32"/>
          <w:szCs w:val="32"/>
          <w:highlight w:val="none"/>
          <w:u w:val="single"/>
        </w:rPr>
        <w:t xml:space="preserve">  （被授权单位名称）  </w:t>
      </w:r>
      <w:r>
        <w:rPr>
          <w:rFonts w:hint="eastAsia" w:ascii="仿宋_GB2312" w:hAnsi="仿宋" w:eastAsia="仿宋_GB2312"/>
          <w:color w:val="auto"/>
          <w:sz w:val="32"/>
          <w:szCs w:val="32"/>
          <w:highlight w:val="none"/>
        </w:rPr>
        <w:t>的</w:t>
      </w:r>
      <w:r>
        <w:rPr>
          <w:rFonts w:hint="eastAsia" w:ascii="仿宋_GB2312" w:hAnsi="仿宋" w:eastAsia="仿宋_GB2312"/>
          <w:color w:val="auto"/>
          <w:sz w:val="32"/>
          <w:szCs w:val="32"/>
          <w:highlight w:val="none"/>
          <w:u w:val="single"/>
        </w:rPr>
        <w:t xml:space="preserve">        （被授权人的姓名、职务）（</w:t>
      </w:r>
      <w:r>
        <w:rPr>
          <w:rFonts w:hint="eastAsia" w:ascii="仿宋_GB2312" w:hAnsi="仿宋" w:eastAsia="仿宋_GB2312"/>
          <w:color w:val="auto"/>
          <w:sz w:val="32"/>
          <w:szCs w:val="32"/>
          <w:highlight w:val="none"/>
        </w:rPr>
        <w:t>身份证</w:t>
      </w:r>
      <w:r>
        <w:rPr>
          <w:rFonts w:ascii="仿宋_GB2312" w:hAnsi="仿宋" w:eastAsia="仿宋_GB2312"/>
          <w:color w:val="auto"/>
          <w:sz w:val="32"/>
          <w:szCs w:val="32"/>
          <w:highlight w:val="none"/>
        </w:rPr>
        <w:t>号码</w:t>
      </w:r>
      <w:r>
        <w:rPr>
          <w:rFonts w:hint="eastAsia" w:ascii="仿宋_GB2312" w:hAnsi="仿宋" w:eastAsia="仿宋_GB2312"/>
          <w:color w:val="auto"/>
          <w:sz w:val="32"/>
          <w:szCs w:val="32"/>
          <w:highlight w:val="none"/>
        </w:rPr>
        <w:t xml:space="preserve">：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）为本公司的合法代理人，参加编号为</w:t>
      </w:r>
      <w:r>
        <w:rPr>
          <w:rFonts w:hint="eastAsia" w:ascii="仿宋_GB2312" w:hAnsi="仿宋" w:eastAsia="仿宋_GB2312"/>
          <w:color w:val="auto"/>
          <w:sz w:val="32"/>
          <w:szCs w:val="32"/>
          <w:highlight w:val="none"/>
          <w:lang w:eastAsia="zh-CN"/>
        </w:rPr>
        <w:t>SDGP371083000202402000115</w:t>
      </w:r>
      <w:r>
        <w:rPr>
          <w:rFonts w:hint="eastAsia" w:ascii="仿宋_GB2312" w:hAnsi="仿宋" w:eastAsia="仿宋_GB2312"/>
          <w:color w:val="auto"/>
          <w:sz w:val="32"/>
          <w:szCs w:val="32"/>
          <w:highlight w:val="none"/>
        </w:rPr>
        <w:t>号的竞争性磋商采购活动，以本公司名义处理一切与之有关的事宜。</w:t>
      </w:r>
    </w:p>
    <w:p w14:paraId="15D150D1">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如果本公司在此次采购活动中成交，被授权人有权代表本公司签署政府采购合同。</w:t>
      </w:r>
    </w:p>
    <w:p w14:paraId="2DF0612B">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本授权书于</w:t>
      </w:r>
      <w:r>
        <w:rPr>
          <w:rFonts w:hint="eastAsia" w:ascii="仿宋_GB2312" w:hAnsi="仿宋" w:eastAsia="仿宋_GB2312"/>
          <w:color w:val="auto"/>
          <w:sz w:val="32"/>
          <w:szCs w:val="32"/>
          <w:highlight w:val="none"/>
          <w:u w:val="single"/>
        </w:rPr>
        <w:t xml:space="preserve">      </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single"/>
        </w:rPr>
        <w:t xml:space="preserve">    </w:t>
      </w:r>
      <w:r>
        <w:rPr>
          <w:rFonts w:hint="eastAsia" w:ascii="仿宋_GB2312" w:hAnsi="仿宋" w:eastAsia="仿宋_GB2312"/>
          <w:color w:val="auto"/>
          <w:sz w:val="32"/>
          <w:szCs w:val="32"/>
          <w:highlight w:val="none"/>
        </w:rPr>
        <w:t>月</w:t>
      </w:r>
      <w:r>
        <w:rPr>
          <w:rFonts w:hint="eastAsia" w:ascii="仿宋_GB2312" w:hAnsi="仿宋" w:eastAsia="仿宋_GB2312"/>
          <w:color w:val="auto"/>
          <w:sz w:val="32"/>
          <w:szCs w:val="32"/>
          <w:highlight w:val="none"/>
          <w:u w:val="single"/>
        </w:rPr>
        <w:t xml:space="preserve">    </w:t>
      </w:r>
      <w:r>
        <w:rPr>
          <w:rFonts w:hint="eastAsia" w:ascii="仿宋_GB2312" w:hAnsi="仿宋" w:eastAsia="仿宋_GB2312"/>
          <w:color w:val="auto"/>
          <w:sz w:val="32"/>
          <w:szCs w:val="32"/>
          <w:highlight w:val="none"/>
        </w:rPr>
        <w:t>日法定代表人签字或盖章并由被授权人签字、单位盖章生效，特此声明。</w:t>
      </w:r>
    </w:p>
    <w:p w14:paraId="70900861">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被授权人无转委托权。</w:t>
      </w:r>
    </w:p>
    <w:p w14:paraId="5FA0F706">
      <w:pPr>
        <w:spacing w:line="480" w:lineRule="exact"/>
        <w:ind w:firstLine="640" w:firstLineChars="200"/>
        <w:jc w:val="lef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法定代表人签章：</w:t>
      </w:r>
    </w:p>
    <w:p w14:paraId="55438853">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被授权人签字：</w:t>
      </w:r>
    </w:p>
    <w:p w14:paraId="5B1F9D31">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投标人（公章）:</w:t>
      </w:r>
    </w:p>
    <w:p w14:paraId="5570A92D">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详细通讯地址：</w:t>
      </w:r>
    </w:p>
    <w:p w14:paraId="717CDC55">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邮 政 编 码 ：</w:t>
      </w:r>
    </w:p>
    <w:p w14:paraId="3AE99578">
      <w:pPr>
        <w:spacing w:line="48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传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真：</w:t>
      </w:r>
    </w:p>
    <w:p w14:paraId="34C00F85">
      <w:pPr>
        <w:widowControl/>
        <w:ind w:firstLine="640" w:firstLineChars="200"/>
        <w:jc w:val="left"/>
        <w:rPr>
          <w:vanish/>
          <w:color w:val="auto"/>
          <w:highlight w:val="none"/>
        </w:rPr>
      </w:pPr>
      <w:r>
        <w:rPr>
          <w:rFonts w:hint="eastAsia" w:ascii="仿宋_GB2312" w:hAnsi="仿宋" w:eastAsia="仿宋_GB2312"/>
          <w:color w:val="auto"/>
          <w:sz w:val="32"/>
          <w:szCs w:val="32"/>
          <w:highlight w:val="none"/>
        </w:rPr>
        <w:t xml:space="preserve">电 </w:t>
      </w:r>
      <w:r>
        <w:rPr>
          <w:rFonts w:ascii="仿宋_GB2312" w:hAnsi="仿宋" w:eastAsia="仿宋_GB2312"/>
          <w:color w:val="auto"/>
          <w:sz w:val="32"/>
          <w:szCs w:val="32"/>
          <w:highlight w:val="none"/>
        </w:rPr>
        <w:t xml:space="preserve">     </w:t>
      </w:r>
      <w:r>
        <w:rPr>
          <w:rFonts w:hint="eastAsia" w:ascii="仿宋_GB2312" w:hAnsi="仿宋" w:eastAsia="仿宋_GB2312"/>
          <w:color w:val="auto"/>
          <w:sz w:val="32"/>
          <w:szCs w:val="32"/>
          <w:highlight w:val="none"/>
        </w:rPr>
        <w:t>话：</w:t>
      </w:r>
    </w:p>
    <w:tbl>
      <w:tblPr>
        <w:tblStyle w:val="35"/>
        <w:tblpPr w:leftFromText="180" w:rightFromText="180" w:vertAnchor="text" w:horzAnchor="margin"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786"/>
        <w:gridCol w:w="4786"/>
      </w:tblGrid>
      <w:tr w14:paraId="7892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2" w:hRule="atLeast"/>
        </w:trPr>
        <w:tc>
          <w:tcPr>
            <w:tcW w:w="4786" w:type="dxa"/>
            <w:vAlign w:val="center"/>
          </w:tcPr>
          <w:p w14:paraId="3D975D14">
            <w:pPr>
              <w:widowControl/>
              <w:spacing w:beforeAutospacing="1" w:afterAutospacing="1" w:line="360" w:lineRule="auto"/>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（被授权人身份证扫描件反面）</w:t>
            </w:r>
          </w:p>
        </w:tc>
        <w:tc>
          <w:tcPr>
            <w:tcW w:w="4786" w:type="dxa"/>
            <w:vAlign w:val="center"/>
          </w:tcPr>
          <w:p w14:paraId="2CD0F4F1">
            <w:pPr>
              <w:widowControl/>
              <w:spacing w:beforeAutospacing="1" w:afterAutospacing="1" w:line="360" w:lineRule="auto"/>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（被授权人身份证扫描件正面）</w:t>
            </w:r>
          </w:p>
        </w:tc>
      </w:tr>
    </w:tbl>
    <w:p w14:paraId="3212E01D">
      <w:pPr>
        <w:rPr>
          <w:rFonts w:ascii="仿宋_GB2312" w:hAnsi="仿宋" w:eastAsia="仿宋_GB2312"/>
          <w:b/>
          <w:color w:val="auto"/>
          <w:sz w:val="36"/>
          <w:szCs w:val="21"/>
          <w:highlight w:val="none"/>
        </w:rPr>
      </w:pPr>
    </w:p>
    <w:p w14:paraId="464A2DD2">
      <w:pPr>
        <w:keepNext/>
        <w:keepLines/>
        <w:spacing w:before="120" w:after="120" w:line="560" w:lineRule="exact"/>
        <w:jc w:val="center"/>
        <w:outlineLvl w:val="2"/>
        <w:rPr>
          <w:rFonts w:eastAsia="黑体"/>
          <w:bCs/>
          <w:color w:val="auto"/>
          <w:sz w:val="32"/>
          <w:szCs w:val="32"/>
          <w:highlight w:val="none"/>
        </w:rPr>
      </w:pPr>
      <w:r>
        <w:rPr>
          <w:rFonts w:hint="eastAsia" w:ascii="仿宋_GB2312" w:hAnsi="仿宋" w:eastAsia="仿宋_GB2312"/>
          <w:b/>
          <w:bCs/>
          <w:color w:val="auto"/>
          <w:sz w:val="28"/>
          <w:szCs w:val="28"/>
          <w:highlight w:val="none"/>
        </w:rPr>
        <w:br w:type="page"/>
      </w:r>
      <w:r>
        <w:rPr>
          <w:rFonts w:hint="eastAsia" w:eastAsia="黑体"/>
          <w:bCs/>
          <w:color w:val="auto"/>
          <w:sz w:val="32"/>
          <w:szCs w:val="32"/>
          <w:highlight w:val="none"/>
        </w:rPr>
        <w:t>供应商依法缴纳税收和社会保障资金的声明</w:t>
      </w:r>
    </w:p>
    <w:p w14:paraId="6C33A1A7">
      <w:pPr>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（格式自拟，加盖供应商公章）</w:t>
      </w:r>
    </w:p>
    <w:p w14:paraId="79158475">
      <w:pPr>
        <w:keepNext/>
        <w:keepLines/>
        <w:spacing w:before="120" w:after="120" w:line="560" w:lineRule="exact"/>
        <w:jc w:val="center"/>
        <w:outlineLvl w:val="2"/>
        <w:rPr>
          <w:rFonts w:eastAsia="黑体"/>
          <w:bCs/>
          <w:color w:val="auto"/>
          <w:sz w:val="32"/>
          <w:szCs w:val="32"/>
          <w:highlight w:val="none"/>
        </w:rPr>
      </w:pPr>
      <w:r>
        <w:rPr>
          <w:rFonts w:ascii="Arial" w:hAnsi="Arial" w:eastAsia="黑体"/>
          <w:b/>
          <w:bCs/>
          <w:color w:val="auto"/>
          <w:sz w:val="32"/>
          <w:szCs w:val="32"/>
          <w:highlight w:val="none"/>
        </w:rPr>
        <w:br w:type="page"/>
      </w:r>
      <w:r>
        <w:rPr>
          <w:rFonts w:hint="eastAsia" w:eastAsia="黑体"/>
          <w:bCs/>
          <w:color w:val="auto"/>
          <w:sz w:val="32"/>
          <w:szCs w:val="32"/>
          <w:highlight w:val="none"/>
        </w:rPr>
        <w:t>无重大违法记录声明</w:t>
      </w:r>
    </w:p>
    <w:p w14:paraId="407D46F2">
      <w:pPr>
        <w:spacing w:line="460" w:lineRule="exact"/>
        <w:ind w:left="1747" w:leftChars="832"/>
        <w:jc w:val="center"/>
        <w:rPr>
          <w:rFonts w:ascii="仿宋_GB2312" w:hAnsi="仿宋" w:eastAsia="仿宋_GB2312"/>
          <w:b/>
          <w:bCs/>
          <w:color w:val="auto"/>
          <w:sz w:val="28"/>
          <w:szCs w:val="28"/>
          <w:highlight w:val="none"/>
        </w:rPr>
      </w:pPr>
    </w:p>
    <w:p w14:paraId="0F9D7D14">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color w:val="auto"/>
          <w:sz w:val="30"/>
          <w:szCs w:val="30"/>
          <w:highlight w:val="none"/>
          <w:lang w:eastAsia="zh-CN"/>
        </w:rPr>
        <w:t>乳山天平建设工程咨询有限公司</w:t>
      </w:r>
      <w:r>
        <w:rPr>
          <w:rFonts w:hint="eastAsia" w:ascii="仿宋_GB2312" w:hAnsi="仿宋" w:eastAsia="仿宋_GB2312"/>
          <w:bCs/>
          <w:color w:val="auto"/>
          <w:sz w:val="28"/>
          <w:szCs w:val="28"/>
          <w:highlight w:val="none"/>
        </w:rPr>
        <w:t>：</w:t>
      </w:r>
    </w:p>
    <w:p w14:paraId="4E1C544E">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rPr>
        <w:t xml:space="preserve">                  </w:t>
      </w:r>
      <w:r>
        <w:rPr>
          <w:rFonts w:hint="eastAsia" w:ascii="仿宋_GB2312" w:hAnsi="仿宋" w:eastAsia="仿宋_GB2312"/>
          <w:bCs/>
          <w:color w:val="auto"/>
          <w:sz w:val="28"/>
          <w:szCs w:val="28"/>
          <w:highlight w:val="none"/>
        </w:rPr>
        <w:t>（公司名称）现郑重声明，自参加本项目（编号为               ）政府采购活动前三年内，我公司无因违法经营受到刑事处罚或者责令停产停业的、吊销许可证或者执照的、较大数额罚款等行政处罚。</w:t>
      </w:r>
    </w:p>
    <w:p w14:paraId="6BC58092">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14:paraId="061D4020">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14:paraId="6E53E0BE">
      <w:pPr>
        <w:spacing w:line="480" w:lineRule="auto"/>
        <w:ind w:left="1747" w:leftChars="832"/>
        <w:rPr>
          <w:rFonts w:ascii="仿宋_GB2312" w:hAnsi="仿宋" w:eastAsia="仿宋_GB2312"/>
          <w:bCs/>
          <w:color w:val="auto"/>
          <w:sz w:val="28"/>
          <w:szCs w:val="28"/>
          <w:highlight w:val="none"/>
        </w:rPr>
      </w:pPr>
    </w:p>
    <w:p w14:paraId="12F269B2">
      <w:pPr>
        <w:spacing w:line="480" w:lineRule="auto"/>
        <w:ind w:left="1747" w:leftChars="832"/>
        <w:rPr>
          <w:rFonts w:ascii="仿宋_GB2312" w:hAnsi="仿宋" w:eastAsia="仿宋_GB2312"/>
          <w:bCs/>
          <w:color w:val="auto"/>
          <w:sz w:val="28"/>
          <w:szCs w:val="28"/>
          <w:highlight w:val="none"/>
        </w:rPr>
      </w:pPr>
    </w:p>
    <w:p w14:paraId="43BE5E1C">
      <w:pPr>
        <w:spacing w:line="480" w:lineRule="auto"/>
        <w:ind w:left="1747" w:leftChars="832"/>
        <w:rPr>
          <w:rFonts w:ascii="仿宋_GB2312" w:hAnsi="仿宋" w:eastAsia="仿宋_GB2312"/>
          <w:bCs/>
          <w:color w:val="auto"/>
          <w:sz w:val="28"/>
          <w:szCs w:val="28"/>
          <w:highlight w:val="none"/>
        </w:rPr>
      </w:pPr>
    </w:p>
    <w:p w14:paraId="026F0548">
      <w:pPr>
        <w:tabs>
          <w:tab w:val="left" w:pos="5580"/>
        </w:tabs>
        <w:wordWrap w:val="0"/>
        <w:spacing w:line="360" w:lineRule="auto"/>
        <w:jc w:val="right"/>
        <w:rPr>
          <w:rFonts w:ascii="仿宋_GB2312" w:hAnsi="宋体" w:eastAsia="仿宋_GB2312"/>
          <w:color w:val="auto"/>
          <w:sz w:val="28"/>
          <w:szCs w:val="28"/>
          <w:highlight w:val="none"/>
        </w:rPr>
      </w:pPr>
      <w:r>
        <w:rPr>
          <w:rFonts w:hint="eastAsia" w:ascii="仿宋_GB2312" w:eastAsia="仿宋_GB2312"/>
          <w:color w:val="auto"/>
          <w:sz w:val="28"/>
          <w:szCs w:val="28"/>
          <w:highlight w:val="none"/>
        </w:rPr>
        <w:t xml:space="preserve">供应商全称（公章）：          </w:t>
      </w:r>
    </w:p>
    <w:p w14:paraId="7F972F16">
      <w:pPr>
        <w:tabs>
          <w:tab w:val="left" w:pos="5580"/>
        </w:tabs>
        <w:spacing w:line="360" w:lineRule="auto"/>
        <w:ind w:firstLine="4132" w:firstLineChars="1476"/>
        <w:jc w:val="right"/>
        <w:rPr>
          <w:rFonts w:ascii="仿宋_GB2312" w:eastAsia="仿宋_GB2312"/>
          <w:color w:val="auto"/>
          <w:sz w:val="28"/>
          <w:szCs w:val="28"/>
          <w:highlight w:val="none"/>
        </w:rPr>
      </w:pPr>
    </w:p>
    <w:p w14:paraId="10B93F19">
      <w:pPr>
        <w:tabs>
          <w:tab w:val="left" w:pos="5580"/>
        </w:tabs>
        <w:wordWrap w:val="0"/>
        <w:spacing w:line="360" w:lineRule="auto"/>
        <w:jc w:val="right"/>
        <w:rPr>
          <w:rFonts w:ascii="仿宋_GB2312" w:eastAsia="仿宋_GB2312"/>
          <w:color w:val="auto"/>
          <w:sz w:val="28"/>
          <w:szCs w:val="28"/>
          <w:highlight w:val="none"/>
        </w:rPr>
      </w:pPr>
      <w:r>
        <w:rPr>
          <w:rFonts w:hint="eastAsia" w:ascii="仿宋_GB2312" w:hAnsi="仿宋" w:eastAsia="仿宋_GB2312"/>
          <w:bCs/>
          <w:color w:val="auto"/>
          <w:sz w:val="28"/>
          <w:szCs w:val="28"/>
          <w:highlight w:val="none"/>
        </w:rPr>
        <w:t>法定代表人签章</w:t>
      </w:r>
      <w:r>
        <w:rPr>
          <w:rFonts w:ascii="仿宋_GB2312" w:eastAsia="仿宋_GB2312"/>
          <w:color w:val="auto"/>
          <w:sz w:val="28"/>
          <w:szCs w:val="28"/>
          <w:highlight w:val="none"/>
        </w:rPr>
        <w:t>：</w:t>
      </w:r>
      <w:r>
        <w:rPr>
          <w:rFonts w:hint="eastAsia" w:ascii="仿宋_GB2312" w:eastAsia="仿宋_GB2312"/>
          <w:color w:val="auto"/>
          <w:sz w:val="28"/>
          <w:szCs w:val="28"/>
          <w:highlight w:val="none"/>
        </w:rPr>
        <w:t xml:space="preserve">         </w:t>
      </w:r>
    </w:p>
    <w:p w14:paraId="561C50EB">
      <w:pPr>
        <w:tabs>
          <w:tab w:val="left" w:pos="5580"/>
        </w:tabs>
        <w:spacing w:line="360" w:lineRule="auto"/>
        <w:ind w:firstLine="4132" w:firstLineChars="1476"/>
        <w:rPr>
          <w:rFonts w:ascii="仿宋_GB2312" w:eastAsia="仿宋_GB2312"/>
          <w:color w:val="auto"/>
          <w:sz w:val="28"/>
          <w:szCs w:val="28"/>
          <w:highlight w:val="none"/>
        </w:rPr>
      </w:pPr>
    </w:p>
    <w:p w14:paraId="7EF14565">
      <w:pPr>
        <w:widowControl/>
        <w:jc w:val="right"/>
        <w:rPr>
          <w:rFonts w:ascii="宋体" w:hAnsi="宋体"/>
          <w:color w:val="auto"/>
          <w:sz w:val="28"/>
          <w:szCs w:val="28"/>
          <w:highlight w:val="none"/>
        </w:rPr>
      </w:pPr>
      <w:r>
        <w:rPr>
          <w:rFonts w:hint="eastAsia" w:ascii="仿宋_GB2312" w:eastAsia="仿宋_GB2312"/>
          <w:color w:val="auto"/>
          <w:sz w:val="28"/>
          <w:szCs w:val="28"/>
          <w:highlight w:val="none"/>
        </w:rPr>
        <w:t>年</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t>月</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t>日</w:t>
      </w:r>
    </w:p>
    <w:p w14:paraId="460CC620">
      <w:pPr>
        <w:keepNext/>
        <w:keepLines/>
        <w:spacing w:before="120" w:after="120" w:line="560" w:lineRule="exact"/>
        <w:jc w:val="center"/>
        <w:outlineLvl w:val="2"/>
        <w:rPr>
          <w:rFonts w:eastAsia="黑体"/>
          <w:bCs/>
          <w:color w:val="auto"/>
          <w:sz w:val="32"/>
          <w:szCs w:val="32"/>
          <w:highlight w:val="none"/>
        </w:rPr>
      </w:pPr>
      <w:r>
        <w:rPr>
          <w:rFonts w:ascii="宋体" w:hAnsi="宋体" w:eastAsia="黑体"/>
          <w:bCs/>
          <w:color w:val="auto"/>
          <w:sz w:val="28"/>
          <w:szCs w:val="28"/>
          <w:highlight w:val="none"/>
        </w:rPr>
        <w:br w:type="page"/>
      </w:r>
      <w:r>
        <w:rPr>
          <w:rFonts w:hint="eastAsia" w:eastAsia="黑体"/>
          <w:bCs/>
          <w:color w:val="auto"/>
          <w:sz w:val="32"/>
          <w:szCs w:val="32"/>
          <w:highlight w:val="none"/>
        </w:rPr>
        <w:t>供应商具有履行合同所必需的设备和专业技术能力承诺函</w:t>
      </w:r>
    </w:p>
    <w:p w14:paraId="34759B77">
      <w:pPr>
        <w:jc w:val="center"/>
        <w:rPr>
          <w:rFonts w:ascii="宋体" w:hAnsi="宋体"/>
          <w:color w:val="auto"/>
          <w:sz w:val="28"/>
          <w:szCs w:val="28"/>
          <w:highlight w:val="none"/>
        </w:rPr>
      </w:pPr>
      <w:r>
        <w:rPr>
          <w:rFonts w:hint="eastAsia" w:ascii="仿宋_GB2312" w:eastAsia="仿宋_GB2312"/>
          <w:color w:val="auto"/>
          <w:sz w:val="28"/>
          <w:szCs w:val="28"/>
          <w:highlight w:val="none"/>
        </w:rPr>
        <w:t>（格式自拟，加盖供应商公章）</w:t>
      </w:r>
    </w:p>
    <w:p w14:paraId="2C8AB50A">
      <w:pPr>
        <w:keepNext/>
        <w:keepLines/>
        <w:spacing w:before="120" w:after="120" w:line="560" w:lineRule="exact"/>
        <w:jc w:val="center"/>
        <w:outlineLvl w:val="2"/>
        <w:rPr>
          <w:rFonts w:eastAsia="黑体"/>
          <w:bCs/>
          <w:color w:val="auto"/>
          <w:sz w:val="32"/>
          <w:szCs w:val="32"/>
          <w:highlight w:val="none"/>
        </w:rPr>
      </w:pPr>
      <w:r>
        <w:rPr>
          <w:rFonts w:ascii="宋体" w:hAnsi="宋体" w:eastAsia="黑体"/>
          <w:bCs/>
          <w:color w:val="auto"/>
          <w:sz w:val="28"/>
          <w:szCs w:val="28"/>
          <w:highlight w:val="none"/>
        </w:rPr>
        <w:br w:type="page"/>
      </w:r>
      <w:r>
        <w:rPr>
          <w:rFonts w:hint="eastAsia" w:eastAsia="黑体"/>
          <w:bCs/>
          <w:color w:val="auto"/>
          <w:sz w:val="32"/>
          <w:szCs w:val="32"/>
          <w:highlight w:val="none"/>
        </w:rPr>
        <w:t>财务状况报告等相关材料</w:t>
      </w:r>
    </w:p>
    <w:p w14:paraId="7F648353">
      <w:pPr>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（加盖供应商公章）</w:t>
      </w:r>
    </w:p>
    <w:p w14:paraId="5983283E">
      <w:pPr>
        <w:jc w:val="center"/>
        <w:rPr>
          <w:rFonts w:ascii="黑体" w:hAnsi="黑体" w:eastAsia="黑体"/>
          <w:color w:val="auto"/>
          <w:sz w:val="32"/>
          <w:szCs w:val="32"/>
          <w:highlight w:val="none"/>
        </w:rPr>
      </w:pPr>
      <w:r>
        <w:rPr>
          <w:color w:val="auto"/>
          <w:highlight w:val="none"/>
        </w:rPr>
        <w:br w:type="page"/>
      </w:r>
      <w:r>
        <w:rPr>
          <w:rFonts w:hint="eastAsia" w:ascii="黑体" w:hAnsi="黑体" w:eastAsia="黑体"/>
          <w:color w:val="auto"/>
          <w:sz w:val="32"/>
          <w:szCs w:val="32"/>
          <w:highlight w:val="none"/>
        </w:rPr>
        <w:t>信用报告</w:t>
      </w:r>
    </w:p>
    <w:p w14:paraId="7D2533A7">
      <w:pPr>
        <w:jc w:val="center"/>
        <w:rPr>
          <w:rFonts w:ascii="黑体" w:hAnsi="黑体" w:eastAsia="黑体"/>
          <w:color w:val="auto"/>
          <w:sz w:val="32"/>
          <w:szCs w:val="32"/>
          <w:highlight w:val="none"/>
        </w:rPr>
      </w:pPr>
      <w:r>
        <w:rPr>
          <w:rFonts w:ascii="黑体" w:hAnsi="黑体" w:eastAsia="黑体"/>
          <w:color w:val="auto"/>
          <w:sz w:val="32"/>
          <w:szCs w:val="32"/>
          <w:highlight w:val="none"/>
        </w:rPr>
        <w:br w:type="page"/>
      </w:r>
      <w:r>
        <w:rPr>
          <w:rFonts w:hint="eastAsia" w:ascii="黑体" w:hAnsi="黑体" w:eastAsia="黑体"/>
          <w:color w:val="auto"/>
          <w:sz w:val="32"/>
          <w:szCs w:val="32"/>
          <w:highlight w:val="none"/>
        </w:rPr>
        <w:t>其他资质资格文件</w:t>
      </w:r>
    </w:p>
    <w:p w14:paraId="105B1F8E">
      <w:pPr>
        <w:jc w:val="center"/>
        <w:rPr>
          <w:color w:val="auto"/>
          <w:highlight w:val="none"/>
        </w:rPr>
      </w:pPr>
      <w:r>
        <w:rPr>
          <w:rFonts w:hint="eastAsia" w:ascii="仿宋_GB2312" w:eastAsia="仿宋_GB2312"/>
          <w:color w:val="auto"/>
          <w:sz w:val="28"/>
          <w:szCs w:val="28"/>
          <w:highlight w:val="none"/>
        </w:rPr>
        <w:t>（加盖供应商公章）</w:t>
      </w:r>
    </w:p>
    <w:p w14:paraId="42BB9F8E">
      <w:pPr>
        <w:widowControl/>
        <w:jc w:val="center"/>
        <w:rPr>
          <w:rFonts w:ascii="黑体" w:hAnsi="黑体" w:eastAsia="黑体"/>
          <w:color w:val="auto"/>
          <w:sz w:val="44"/>
          <w:szCs w:val="44"/>
          <w:highlight w:val="none"/>
        </w:rPr>
      </w:pPr>
      <w:r>
        <w:rPr>
          <w:color w:val="auto"/>
          <w:highlight w:val="none"/>
        </w:rPr>
        <w:br w:type="page"/>
      </w:r>
      <w:r>
        <w:rPr>
          <w:rFonts w:hint="eastAsia" w:ascii="黑体" w:hAnsi="黑体" w:eastAsia="黑体"/>
          <w:color w:val="auto"/>
          <w:sz w:val="44"/>
          <w:szCs w:val="44"/>
          <w:highlight w:val="none"/>
        </w:rPr>
        <w:t>供应商基本情况表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302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18CB867">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单位名称</w:t>
            </w:r>
          </w:p>
        </w:tc>
        <w:tc>
          <w:tcPr>
            <w:tcW w:w="2889" w:type="dxa"/>
            <w:gridSpan w:val="4"/>
            <w:vAlign w:val="center"/>
          </w:tcPr>
          <w:p w14:paraId="01D75CEA">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c>
          <w:tcPr>
            <w:tcW w:w="2106" w:type="dxa"/>
            <w:gridSpan w:val="3"/>
            <w:vAlign w:val="center"/>
          </w:tcPr>
          <w:p w14:paraId="30DE8154">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地址</w:t>
            </w:r>
          </w:p>
        </w:tc>
        <w:tc>
          <w:tcPr>
            <w:tcW w:w="2049" w:type="dxa"/>
            <w:vAlign w:val="center"/>
          </w:tcPr>
          <w:p w14:paraId="41A33BF0">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5129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vAlign w:val="center"/>
          </w:tcPr>
          <w:p w14:paraId="22C43163">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办公电话/传真</w:t>
            </w:r>
          </w:p>
        </w:tc>
        <w:tc>
          <w:tcPr>
            <w:tcW w:w="2889" w:type="dxa"/>
            <w:gridSpan w:val="4"/>
            <w:vAlign w:val="center"/>
          </w:tcPr>
          <w:p w14:paraId="3399650A">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c>
          <w:tcPr>
            <w:tcW w:w="2106" w:type="dxa"/>
            <w:gridSpan w:val="3"/>
            <w:vAlign w:val="center"/>
          </w:tcPr>
          <w:p w14:paraId="5347F15A">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联系人</w:t>
            </w:r>
          </w:p>
        </w:tc>
        <w:tc>
          <w:tcPr>
            <w:tcW w:w="2049" w:type="dxa"/>
            <w:vAlign w:val="center"/>
          </w:tcPr>
          <w:p w14:paraId="4BCEF2AC">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2BEC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8710563">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所属/主管部门</w:t>
            </w:r>
          </w:p>
        </w:tc>
        <w:tc>
          <w:tcPr>
            <w:tcW w:w="7044" w:type="dxa"/>
            <w:gridSpan w:val="8"/>
            <w:vAlign w:val="center"/>
          </w:tcPr>
          <w:p w14:paraId="5D6C454A">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6636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vAlign w:val="center"/>
          </w:tcPr>
          <w:p w14:paraId="543DA945">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总经理</w:t>
            </w:r>
          </w:p>
        </w:tc>
        <w:tc>
          <w:tcPr>
            <w:tcW w:w="1665" w:type="dxa"/>
            <w:gridSpan w:val="2"/>
            <w:vAlign w:val="center"/>
          </w:tcPr>
          <w:p w14:paraId="7423E136">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c>
          <w:tcPr>
            <w:tcW w:w="2827" w:type="dxa"/>
            <w:gridSpan w:val="4"/>
            <w:vAlign w:val="center"/>
          </w:tcPr>
          <w:p w14:paraId="3D3153F1">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固定办公面积（平米）</w:t>
            </w:r>
          </w:p>
        </w:tc>
        <w:tc>
          <w:tcPr>
            <w:tcW w:w="2552" w:type="dxa"/>
            <w:gridSpan w:val="2"/>
            <w:vAlign w:val="center"/>
          </w:tcPr>
          <w:p w14:paraId="42221D02">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42B8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255264DE">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注册情况</w:t>
            </w:r>
          </w:p>
        </w:tc>
        <w:tc>
          <w:tcPr>
            <w:tcW w:w="2214" w:type="dxa"/>
            <w:gridSpan w:val="2"/>
            <w:vAlign w:val="center"/>
          </w:tcPr>
          <w:p w14:paraId="28EFEDD5">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工商注册号</w:t>
            </w:r>
          </w:p>
        </w:tc>
        <w:tc>
          <w:tcPr>
            <w:tcW w:w="6477" w:type="dxa"/>
            <w:gridSpan w:val="7"/>
            <w:vAlign w:val="center"/>
          </w:tcPr>
          <w:p w14:paraId="7A885FFC">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7E95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5686E97">
            <w:pPr>
              <w:spacing w:line="440" w:lineRule="exact"/>
              <w:jc w:val="center"/>
              <w:rPr>
                <w:rFonts w:ascii="仿宋_GB2312" w:hAnsi="仿宋" w:eastAsia="仿宋_GB2312"/>
                <w:color w:val="auto"/>
                <w:sz w:val="28"/>
                <w:szCs w:val="28"/>
                <w:highlight w:val="none"/>
              </w:rPr>
            </w:pPr>
          </w:p>
        </w:tc>
        <w:tc>
          <w:tcPr>
            <w:tcW w:w="2214" w:type="dxa"/>
            <w:gridSpan w:val="2"/>
            <w:vAlign w:val="center"/>
          </w:tcPr>
          <w:p w14:paraId="72581621">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注册资本（万元）</w:t>
            </w:r>
          </w:p>
        </w:tc>
        <w:tc>
          <w:tcPr>
            <w:tcW w:w="6477" w:type="dxa"/>
            <w:gridSpan w:val="7"/>
            <w:vAlign w:val="center"/>
          </w:tcPr>
          <w:p w14:paraId="15B6ECE5">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1C87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7A22C4E">
            <w:pPr>
              <w:spacing w:line="440" w:lineRule="exact"/>
              <w:jc w:val="center"/>
              <w:rPr>
                <w:rFonts w:ascii="仿宋_GB2312" w:hAnsi="仿宋" w:eastAsia="仿宋_GB2312"/>
                <w:color w:val="auto"/>
                <w:sz w:val="28"/>
                <w:szCs w:val="28"/>
                <w:highlight w:val="none"/>
              </w:rPr>
            </w:pPr>
          </w:p>
        </w:tc>
        <w:tc>
          <w:tcPr>
            <w:tcW w:w="2214" w:type="dxa"/>
            <w:gridSpan w:val="2"/>
            <w:vAlign w:val="center"/>
          </w:tcPr>
          <w:p w14:paraId="1CB08497">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法定代表人</w:t>
            </w:r>
          </w:p>
        </w:tc>
        <w:tc>
          <w:tcPr>
            <w:tcW w:w="1665" w:type="dxa"/>
            <w:gridSpan w:val="2"/>
            <w:vAlign w:val="center"/>
          </w:tcPr>
          <w:p w14:paraId="1E4BE62A">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c>
          <w:tcPr>
            <w:tcW w:w="2214" w:type="dxa"/>
            <w:gridSpan w:val="2"/>
            <w:vAlign w:val="center"/>
          </w:tcPr>
          <w:p w14:paraId="50039793">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单位类型</w:t>
            </w:r>
          </w:p>
        </w:tc>
        <w:tc>
          <w:tcPr>
            <w:tcW w:w="2598" w:type="dxa"/>
            <w:gridSpan w:val="3"/>
            <w:vAlign w:val="center"/>
          </w:tcPr>
          <w:p w14:paraId="74A17BD5">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6443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451A4C3C">
            <w:pPr>
              <w:spacing w:line="440" w:lineRule="exact"/>
              <w:jc w:val="center"/>
              <w:rPr>
                <w:rFonts w:ascii="仿宋_GB2312" w:hAnsi="仿宋" w:eastAsia="仿宋_GB2312"/>
                <w:color w:val="auto"/>
                <w:sz w:val="28"/>
                <w:szCs w:val="28"/>
                <w:highlight w:val="none"/>
              </w:rPr>
            </w:pPr>
          </w:p>
        </w:tc>
        <w:tc>
          <w:tcPr>
            <w:tcW w:w="2214" w:type="dxa"/>
            <w:gridSpan w:val="2"/>
            <w:vAlign w:val="center"/>
          </w:tcPr>
          <w:p w14:paraId="7365B1A5">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成立时间</w:t>
            </w:r>
          </w:p>
        </w:tc>
        <w:tc>
          <w:tcPr>
            <w:tcW w:w="1665" w:type="dxa"/>
            <w:gridSpan w:val="2"/>
            <w:vAlign w:val="center"/>
          </w:tcPr>
          <w:p w14:paraId="7FAF51BD">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c>
          <w:tcPr>
            <w:tcW w:w="2214" w:type="dxa"/>
            <w:gridSpan w:val="2"/>
            <w:vAlign w:val="center"/>
          </w:tcPr>
          <w:p w14:paraId="5A7F4532">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营业期限</w:t>
            </w:r>
          </w:p>
        </w:tc>
        <w:tc>
          <w:tcPr>
            <w:tcW w:w="2598" w:type="dxa"/>
            <w:gridSpan w:val="3"/>
            <w:vAlign w:val="center"/>
          </w:tcPr>
          <w:p w14:paraId="508E0D6D">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412B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3A0D330">
            <w:pPr>
              <w:spacing w:line="440" w:lineRule="exact"/>
              <w:jc w:val="center"/>
              <w:rPr>
                <w:rFonts w:ascii="仿宋_GB2312" w:hAnsi="仿宋" w:eastAsia="仿宋_GB2312"/>
                <w:color w:val="auto"/>
                <w:sz w:val="28"/>
                <w:szCs w:val="28"/>
                <w:highlight w:val="none"/>
              </w:rPr>
            </w:pPr>
          </w:p>
        </w:tc>
        <w:tc>
          <w:tcPr>
            <w:tcW w:w="2214" w:type="dxa"/>
            <w:gridSpan w:val="2"/>
            <w:vAlign w:val="center"/>
          </w:tcPr>
          <w:p w14:paraId="77868382">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经营范围</w:t>
            </w:r>
          </w:p>
        </w:tc>
        <w:tc>
          <w:tcPr>
            <w:tcW w:w="6477" w:type="dxa"/>
            <w:gridSpan w:val="7"/>
            <w:vAlign w:val="center"/>
          </w:tcPr>
          <w:p w14:paraId="208831A6">
            <w:pPr>
              <w:spacing w:line="440" w:lineRule="exact"/>
              <w:jc w:val="center"/>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r w14:paraId="5A61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551A9532">
            <w:pPr>
              <w:spacing w:line="440" w:lineRule="exact"/>
              <w:jc w:val="center"/>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报价供应商情况简介</w:t>
            </w:r>
          </w:p>
        </w:tc>
      </w:tr>
      <w:tr w14:paraId="0141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4F439243">
            <w:pPr>
              <w:spacing w:line="440" w:lineRule="exact"/>
              <w:rPr>
                <w:rFonts w:ascii="仿宋_GB2312" w:hAnsi="仿宋" w:eastAsia="仿宋_GB2312"/>
                <w:color w:val="auto"/>
                <w:sz w:val="28"/>
                <w:szCs w:val="28"/>
                <w:highlight w:val="none"/>
              </w:rPr>
            </w:pPr>
            <w:r>
              <w:rPr>
                <w:rFonts w:ascii="仿宋_GB2312" w:hAnsi="仿宋" w:eastAsia="仿宋_GB2312"/>
                <w:color w:val="auto"/>
                <w:sz w:val="28"/>
                <w:szCs w:val="28"/>
                <w:highlight w:val="none"/>
              </w:rPr>
              <w:t xml:space="preserve">  </w:t>
            </w:r>
          </w:p>
        </w:tc>
      </w:tr>
    </w:tbl>
    <w:p w14:paraId="71CBFF3E">
      <w:pPr>
        <w:rPr>
          <w:rFonts w:ascii="仿宋_GB2312" w:hAnsi="仿宋" w:eastAsia="仿宋_GB2312"/>
          <w:b/>
          <w:color w:val="auto"/>
          <w:sz w:val="44"/>
          <w:szCs w:val="44"/>
          <w:highlight w:val="none"/>
        </w:rPr>
      </w:pPr>
    </w:p>
    <w:p w14:paraId="25AE0C7E">
      <w:pPr>
        <w:wordWrap w:val="0"/>
        <w:spacing w:line="560" w:lineRule="exact"/>
        <w:jc w:val="righ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报价供应商（盖章）： </w:t>
      </w:r>
      <w:r>
        <w:rPr>
          <w:rFonts w:ascii="仿宋_GB2312" w:hAnsi="仿宋" w:eastAsia="仿宋_GB2312"/>
          <w:color w:val="auto"/>
          <w:sz w:val="28"/>
          <w:szCs w:val="28"/>
          <w:highlight w:val="none"/>
        </w:rPr>
        <w:t xml:space="preserve">  </w:t>
      </w:r>
      <w:r>
        <w:rPr>
          <w:rFonts w:hint="eastAsia" w:ascii="仿宋_GB2312" w:hAnsi="仿宋" w:eastAsia="仿宋_GB2312"/>
          <w:color w:val="auto"/>
          <w:sz w:val="32"/>
          <w:szCs w:val="32"/>
          <w:highlight w:val="none"/>
        </w:rPr>
        <w:t xml:space="preserve">  </w:t>
      </w:r>
    </w:p>
    <w:p w14:paraId="6EDACCAD">
      <w:pPr>
        <w:wordWrap w:val="0"/>
        <w:spacing w:line="560" w:lineRule="exact"/>
        <w:jc w:val="righ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法定代表人签章： </w:t>
      </w:r>
      <w:r>
        <w:rPr>
          <w:rFonts w:ascii="仿宋_GB2312" w:hAnsi="仿宋" w:eastAsia="仿宋_GB2312"/>
          <w:color w:val="auto"/>
          <w:sz w:val="28"/>
          <w:szCs w:val="28"/>
          <w:highlight w:val="none"/>
        </w:rPr>
        <w:t xml:space="preserve">  </w:t>
      </w:r>
      <w:r>
        <w:rPr>
          <w:rFonts w:hint="eastAsia" w:ascii="仿宋_GB2312" w:hAnsi="仿宋" w:eastAsia="仿宋_GB2312"/>
          <w:color w:val="auto"/>
          <w:sz w:val="32"/>
          <w:szCs w:val="32"/>
          <w:highlight w:val="none"/>
        </w:rPr>
        <w:t xml:space="preserve">  </w:t>
      </w:r>
    </w:p>
    <w:p w14:paraId="2F0509B8">
      <w:pPr>
        <w:spacing w:line="560" w:lineRule="exact"/>
        <w:jc w:val="right"/>
        <w:rPr>
          <w:rFonts w:ascii="黑体" w:hAnsi="黑体" w:eastAsia="黑体"/>
          <w:color w:val="auto"/>
          <w:sz w:val="44"/>
          <w:szCs w:val="44"/>
          <w:highlight w:val="none"/>
        </w:rPr>
      </w:pPr>
      <w:r>
        <w:rPr>
          <w:rFonts w:ascii="仿宋_GB2312" w:hAnsi="仿宋" w:eastAsia="仿宋_GB2312"/>
          <w:color w:val="auto"/>
          <w:sz w:val="30"/>
          <w:szCs w:val="30"/>
          <w:highlight w:val="none"/>
          <w:u w:val="single"/>
        </w:rPr>
        <w:br w:type="page"/>
      </w:r>
      <w:r>
        <w:rPr>
          <w:rFonts w:hint="eastAsia" w:ascii="黑体" w:hAnsi="黑体" w:eastAsia="黑体"/>
          <w:color w:val="auto"/>
          <w:sz w:val="44"/>
          <w:szCs w:val="44"/>
          <w:highlight w:val="none"/>
        </w:rPr>
        <w:t>报价内的备品备件、易损件及专用工具清单(如有)</w:t>
      </w:r>
    </w:p>
    <w:p w14:paraId="7C0E8BCF">
      <w:pPr>
        <w:spacing w:line="360" w:lineRule="exact"/>
        <w:jc w:val="right"/>
        <w:rPr>
          <w:rFonts w:ascii="仿宋" w:hAnsi="仿宋" w:eastAsia="仿宋"/>
          <w:color w:val="auto"/>
          <w:sz w:val="24"/>
          <w:highlight w:val="none"/>
        </w:rPr>
      </w:pPr>
      <w:r>
        <w:rPr>
          <w:rFonts w:hint="eastAsia" w:ascii="仿宋" w:hAnsi="仿宋" w:eastAsia="仿宋"/>
          <w:color w:val="auto"/>
          <w:sz w:val="24"/>
          <w:highlight w:val="none"/>
        </w:rPr>
        <w:t>单位：元</w:t>
      </w:r>
    </w:p>
    <w:tbl>
      <w:tblPr>
        <w:tblStyle w:val="35"/>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86"/>
        <w:gridCol w:w="1275"/>
        <w:gridCol w:w="939"/>
        <w:gridCol w:w="1294"/>
        <w:gridCol w:w="1294"/>
        <w:gridCol w:w="1295"/>
        <w:gridCol w:w="1295"/>
      </w:tblGrid>
      <w:tr w14:paraId="7608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53812490">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备品备件名称</w:t>
            </w:r>
          </w:p>
        </w:tc>
        <w:tc>
          <w:tcPr>
            <w:tcW w:w="1275" w:type="dxa"/>
            <w:vAlign w:val="center"/>
          </w:tcPr>
          <w:p w14:paraId="6EDBB59C">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规格型号</w:t>
            </w:r>
          </w:p>
        </w:tc>
        <w:tc>
          <w:tcPr>
            <w:tcW w:w="939" w:type="dxa"/>
            <w:vAlign w:val="center"/>
          </w:tcPr>
          <w:p w14:paraId="1434D77D">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数量</w:t>
            </w:r>
          </w:p>
        </w:tc>
        <w:tc>
          <w:tcPr>
            <w:tcW w:w="1294" w:type="dxa"/>
            <w:vAlign w:val="center"/>
          </w:tcPr>
          <w:p w14:paraId="6C29FFB8">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产地</w:t>
            </w:r>
          </w:p>
        </w:tc>
        <w:tc>
          <w:tcPr>
            <w:tcW w:w="1294" w:type="dxa"/>
            <w:vAlign w:val="center"/>
          </w:tcPr>
          <w:p w14:paraId="27020B19">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品牌</w:t>
            </w:r>
          </w:p>
        </w:tc>
        <w:tc>
          <w:tcPr>
            <w:tcW w:w="1295" w:type="dxa"/>
            <w:vAlign w:val="center"/>
          </w:tcPr>
          <w:p w14:paraId="3E6746D7">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单价</w:t>
            </w:r>
          </w:p>
        </w:tc>
        <w:tc>
          <w:tcPr>
            <w:tcW w:w="1295" w:type="dxa"/>
            <w:vAlign w:val="center"/>
          </w:tcPr>
          <w:p w14:paraId="443B0921">
            <w:pPr>
              <w:spacing w:line="360" w:lineRule="exact"/>
              <w:jc w:val="center"/>
              <w:rPr>
                <w:rFonts w:ascii="仿宋_GB2312" w:hAnsi="仿宋" w:eastAsia="仿宋_GB2312"/>
                <w:color w:val="auto"/>
                <w:sz w:val="24"/>
                <w:highlight w:val="none"/>
              </w:rPr>
            </w:pPr>
            <w:r>
              <w:rPr>
                <w:rFonts w:hint="eastAsia" w:ascii="仿宋_GB2312" w:hAnsi="仿宋" w:eastAsia="仿宋_GB2312"/>
                <w:color w:val="auto"/>
                <w:sz w:val="24"/>
                <w:highlight w:val="none"/>
              </w:rPr>
              <w:t>合价</w:t>
            </w:r>
          </w:p>
        </w:tc>
      </w:tr>
      <w:tr w14:paraId="141D2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5EB38A0E">
            <w:pPr>
              <w:spacing w:line="360" w:lineRule="exact"/>
              <w:jc w:val="center"/>
              <w:rPr>
                <w:rFonts w:ascii="仿宋_GB2312" w:hAnsi="宋体" w:eastAsia="仿宋_GB2312"/>
                <w:b/>
                <w:color w:val="auto"/>
                <w:sz w:val="24"/>
                <w:highlight w:val="none"/>
              </w:rPr>
            </w:pPr>
          </w:p>
        </w:tc>
        <w:tc>
          <w:tcPr>
            <w:tcW w:w="1275" w:type="dxa"/>
            <w:vAlign w:val="center"/>
          </w:tcPr>
          <w:p w14:paraId="35CD9921">
            <w:pPr>
              <w:spacing w:line="360" w:lineRule="exact"/>
              <w:jc w:val="center"/>
              <w:rPr>
                <w:rFonts w:ascii="仿宋_GB2312" w:hAnsi="宋体" w:eastAsia="仿宋_GB2312"/>
                <w:b/>
                <w:color w:val="auto"/>
                <w:sz w:val="24"/>
                <w:highlight w:val="none"/>
              </w:rPr>
            </w:pPr>
          </w:p>
        </w:tc>
        <w:tc>
          <w:tcPr>
            <w:tcW w:w="939" w:type="dxa"/>
            <w:vAlign w:val="center"/>
          </w:tcPr>
          <w:p w14:paraId="12C70E5C">
            <w:pPr>
              <w:spacing w:line="360" w:lineRule="exact"/>
              <w:jc w:val="center"/>
              <w:rPr>
                <w:rFonts w:ascii="仿宋_GB2312" w:hAnsi="宋体" w:eastAsia="仿宋_GB2312"/>
                <w:b/>
                <w:color w:val="auto"/>
                <w:sz w:val="24"/>
                <w:highlight w:val="none"/>
              </w:rPr>
            </w:pPr>
          </w:p>
        </w:tc>
        <w:tc>
          <w:tcPr>
            <w:tcW w:w="1294" w:type="dxa"/>
            <w:vAlign w:val="center"/>
          </w:tcPr>
          <w:p w14:paraId="29D66AE2">
            <w:pPr>
              <w:spacing w:line="360" w:lineRule="exact"/>
              <w:jc w:val="center"/>
              <w:rPr>
                <w:rFonts w:ascii="仿宋_GB2312" w:hAnsi="宋体" w:eastAsia="仿宋_GB2312"/>
                <w:b/>
                <w:color w:val="auto"/>
                <w:sz w:val="24"/>
                <w:highlight w:val="none"/>
              </w:rPr>
            </w:pPr>
          </w:p>
        </w:tc>
        <w:tc>
          <w:tcPr>
            <w:tcW w:w="1294" w:type="dxa"/>
            <w:vAlign w:val="center"/>
          </w:tcPr>
          <w:p w14:paraId="5B8683CA">
            <w:pPr>
              <w:spacing w:line="360" w:lineRule="exact"/>
              <w:jc w:val="center"/>
              <w:rPr>
                <w:rFonts w:ascii="仿宋_GB2312" w:hAnsi="宋体" w:eastAsia="仿宋_GB2312"/>
                <w:b/>
                <w:color w:val="auto"/>
                <w:sz w:val="24"/>
                <w:highlight w:val="none"/>
              </w:rPr>
            </w:pPr>
          </w:p>
        </w:tc>
        <w:tc>
          <w:tcPr>
            <w:tcW w:w="1295" w:type="dxa"/>
            <w:vAlign w:val="center"/>
          </w:tcPr>
          <w:p w14:paraId="140BB2AC">
            <w:pPr>
              <w:spacing w:line="360" w:lineRule="exact"/>
              <w:jc w:val="center"/>
              <w:rPr>
                <w:rFonts w:ascii="仿宋_GB2312" w:hAnsi="宋体" w:eastAsia="仿宋_GB2312"/>
                <w:b/>
                <w:color w:val="auto"/>
                <w:sz w:val="24"/>
                <w:highlight w:val="none"/>
              </w:rPr>
            </w:pPr>
          </w:p>
        </w:tc>
        <w:tc>
          <w:tcPr>
            <w:tcW w:w="1295" w:type="dxa"/>
            <w:vAlign w:val="center"/>
          </w:tcPr>
          <w:p w14:paraId="1D247966">
            <w:pPr>
              <w:spacing w:line="360" w:lineRule="exact"/>
              <w:jc w:val="center"/>
              <w:rPr>
                <w:rFonts w:ascii="仿宋_GB2312" w:hAnsi="宋体" w:eastAsia="仿宋_GB2312"/>
                <w:b/>
                <w:color w:val="auto"/>
                <w:sz w:val="24"/>
                <w:highlight w:val="none"/>
              </w:rPr>
            </w:pPr>
          </w:p>
        </w:tc>
      </w:tr>
      <w:tr w14:paraId="3B7B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5AEE1842">
            <w:pPr>
              <w:spacing w:line="360" w:lineRule="exact"/>
              <w:jc w:val="center"/>
              <w:rPr>
                <w:rFonts w:ascii="仿宋_GB2312" w:hAnsi="宋体" w:eastAsia="仿宋_GB2312"/>
                <w:b/>
                <w:color w:val="auto"/>
                <w:sz w:val="24"/>
                <w:highlight w:val="none"/>
              </w:rPr>
            </w:pPr>
          </w:p>
        </w:tc>
        <w:tc>
          <w:tcPr>
            <w:tcW w:w="1275" w:type="dxa"/>
            <w:vAlign w:val="center"/>
          </w:tcPr>
          <w:p w14:paraId="1E40D046">
            <w:pPr>
              <w:spacing w:line="360" w:lineRule="exact"/>
              <w:jc w:val="center"/>
              <w:rPr>
                <w:rFonts w:ascii="仿宋_GB2312" w:hAnsi="宋体" w:eastAsia="仿宋_GB2312"/>
                <w:b/>
                <w:color w:val="auto"/>
                <w:sz w:val="24"/>
                <w:highlight w:val="none"/>
              </w:rPr>
            </w:pPr>
          </w:p>
        </w:tc>
        <w:tc>
          <w:tcPr>
            <w:tcW w:w="939" w:type="dxa"/>
            <w:vAlign w:val="center"/>
          </w:tcPr>
          <w:p w14:paraId="667B0F74">
            <w:pPr>
              <w:spacing w:line="360" w:lineRule="exact"/>
              <w:jc w:val="center"/>
              <w:rPr>
                <w:rFonts w:ascii="仿宋_GB2312" w:hAnsi="宋体" w:eastAsia="仿宋_GB2312"/>
                <w:b/>
                <w:color w:val="auto"/>
                <w:sz w:val="24"/>
                <w:highlight w:val="none"/>
              </w:rPr>
            </w:pPr>
          </w:p>
        </w:tc>
        <w:tc>
          <w:tcPr>
            <w:tcW w:w="1294" w:type="dxa"/>
            <w:vAlign w:val="center"/>
          </w:tcPr>
          <w:p w14:paraId="61AA74F2">
            <w:pPr>
              <w:spacing w:line="360" w:lineRule="exact"/>
              <w:jc w:val="center"/>
              <w:rPr>
                <w:rFonts w:ascii="仿宋_GB2312" w:hAnsi="宋体" w:eastAsia="仿宋_GB2312"/>
                <w:b/>
                <w:color w:val="auto"/>
                <w:sz w:val="24"/>
                <w:highlight w:val="none"/>
              </w:rPr>
            </w:pPr>
          </w:p>
        </w:tc>
        <w:tc>
          <w:tcPr>
            <w:tcW w:w="1294" w:type="dxa"/>
            <w:vAlign w:val="center"/>
          </w:tcPr>
          <w:p w14:paraId="782BCF9E">
            <w:pPr>
              <w:spacing w:line="360" w:lineRule="exact"/>
              <w:jc w:val="center"/>
              <w:rPr>
                <w:rFonts w:ascii="仿宋_GB2312" w:hAnsi="宋体" w:eastAsia="仿宋_GB2312"/>
                <w:b/>
                <w:color w:val="auto"/>
                <w:sz w:val="24"/>
                <w:highlight w:val="none"/>
              </w:rPr>
            </w:pPr>
          </w:p>
        </w:tc>
        <w:tc>
          <w:tcPr>
            <w:tcW w:w="1295" w:type="dxa"/>
            <w:vAlign w:val="center"/>
          </w:tcPr>
          <w:p w14:paraId="64FD3497">
            <w:pPr>
              <w:spacing w:line="360" w:lineRule="exact"/>
              <w:jc w:val="center"/>
              <w:rPr>
                <w:rFonts w:ascii="仿宋_GB2312" w:hAnsi="宋体" w:eastAsia="仿宋_GB2312"/>
                <w:b/>
                <w:color w:val="auto"/>
                <w:sz w:val="24"/>
                <w:highlight w:val="none"/>
              </w:rPr>
            </w:pPr>
          </w:p>
        </w:tc>
        <w:tc>
          <w:tcPr>
            <w:tcW w:w="1295" w:type="dxa"/>
            <w:vAlign w:val="center"/>
          </w:tcPr>
          <w:p w14:paraId="1FE17CA1">
            <w:pPr>
              <w:spacing w:line="360" w:lineRule="exact"/>
              <w:jc w:val="center"/>
              <w:rPr>
                <w:rFonts w:ascii="仿宋_GB2312" w:hAnsi="宋体" w:eastAsia="仿宋_GB2312"/>
                <w:b/>
                <w:color w:val="auto"/>
                <w:sz w:val="24"/>
                <w:highlight w:val="none"/>
              </w:rPr>
            </w:pPr>
          </w:p>
        </w:tc>
      </w:tr>
      <w:tr w14:paraId="2F05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1DBF6405">
            <w:pPr>
              <w:spacing w:line="360" w:lineRule="exact"/>
              <w:jc w:val="center"/>
              <w:rPr>
                <w:rFonts w:ascii="仿宋_GB2312" w:hAnsi="宋体" w:eastAsia="仿宋_GB2312"/>
                <w:b/>
                <w:color w:val="auto"/>
                <w:sz w:val="24"/>
                <w:highlight w:val="none"/>
              </w:rPr>
            </w:pPr>
          </w:p>
        </w:tc>
        <w:tc>
          <w:tcPr>
            <w:tcW w:w="1275" w:type="dxa"/>
            <w:vAlign w:val="center"/>
          </w:tcPr>
          <w:p w14:paraId="791E0590">
            <w:pPr>
              <w:spacing w:line="360" w:lineRule="exact"/>
              <w:jc w:val="center"/>
              <w:rPr>
                <w:rFonts w:ascii="仿宋_GB2312" w:hAnsi="宋体" w:eastAsia="仿宋_GB2312"/>
                <w:b/>
                <w:color w:val="auto"/>
                <w:sz w:val="24"/>
                <w:highlight w:val="none"/>
              </w:rPr>
            </w:pPr>
          </w:p>
        </w:tc>
        <w:tc>
          <w:tcPr>
            <w:tcW w:w="939" w:type="dxa"/>
            <w:vAlign w:val="center"/>
          </w:tcPr>
          <w:p w14:paraId="50CE2420">
            <w:pPr>
              <w:spacing w:line="360" w:lineRule="exact"/>
              <w:jc w:val="center"/>
              <w:rPr>
                <w:rFonts w:ascii="仿宋_GB2312" w:hAnsi="宋体" w:eastAsia="仿宋_GB2312"/>
                <w:b/>
                <w:color w:val="auto"/>
                <w:sz w:val="24"/>
                <w:highlight w:val="none"/>
              </w:rPr>
            </w:pPr>
          </w:p>
        </w:tc>
        <w:tc>
          <w:tcPr>
            <w:tcW w:w="1294" w:type="dxa"/>
            <w:vAlign w:val="center"/>
          </w:tcPr>
          <w:p w14:paraId="2EED9396">
            <w:pPr>
              <w:spacing w:line="360" w:lineRule="exact"/>
              <w:jc w:val="center"/>
              <w:rPr>
                <w:rFonts w:ascii="仿宋_GB2312" w:hAnsi="宋体" w:eastAsia="仿宋_GB2312"/>
                <w:b/>
                <w:color w:val="auto"/>
                <w:sz w:val="24"/>
                <w:highlight w:val="none"/>
              </w:rPr>
            </w:pPr>
          </w:p>
        </w:tc>
        <w:tc>
          <w:tcPr>
            <w:tcW w:w="1294" w:type="dxa"/>
            <w:vAlign w:val="center"/>
          </w:tcPr>
          <w:p w14:paraId="0BAD6209">
            <w:pPr>
              <w:spacing w:line="360" w:lineRule="exact"/>
              <w:jc w:val="center"/>
              <w:rPr>
                <w:rFonts w:ascii="仿宋_GB2312" w:hAnsi="宋体" w:eastAsia="仿宋_GB2312"/>
                <w:b/>
                <w:color w:val="auto"/>
                <w:sz w:val="24"/>
                <w:highlight w:val="none"/>
              </w:rPr>
            </w:pPr>
          </w:p>
        </w:tc>
        <w:tc>
          <w:tcPr>
            <w:tcW w:w="1295" w:type="dxa"/>
            <w:vAlign w:val="center"/>
          </w:tcPr>
          <w:p w14:paraId="16540498">
            <w:pPr>
              <w:spacing w:line="360" w:lineRule="exact"/>
              <w:jc w:val="center"/>
              <w:rPr>
                <w:rFonts w:ascii="仿宋_GB2312" w:hAnsi="宋体" w:eastAsia="仿宋_GB2312"/>
                <w:b/>
                <w:color w:val="auto"/>
                <w:sz w:val="24"/>
                <w:highlight w:val="none"/>
              </w:rPr>
            </w:pPr>
          </w:p>
        </w:tc>
        <w:tc>
          <w:tcPr>
            <w:tcW w:w="1295" w:type="dxa"/>
            <w:vAlign w:val="center"/>
          </w:tcPr>
          <w:p w14:paraId="3E980687">
            <w:pPr>
              <w:spacing w:line="360" w:lineRule="exact"/>
              <w:jc w:val="center"/>
              <w:rPr>
                <w:rFonts w:ascii="仿宋_GB2312" w:hAnsi="宋体" w:eastAsia="仿宋_GB2312"/>
                <w:b/>
                <w:color w:val="auto"/>
                <w:sz w:val="24"/>
                <w:highlight w:val="none"/>
              </w:rPr>
            </w:pPr>
          </w:p>
        </w:tc>
      </w:tr>
      <w:tr w14:paraId="6CEE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03AA0561">
            <w:pPr>
              <w:spacing w:line="360" w:lineRule="exact"/>
              <w:jc w:val="center"/>
              <w:rPr>
                <w:rFonts w:ascii="仿宋_GB2312" w:hAnsi="宋体" w:eastAsia="仿宋_GB2312"/>
                <w:b/>
                <w:color w:val="auto"/>
                <w:sz w:val="24"/>
                <w:highlight w:val="none"/>
              </w:rPr>
            </w:pPr>
          </w:p>
        </w:tc>
        <w:tc>
          <w:tcPr>
            <w:tcW w:w="1275" w:type="dxa"/>
            <w:vAlign w:val="center"/>
          </w:tcPr>
          <w:p w14:paraId="6C9E0AF9">
            <w:pPr>
              <w:spacing w:line="360" w:lineRule="exact"/>
              <w:jc w:val="center"/>
              <w:rPr>
                <w:rFonts w:ascii="仿宋_GB2312" w:hAnsi="宋体" w:eastAsia="仿宋_GB2312"/>
                <w:b/>
                <w:color w:val="auto"/>
                <w:sz w:val="24"/>
                <w:highlight w:val="none"/>
              </w:rPr>
            </w:pPr>
          </w:p>
        </w:tc>
        <w:tc>
          <w:tcPr>
            <w:tcW w:w="939" w:type="dxa"/>
            <w:vAlign w:val="center"/>
          </w:tcPr>
          <w:p w14:paraId="07A3BBE9">
            <w:pPr>
              <w:spacing w:line="360" w:lineRule="exact"/>
              <w:jc w:val="center"/>
              <w:rPr>
                <w:rFonts w:ascii="仿宋_GB2312" w:hAnsi="宋体" w:eastAsia="仿宋_GB2312"/>
                <w:b/>
                <w:color w:val="auto"/>
                <w:sz w:val="24"/>
                <w:highlight w:val="none"/>
              </w:rPr>
            </w:pPr>
          </w:p>
        </w:tc>
        <w:tc>
          <w:tcPr>
            <w:tcW w:w="1294" w:type="dxa"/>
            <w:vAlign w:val="center"/>
          </w:tcPr>
          <w:p w14:paraId="5DC4DEE5">
            <w:pPr>
              <w:spacing w:line="360" w:lineRule="exact"/>
              <w:jc w:val="center"/>
              <w:rPr>
                <w:rFonts w:ascii="仿宋_GB2312" w:hAnsi="宋体" w:eastAsia="仿宋_GB2312"/>
                <w:b/>
                <w:color w:val="auto"/>
                <w:sz w:val="24"/>
                <w:highlight w:val="none"/>
              </w:rPr>
            </w:pPr>
          </w:p>
        </w:tc>
        <w:tc>
          <w:tcPr>
            <w:tcW w:w="1294" w:type="dxa"/>
            <w:vAlign w:val="center"/>
          </w:tcPr>
          <w:p w14:paraId="2772EA30">
            <w:pPr>
              <w:spacing w:line="360" w:lineRule="exact"/>
              <w:jc w:val="center"/>
              <w:rPr>
                <w:rFonts w:ascii="仿宋_GB2312" w:hAnsi="宋体" w:eastAsia="仿宋_GB2312"/>
                <w:b/>
                <w:color w:val="auto"/>
                <w:sz w:val="24"/>
                <w:highlight w:val="none"/>
              </w:rPr>
            </w:pPr>
          </w:p>
        </w:tc>
        <w:tc>
          <w:tcPr>
            <w:tcW w:w="1295" w:type="dxa"/>
            <w:vAlign w:val="center"/>
          </w:tcPr>
          <w:p w14:paraId="1921F675">
            <w:pPr>
              <w:spacing w:line="360" w:lineRule="exact"/>
              <w:jc w:val="center"/>
              <w:rPr>
                <w:rFonts w:ascii="仿宋_GB2312" w:hAnsi="宋体" w:eastAsia="仿宋_GB2312"/>
                <w:b/>
                <w:color w:val="auto"/>
                <w:sz w:val="24"/>
                <w:highlight w:val="none"/>
              </w:rPr>
            </w:pPr>
          </w:p>
        </w:tc>
        <w:tc>
          <w:tcPr>
            <w:tcW w:w="1295" w:type="dxa"/>
            <w:vAlign w:val="center"/>
          </w:tcPr>
          <w:p w14:paraId="66CA2B75">
            <w:pPr>
              <w:spacing w:line="360" w:lineRule="exact"/>
              <w:jc w:val="center"/>
              <w:rPr>
                <w:rFonts w:ascii="仿宋_GB2312" w:hAnsi="宋体" w:eastAsia="仿宋_GB2312"/>
                <w:b/>
                <w:color w:val="auto"/>
                <w:sz w:val="24"/>
                <w:highlight w:val="none"/>
              </w:rPr>
            </w:pPr>
          </w:p>
        </w:tc>
      </w:tr>
      <w:tr w14:paraId="71DC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23732844">
            <w:pPr>
              <w:spacing w:line="360" w:lineRule="exact"/>
              <w:jc w:val="center"/>
              <w:rPr>
                <w:rFonts w:ascii="仿宋_GB2312" w:hAnsi="宋体" w:eastAsia="仿宋_GB2312"/>
                <w:b/>
                <w:color w:val="auto"/>
                <w:sz w:val="24"/>
                <w:highlight w:val="none"/>
              </w:rPr>
            </w:pPr>
          </w:p>
        </w:tc>
        <w:tc>
          <w:tcPr>
            <w:tcW w:w="1275" w:type="dxa"/>
            <w:vAlign w:val="center"/>
          </w:tcPr>
          <w:p w14:paraId="7BAF3C37">
            <w:pPr>
              <w:spacing w:line="360" w:lineRule="exact"/>
              <w:jc w:val="center"/>
              <w:rPr>
                <w:rFonts w:ascii="仿宋_GB2312" w:hAnsi="宋体" w:eastAsia="仿宋_GB2312"/>
                <w:b/>
                <w:color w:val="auto"/>
                <w:sz w:val="24"/>
                <w:highlight w:val="none"/>
              </w:rPr>
            </w:pPr>
          </w:p>
        </w:tc>
        <w:tc>
          <w:tcPr>
            <w:tcW w:w="939" w:type="dxa"/>
            <w:vAlign w:val="center"/>
          </w:tcPr>
          <w:p w14:paraId="5249B8E4">
            <w:pPr>
              <w:spacing w:line="360" w:lineRule="exact"/>
              <w:jc w:val="center"/>
              <w:rPr>
                <w:rFonts w:ascii="仿宋_GB2312" w:hAnsi="宋体" w:eastAsia="仿宋_GB2312"/>
                <w:b/>
                <w:color w:val="auto"/>
                <w:sz w:val="24"/>
                <w:highlight w:val="none"/>
              </w:rPr>
            </w:pPr>
          </w:p>
        </w:tc>
        <w:tc>
          <w:tcPr>
            <w:tcW w:w="1294" w:type="dxa"/>
            <w:vAlign w:val="center"/>
          </w:tcPr>
          <w:p w14:paraId="4A5D5034">
            <w:pPr>
              <w:spacing w:line="360" w:lineRule="exact"/>
              <w:jc w:val="center"/>
              <w:rPr>
                <w:rFonts w:ascii="仿宋_GB2312" w:hAnsi="宋体" w:eastAsia="仿宋_GB2312"/>
                <w:b/>
                <w:color w:val="auto"/>
                <w:sz w:val="24"/>
                <w:highlight w:val="none"/>
              </w:rPr>
            </w:pPr>
          </w:p>
        </w:tc>
        <w:tc>
          <w:tcPr>
            <w:tcW w:w="1294" w:type="dxa"/>
            <w:vAlign w:val="center"/>
          </w:tcPr>
          <w:p w14:paraId="2E34CA27">
            <w:pPr>
              <w:spacing w:line="360" w:lineRule="exact"/>
              <w:jc w:val="center"/>
              <w:rPr>
                <w:rFonts w:ascii="仿宋_GB2312" w:hAnsi="宋体" w:eastAsia="仿宋_GB2312"/>
                <w:b/>
                <w:color w:val="auto"/>
                <w:sz w:val="24"/>
                <w:highlight w:val="none"/>
              </w:rPr>
            </w:pPr>
          </w:p>
        </w:tc>
        <w:tc>
          <w:tcPr>
            <w:tcW w:w="1295" w:type="dxa"/>
            <w:vAlign w:val="center"/>
          </w:tcPr>
          <w:p w14:paraId="5DAF6935">
            <w:pPr>
              <w:spacing w:line="360" w:lineRule="exact"/>
              <w:jc w:val="center"/>
              <w:rPr>
                <w:rFonts w:ascii="仿宋_GB2312" w:hAnsi="宋体" w:eastAsia="仿宋_GB2312"/>
                <w:b/>
                <w:color w:val="auto"/>
                <w:sz w:val="24"/>
                <w:highlight w:val="none"/>
              </w:rPr>
            </w:pPr>
          </w:p>
        </w:tc>
        <w:tc>
          <w:tcPr>
            <w:tcW w:w="1295" w:type="dxa"/>
            <w:vAlign w:val="center"/>
          </w:tcPr>
          <w:p w14:paraId="292119F7">
            <w:pPr>
              <w:spacing w:line="360" w:lineRule="exact"/>
              <w:jc w:val="center"/>
              <w:rPr>
                <w:rFonts w:ascii="仿宋_GB2312" w:hAnsi="宋体" w:eastAsia="仿宋_GB2312"/>
                <w:b/>
                <w:color w:val="auto"/>
                <w:sz w:val="24"/>
                <w:highlight w:val="none"/>
              </w:rPr>
            </w:pPr>
          </w:p>
        </w:tc>
      </w:tr>
      <w:tr w14:paraId="5DB6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986" w:type="dxa"/>
            <w:vAlign w:val="center"/>
          </w:tcPr>
          <w:p w14:paraId="3EE6E7DC">
            <w:pPr>
              <w:spacing w:line="360" w:lineRule="exact"/>
              <w:jc w:val="center"/>
              <w:rPr>
                <w:rFonts w:ascii="仿宋_GB2312" w:hAnsi="宋体" w:eastAsia="仿宋_GB2312"/>
                <w:b/>
                <w:color w:val="auto"/>
                <w:sz w:val="24"/>
                <w:highlight w:val="none"/>
              </w:rPr>
            </w:pPr>
          </w:p>
        </w:tc>
        <w:tc>
          <w:tcPr>
            <w:tcW w:w="1275" w:type="dxa"/>
            <w:vAlign w:val="center"/>
          </w:tcPr>
          <w:p w14:paraId="23D4C8EF">
            <w:pPr>
              <w:spacing w:line="360" w:lineRule="exact"/>
              <w:jc w:val="center"/>
              <w:rPr>
                <w:rFonts w:ascii="仿宋_GB2312" w:hAnsi="宋体" w:eastAsia="仿宋_GB2312"/>
                <w:b/>
                <w:color w:val="auto"/>
                <w:sz w:val="24"/>
                <w:highlight w:val="none"/>
              </w:rPr>
            </w:pPr>
          </w:p>
        </w:tc>
        <w:tc>
          <w:tcPr>
            <w:tcW w:w="939" w:type="dxa"/>
            <w:vAlign w:val="center"/>
          </w:tcPr>
          <w:p w14:paraId="6B906297">
            <w:pPr>
              <w:spacing w:line="360" w:lineRule="exact"/>
              <w:jc w:val="center"/>
              <w:rPr>
                <w:rFonts w:ascii="仿宋_GB2312" w:hAnsi="宋体" w:eastAsia="仿宋_GB2312"/>
                <w:b/>
                <w:color w:val="auto"/>
                <w:sz w:val="24"/>
                <w:highlight w:val="none"/>
              </w:rPr>
            </w:pPr>
          </w:p>
        </w:tc>
        <w:tc>
          <w:tcPr>
            <w:tcW w:w="1294" w:type="dxa"/>
            <w:vAlign w:val="center"/>
          </w:tcPr>
          <w:p w14:paraId="3F08F456">
            <w:pPr>
              <w:spacing w:line="360" w:lineRule="exact"/>
              <w:jc w:val="center"/>
              <w:rPr>
                <w:rFonts w:ascii="仿宋_GB2312" w:hAnsi="宋体" w:eastAsia="仿宋_GB2312"/>
                <w:b/>
                <w:color w:val="auto"/>
                <w:sz w:val="24"/>
                <w:highlight w:val="none"/>
              </w:rPr>
            </w:pPr>
          </w:p>
        </w:tc>
        <w:tc>
          <w:tcPr>
            <w:tcW w:w="1294" w:type="dxa"/>
            <w:vAlign w:val="center"/>
          </w:tcPr>
          <w:p w14:paraId="65F58084">
            <w:pPr>
              <w:spacing w:line="360" w:lineRule="exact"/>
              <w:jc w:val="center"/>
              <w:rPr>
                <w:rFonts w:ascii="仿宋_GB2312" w:hAnsi="宋体" w:eastAsia="仿宋_GB2312"/>
                <w:b/>
                <w:color w:val="auto"/>
                <w:sz w:val="24"/>
                <w:highlight w:val="none"/>
              </w:rPr>
            </w:pPr>
          </w:p>
        </w:tc>
        <w:tc>
          <w:tcPr>
            <w:tcW w:w="1295" w:type="dxa"/>
            <w:vAlign w:val="center"/>
          </w:tcPr>
          <w:p w14:paraId="5B89FFDC">
            <w:pPr>
              <w:spacing w:line="360" w:lineRule="exact"/>
              <w:jc w:val="center"/>
              <w:rPr>
                <w:rFonts w:ascii="仿宋_GB2312" w:hAnsi="宋体" w:eastAsia="仿宋_GB2312"/>
                <w:b/>
                <w:color w:val="auto"/>
                <w:sz w:val="24"/>
                <w:highlight w:val="none"/>
              </w:rPr>
            </w:pPr>
          </w:p>
        </w:tc>
        <w:tc>
          <w:tcPr>
            <w:tcW w:w="1295" w:type="dxa"/>
            <w:vAlign w:val="center"/>
          </w:tcPr>
          <w:p w14:paraId="6BB276E2">
            <w:pPr>
              <w:spacing w:line="360" w:lineRule="exact"/>
              <w:jc w:val="center"/>
              <w:rPr>
                <w:rFonts w:ascii="仿宋_GB2312" w:hAnsi="宋体" w:eastAsia="仿宋_GB2312"/>
                <w:b/>
                <w:color w:val="auto"/>
                <w:sz w:val="24"/>
                <w:highlight w:val="none"/>
              </w:rPr>
            </w:pPr>
          </w:p>
        </w:tc>
      </w:tr>
      <w:tr w14:paraId="4CE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986" w:type="dxa"/>
            <w:vAlign w:val="center"/>
          </w:tcPr>
          <w:p w14:paraId="20C7868E">
            <w:pPr>
              <w:spacing w:line="360" w:lineRule="exact"/>
              <w:jc w:val="center"/>
              <w:rPr>
                <w:rFonts w:ascii="仿宋_GB2312" w:hAnsi="宋体" w:eastAsia="仿宋_GB2312"/>
                <w:b/>
                <w:color w:val="auto"/>
                <w:sz w:val="24"/>
                <w:highlight w:val="none"/>
              </w:rPr>
            </w:pPr>
          </w:p>
        </w:tc>
        <w:tc>
          <w:tcPr>
            <w:tcW w:w="1275" w:type="dxa"/>
            <w:vAlign w:val="center"/>
          </w:tcPr>
          <w:p w14:paraId="21238CAC">
            <w:pPr>
              <w:spacing w:line="360" w:lineRule="exact"/>
              <w:jc w:val="center"/>
              <w:rPr>
                <w:rFonts w:ascii="仿宋_GB2312" w:hAnsi="宋体" w:eastAsia="仿宋_GB2312"/>
                <w:b/>
                <w:color w:val="auto"/>
                <w:sz w:val="24"/>
                <w:highlight w:val="none"/>
              </w:rPr>
            </w:pPr>
          </w:p>
        </w:tc>
        <w:tc>
          <w:tcPr>
            <w:tcW w:w="939" w:type="dxa"/>
            <w:vAlign w:val="center"/>
          </w:tcPr>
          <w:p w14:paraId="7967BD8F">
            <w:pPr>
              <w:spacing w:line="360" w:lineRule="exact"/>
              <w:jc w:val="center"/>
              <w:rPr>
                <w:rFonts w:ascii="仿宋_GB2312" w:hAnsi="宋体" w:eastAsia="仿宋_GB2312"/>
                <w:b/>
                <w:color w:val="auto"/>
                <w:sz w:val="24"/>
                <w:highlight w:val="none"/>
              </w:rPr>
            </w:pPr>
          </w:p>
        </w:tc>
        <w:tc>
          <w:tcPr>
            <w:tcW w:w="1294" w:type="dxa"/>
            <w:vAlign w:val="center"/>
          </w:tcPr>
          <w:p w14:paraId="4BCA98EF">
            <w:pPr>
              <w:spacing w:line="360" w:lineRule="exact"/>
              <w:jc w:val="center"/>
              <w:rPr>
                <w:rFonts w:ascii="仿宋_GB2312" w:hAnsi="宋体" w:eastAsia="仿宋_GB2312"/>
                <w:b/>
                <w:color w:val="auto"/>
                <w:sz w:val="24"/>
                <w:highlight w:val="none"/>
              </w:rPr>
            </w:pPr>
          </w:p>
        </w:tc>
        <w:tc>
          <w:tcPr>
            <w:tcW w:w="1294" w:type="dxa"/>
            <w:vAlign w:val="center"/>
          </w:tcPr>
          <w:p w14:paraId="347FA86C">
            <w:pPr>
              <w:spacing w:line="360" w:lineRule="exact"/>
              <w:jc w:val="center"/>
              <w:rPr>
                <w:rFonts w:ascii="仿宋_GB2312" w:hAnsi="宋体" w:eastAsia="仿宋_GB2312"/>
                <w:b/>
                <w:color w:val="auto"/>
                <w:sz w:val="24"/>
                <w:highlight w:val="none"/>
              </w:rPr>
            </w:pPr>
          </w:p>
        </w:tc>
        <w:tc>
          <w:tcPr>
            <w:tcW w:w="1295" w:type="dxa"/>
            <w:vAlign w:val="center"/>
          </w:tcPr>
          <w:p w14:paraId="3700E0FE">
            <w:pPr>
              <w:spacing w:line="360" w:lineRule="exact"/>
              <w:jc w:val="center"/>
              <w:rPr>
                <w:rFonts w:ascii="仿宋_GB2312" w:hAnsi="宋体" w:eastAsia="仿宋_GB2312"/>
                <w:b/>
                <w:color w:val="auto"/>
                <w:sz w:val="24"/>
                <w:highlight w:val="none"/>
              </w:rPr>
            </w:pPr>
          </w:p>
        </w:tc>
        <w:tc>
          <w:tcPr>
            <w:tcW w:w="1295" w:type="dxa"/>
            <w:vAlign w:val="center"/>
          </w:tcPr>
          <w:p w14:paraId="6339A081">
            <w:pPr>
              <w:spacing w:line="360" w:lineRule="exact"/>
              <w:jc w:val="center"/>
              <w:rPr>
                <w:rFonts w:ascii="仿宋_GB2312" w:hAnsi="宋体" w:eastAsia="仿宋_GB2312"/>
                <w:b/>
                <w:color w:val="auto"/>
                <w:sz w:val="24"/>
                <w:highlight w:val="none"/>
              </w:rPr>
            </w:pPr>
          </w:p>
        </w:tc>
      </w:tr>
      <w:tr w14:paraId="6D0B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986" w:type="dxa"/>
            <w:vAlign w:val="center"/>
          </w:tcPr>
          <w:p w14:paraId="39C70AB3">
            <w:pPr>
              <w:spacing w:line="360" w:lineRule="exact"/>
              <w:jc w:val="center"/>
              <w:rPr>
                <w:rFonts w:ascii="仿宋_GB2312" w:hAnsi="宋体" w:eastAsia="仿宋_GB2312"/>
                <w:b/>
                <w:color w:val="auto"/>
                <w:sz w:val="24"/>
                <w:highlight w:val="none"/>
              </w:rPr>
            </w:pPr>
          </w:p>
        </w:tc>
        <w:tc>
          <w:tcPr>
            <w:tcW w:w="1275" w:type="dxa"/>
            <w:vAlign w:val="center"/>
          </w:tcPr>
          <w:p w14:paraId="1CCA8D4F">
            <w:pPr>
              <w:spacing w:line="360" w:lineRule="exact"/>
              <w:jc w:val="center"/>
              <w:rPr>
                <w:rFonts w:ascii="仿宋_GB2312" w:hAnsi="宋体" w:eastAsia="仿宋_GB2312"/>
                <w:b/>
                <w:color w:val="auto"/>
                <w:sz w:val="24"/>
                <w:highlight w:val="none"/>
              </w:rPr>
            </w:pPr>
          </w:p>
        </w:tc>
        <w:tc>
          <w:tcPr>
            <w:tcW w:w="939" w:type="dxa"/>
            <w:vAlign w:val="center"/>
          </w:tcPr>
          <w:p w14:paraId="77357E3F">
            <w:pPr>
              <w:spacing w:line="360" w:lineRule="exact"/>
              <w:jc w:val="center"/>
              <w:rPr>
                <w:rFonts w:ascii="仿宋_GB2312" w:hAnsi="宋体" w:eastAsia="仿宋_GB2312"/>
                <w:b/>
                <w:color w:val="auto"/>
                <w:sz w:val="24"/>
                <w:highlight w:val="none"/>
              </w:rPr>
            </w:pPr>
          </w:p>
        </w:tc>
        <w:tc>
          <w:tcPr>
            <w:tcW w:w="1294" w:type="dxa"/>
            <w:vAlign w:val="center"/>
          </w:tcPr>
          <w:p w14:paraId="14C065E2">
            <w:pPr>
              <w:spacing w:line="360" w:lineRule="exact"/>
              <w:jc w:val="center"/>
              <w:rPr>
                <w:rFonts w:ascii="仿宋_GB2312" w:hAnsi="宋体" w:eastAsia="仿宋_GB2312"/>
                <w:b/>
                <w:color w:val="auto"/>
                <w:sz w:val="24"/>
                <w:highlight w:val="none"/>
              </w:rPr>
            </w:pPr>
          </w:p>
        </w:tc>
        <w:tc>
          <w:tcPr>
            <w:tcW w:w="1294" w:type="dxa"/>
            <w:vAlign w:val="center"/>
          </w:tcPr>
          <w:p w14:paraId="60DA8A23">
            <w:pPr>
              <w:spacing w:line="360" w:lineRule="exact"/>
              <w:jc w:val="center"/>
              <w:rPr>
                <w:rFonts w:ascii="仿宋_GB2312" w:hAnsi="宋体" w:eastAsia="仿宋_GB2312"/>
                <w:b/>
                <w:color w:val="auto"/>
                <w:sz w:val="24"/>
                <w:highlight w:val="none"/>
              </w:rPr>
            </w:pPr>
          </w:p>
        </w:tc>
        <w:tc>
          <w:tcPr>
            <w:tcW w:w="1295" w:type="dxa"/>
            <w:vAlign w:val="center"/>
          </w:tcPr>
          <w:p w14:paraId="2381A23F">
            <w:pPr>
              <w:spacing w:line="360" w:lineRule="exact"/>
              <w:jc w:val="center"/>
              <w:rPr>
                <w:rFonts w:ascii="仿宋_GB2312" w:hAnsi="宋体" w:eastAsia="仿宋_GB2312"/>
                <w:b/>
                <w:color w:val="auto"/>
                <w:sz w:val="24"/>
                <w:highlight w:val="none"/>
              </w:rPr>
            </w:pPr>
          </w:p>
        </w:tc>
        <w:tc>
          <w:tcPr>
            <w:tcW w:w="1295" w:type="dxa"/>
            <w:vAlign w:val="center"/>
          </w:tcPr>
          <w:p w14:paraId="100A2941">
            <w:pPr>
              <w:spacing w:line="360" w:lineRule="exact"/>
              <w:jc w:val="center"/>
              <w:rPr>
                <w:rFonts w:ascii="仿宋_GB2312" w:hAnsi="宋体" w:eastAsia="仿宋_GB2312"/>
                <w:b/>
                <w:color w:val="auto"/>
                <w:sz w:val="24"/>
                <w:highlight w:val="none"/>
              </w:rPr>
            </w:pPr>
          </w:p>
        </w:tc>
      </w:tr>
      <w:tr w14:paraId="1CD7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0E9F0082">
            <w:pPr>
              <w:spacing w:line="360" w:lineRule="exact"/>
              <w:jc w:val="center"/>
              <w:rPr>
                <w:rFonts w:ascii="仿宋_GB2312" w:hAnsi="宋体" w:eastAsia="仿宋_GB2312"/>
                <w:b/>
                <w:color w:val="auto"/>
                <w:sz w:val="24"/>
                <w:highlight w:val="none"/>
              </w:rPr>
            </w:pPr>
          </w:p>
        </w:tc>
        <w:tc>
          <w:tcPr>
            <w:tcW w:w="1275" w:type="dxa"/>
            <w:vAlign w:val="center"/>
          </w:tcPr>
          <w:p w14:paraId="661F5936">
            <w:pPr>
              <w:spacing w:line="360" w:lineRule="exact"/>
              <w:jc w:val="center"/>
              <w:rPr>
                <w:rFonts w:ascii="仿宋_GB2312" w:hAnsi="宋体" w:eastAsia="仿宋_GB2312"/>
                <w:b/>
                <w:color w:val="auto"/>
                <w:sz w:val="24"/>
                <w:highlight w:val="none"/>
              </w:rPr>
            </w:pPr>
          </w:p>
        </w:tc>
        <w:tc>
          <w:tcPr>
            <w:tcW w:w="939" w:type="dxa"/>
            <w:vAlign w:val="center"/>
          </w:tcPr>
          <w:p w14:paraId="489900E1">
            <w:pPr>
              <w:spacing w:line="360" w:lineRule="exact"/>
              <w:jc w:val="center"/>
              <w:rPr>
                <w:rFonts w:ascii="仿宋_GB2312" w:hAnsi="宋体" w:eastAsia="仿宋_GB2312"/>
                <w:b/>
                <w:color w:val="auto"/>
                <w:sz w:val="24"/>
                <w:highlight w:val="none"/>
              </w:rPr>
            </w:pPr>
          </w:p>
        </w:tc>
        <w:tc>
          <w:tcPr>
            <w:tcW w:w="1294" w:type="dxa"/>
            <w:vAlign w:val="center"/>
          </w:tcPr>
          <w:p w14:paraId="3D7B451D">
            <w:pPr>
              <w:spacing w:line="360" w:lineRule="exact"/>
              <w:jc w:val="center"/>
              <w:rPr>
                <w:rFonts w:ascii="仿宋_GB2312" w:hAnsi="宋体" w:eastAsia="仿宋_GB2312"/>
                <w:b/>
                <w:color w:val="auto"/>
                <w:sz w:val="24"/>
                <w:highlight w:val="none"/>
              </w:rPr>
            </w:pPr>
          </w:p>
        </w:tc>
        <w:tc>
          <w:tcPr>
            <w:tcW w:w="1294" w:type="dxa"/>
            <w:vAlign w:val="center"/>
          </w:tcPr>
          <w:p w14:paraId="175AA340">
            <w:pPr>
              <w:spacing w:line="360" w:lineRule="exact"/>
              <w:jc w:val="center"/>
              <w:rPr>
                <w:rFonts w:ascii="仿宋_GB2312" w:hAnsi="宋体" w:eastAsia="仿宋_GB2312"/>
                <w:b/>
                <w:color w:val="auto"/>
                <w:sz w:val="24"/>
                <w:highlight w:val="none"/>
              </w:rPr>
            </w:pPr>
          </w:p>
        </w:tc>
        <w:tc>
          <w:tcPr>
            <w:tcW w:w="1295" w:type="dxa"/>
            <w:vAlign w:val="center"/>
          </w:tcPr>
          <w:p w14:paraId="6D6EC4C1">
            <w:pPr>
              <w:spacing w:line="360" w:lineRule="exact"/>
              <w:jc w:val="center"/>
              <w:rPr>
                <w:rFonts w:ascii="仿宋_GB2312" w:hAnsi="宋体" w:eastAsia="仿宋_GB2312"/>
                <w:b/>
                <w:color w:val="auto"/>
                <w:sz w:val="24"/>
                <w:highlight w:val="none"/>
              </w:rPr>
            </w:pPr>
          </w:p>
        </w:tc>
        <w:tc>
          <w:tcPr>
            <w:tcW w:w="1295" w:type="dxa"/>
            <w:vAlign w:val="center"/>
          </w:tcPr>
          <w:p w14:paraId="21BD7BD2">
            <w:pPr>
              <w:spacing w:line="360" w:lineRule="exact"/>
              <w:jc w:val="center"/>
              <w:rPr>
                <w:rFonts w:ascii="仿宋_GB2312" w:hAnsi="宋体" w:eastAsia="仿宋_GB2312"/>
                <w:b/>
                <w:color w:val="auto"/>
                <w:sz w:val="24"/>
                <w:highlight w:val="none"/>
              </w:rPr>
            </w:pPr>
          </w:p>
        </w:tc>
      </w:tr>
      <w:tr w14:paraId="47F2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76F78F5D">
            <w:pPr>
              <w:spacing w:line="360" w:lineRule="exact"/>
              <w:jc w:val="center"/>
              <w:rPr>
                <w:rFonts w:ascii="仿宋_GB2312" w:hAnsi="宋体" w:eastAsia="仿宋_GB2312"/>
                <w:b/>
                <w:color w:val="auto"/>
                <w:sz w:val="24"/>
                <w:highlight w:val="none"/>
              </w:rPr>
            </w:pPr>
          </w:p>
        </w:tc>
        <w:tc>
          <w:tcPr>
            <w:tcW w:w="1275" w:type="dxa"/>
            <w:vAlign w:val="center"/>
          </w:tcPr>
          <w:p w14:paraId="7455B41E">
            <w:pPr>
              <w:spacing w:line="360" w:lineRule="exact"/>
              <w:jc w:val="center"/>
              <w:rPr>
                <w:rFonts w:ascii="仿宋_GB2312" w:hAnsi="宋体" w:eastAsia="仿宋_GB2312"/>
                <w:b/>
                <w:color w:val="auto"/>
                <w:sz w:val="24"/>
                <w:highlight w:val="none"/>
              </w:rPr>
            </w:pPr>
          </w:p>
        </w:tc>
        <w:tc>
          <w:tcPr>
            <w:tcW w:w="939" w:type="dxa"/>
            <w:vAlign w:val="center"/>
          </w:tcPr>
          <w:p w14:paraId="06AA0271">
            <w:pPr>
              <w:spacing w:line="360" w:lineRule="exact"/>
              <w:jc w:val="center"/>
              <w:rPr>
                <w:rFonts w:ascii="仿宋_GB2312" w:hAnsi="宋体" w:eastAsia="仿宋_GB2312"/>
                <w:b/>
                <w:color w:val="auto"/>
                <w:sz w:val="24"/>
                <w:highlight w:val="none"/>
              </w:rPr>
            </w:pPr>
          </w:p>
        </w:tc>
        <w:tc>
          <w:tcPr>
            <w:tcW w:w="1294" w:type="dxa"/>
            <w:vAlign w:val="center"/>
          </w:tcPr>
          <w:p w14:paraId="7FB9B99B">
            <w:pPr>
              <w:spacing w:line="360" w:lineRule="exact"/>
              <w:jc w:val="center"/>
              <w:rPr>
                <w:rFonts w:ascii="仿宋_GB2312" w:hAnsi="宋体" w:eastAsia="仿宋_GB2312"/>
                <w:b/>
                <w:color w:val="auto"/>
                <w:sz w:val="24"/>
                <w:highlight w:val="none"/>
              </w:rPr>
            </w:pPr>
          </w:p>
        </w:tc>
        <w:tc>
          <w:tcPr>
            <w:tcW w:w="1294" w:type="dxa"/>
            <w:vAlign w:val="center"/>
          </w:tcPr>
          <w:p w14:paraId="5F48EAE6">
            <w:pPr>
              <w:spacing w:line="360" w:lineRule="exact"/>
              <w:jc w:val="center"/>
              <w:rPr>
                <w:rFonts w:ascii="仿宋_GB2312" w:hAnsi="宋体" w:eastAsia="仿宋_GB2312"/>
                <w:b/>
                <w:color w:val="auto"/>
                <w:sz w:val="24"/>
                <w:highlight w:val="none"/>
              </w:rPr>
            </w:pPr>
          </w:p>
        </w:tc>
        <w:tc>
          <w:tcPr>
            <w:tcW w:w="1295" w:type="dxa"/>
            <w:vAlign w:val="center"/>
          </w:tcPr>
          <w:p w14:paraId="4D15D4E7">
            <w:pPr>
              <w:spacing w:line="360" w:lineRule="exact"/>
              <w:jc w:val="center"/>
              <w:rPr>
                <w:rFonts w:ascii="仿宋_GB2312" w:hAnsi="宋体" w:eastAsia="仿宋_GB2312"/>
                <w:b/>
                <w:color w:val="auto"/>
                <w:sz w:val="24"/>
                <w:highlight w:val="none"/>
              </w:rPr>
            </w:pPr>
          </w:p>
        </w:tc>
        <w:tc>
          <w:tcPr>
            <w:tcW w:w="1295" w:type="dxa"/>
            <w:vAlign w:val="center"/>
          </w:tcPr>
          <w:p w14:paraId="1C0A94B9">
            <w:pPr>
              <w:spacing w:line="360" w:lineRule="exact"/>
              <w:jc w:val="center"/>
              <w:rPr>
                <w:rFonts w:ascii="仿宋_GB2312" w:hAnsi="宋体" w:eastAsia="仿宋_GB2312"/>
                <w:b/>
                <w:color w:val="auto"/>
                <w:sz w:val="24"/>
                <w:highlight w:val="none"/>
              </w:rPr>
            </w:pPr>
          </w:p>
        </w:tc>
      </w:tr>
      <w:tr w14:paraId="4FF4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986" w:type="dxa"/>
            <w:vAlign w:val="center"/>
          </w:tcPr>
          <w:p w14:paraId="607FDED3">
            <w:pPr>
              <w:spacing w:line="360" w:lineRule="exact"/>
              <w:jc w:val="center"/>
              <w:rPr>
                <w:rFonts w:ascii="仿宋_GB2312" w:hAnsi="宋体" w:eastAsia="仿宋_GB2312"/>
                <w:b/>
                <w:color w:val="auto"/>
                <w:sz w:val="24"/>
                <w:highlight w:val="none"/>
              </w:rPr>
            </w:pPr>
          </w:p>
        </w:tc>
        <w:tc>
          <w:tcPr>
            <w:tcW w:w="1275" w:type="dxa"/>
            <w:vAlign w:val="center"/>
          </w:tcPr>
          <w:p w14:paraId="3F0A9CAA">
            <w:pPr>
              <w:spacing w:line="360" w:lineRule="exact"/>
              <w:jc w:val="center"/>
              <w:rPr>
                <w:rFonts w:ascii="仿宋_GB2312" w:hAnsi="宋体" w:eastAsia="仿宋_GB2312"/>
                <w:b/>
                <w:color w:val="auto"/>
                <w:sz w:val="24"/>
                <w:highlight w:val="none"/>
              </w:rPr>
            </w:pPr>
          </w:p>
        </w:tc>
        <w:tc>
          <w:tcPr>
            <w:tcW w:w="939" w:type="dxa"/>
            <w:vAlign w:val="center"/>
          </w:tcPr>
          <w:p w14:paraId="2535A753">
            <w:pPr>
              <w:spacing w:line="360" w:lineRule="exact"/>
              <w:jc w:val="center"/>
              <w:rPr>
                <w:rFonts w:ascii="仿宋_GB2312" w:hAnsi="宋体" w:eastAsia="仿宋_GB2312"/>
                <w:b/>
                <w:color w:val="auto"/>
                <w:sz w:val="24"/>
                <w:highlight w:val="none"/>
              </w:rPr>
            </w:pPr>
          </w:p>
        </w:tc>
        <w:tc>
          <w:tcPr>
            <w:tcW w:w="1294" w:type="dxa"/>
            <w:vAlign w:val="center"/>
          </w:tcPr>
          <w:p w14:paraId="66B124A7">
            <w:pPr>
              <w:spacing w:line="360" w:lineRule="exact"/>
              <w:jc w:val="center"/>
              <w:rPr>
                <w:rFonts w:ascii="仿宋_GB2312" w:hAnsi="宋体" w:eastAsia="仿宋_GB2312"/>
                <w:b/>
                <w:color w:val="auto"/>
                <w:sz w:val="24"/>
                <w:highlight w:val="none"/>
              </w:rPr>
            </w:pPr>
          </w:p>
        </w:tc>
        <w:tc>
          <w:tcPr>
            <w:tcW w:w="1294" w:type="dxa"/>
            <w:vAlign w:val="center"/>
          </w:tcPr>
          <w:p w14:paraId="3081D159">
            <w:pPr>
              <w:spacing w:line="360" w:lineRule="exact"/>
              <w:jc w:val="center"/>
              <w:rPr>
                <w:rFonts w:ascii="仿宋_GB2312" w:hAnsi="宋体" w:eastAsia="仿宋_GB2312"/>
                <w:b/>
                <w:color w:val="auto"/>
                <w:sz w:val="24"/>
                <w:highlight w:val="none"/>
              </w:rPr>
            </w:pPr>
          </w:p>
        </w:tc>
        <w:tc>
          <w:tcPr>
            <w:tcW w:w="1295" w:type="dxa"/>
            <w:vAlign w:val="center"/>
          </w:tcPr>
          <w:p w14:paraId="337EDF13">
            <w:pPr>
              <w:spacing w:line="360" w:lineRule="exact"/>
              <w:jc w:val="center"/>
              <w:rPr>
                <w:rFonts w:ascii="仿宋_GB2312" w:hAnsi="宋体" w:eastAsia="仿宋_GB2312"/>
                <w:b/>
                <w:color w:val="auto"/>
                <w:sz w:val="24"/>
                <w:highlight w:val="none"/>
              </w:rPr>
            </w:pPr>
          </w:p>
        </w:tc>
        <w:tc>
          <w:tcPr>
            <w:tcW w:w="1295" w:type="dxa"/>
            <w:vAlign w:val="center"/>
          </w:tcPr>
          <w:p w14:paraId="7535F73E">
            <w:pPr>
              <w:spacing w:line="360" w:lineRule="exact"/>
              <w:jc w:val="center"/>
              <w:rPr>
                <w:rFonts w:ascii="仿宋_GB2312" w:hAnsi="宋体" w:eastAsia="仿宋_GB2312"/>
                <w:b/>
                <w:color w:val="auto"/>
                <w:sz w:val="24"/>
                <w:highlight w:val="none"/>
              </w:rPr>
            </w:pPr>
          </w:p>
        </w:tc>
      </w:tr>
      <w:tr w14:paraId="1307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6B31F4E2">
            <w:pPr>
              <w:spacing w:line="360" w:lineRule="exact"/>
              <w:jc w:val="center"/>
              <w:rPr>
                <w:rFonts w:ascii="仿宋_GB2312" w:hAnsi="宋体" w:eastAsia="仿宋_GB2312"/>
                <w:b/>
                <w:color w:val="auto"/>
                <w:sz w:val="24"/>
                <w:highlight w:val="none"/>
              </w:rPr>
            </w:pPr>
          </w:p>
        </w:tc>
        <w:tc>
          <w:tcPr>
            <w:tcW w:w="1275" w:type="dxa"/>
            <w:vAlign w:val="center"/>
          </w:tcPr>
          <w:p w14:paraId="17E52B66">
            <w:pPr>
              <w:spacing w:line="360" w:lineRule="exact"/>
              <w:jc w:val="center"/>
              <w:rPr>
                <w:rFonts w:ascii="仿宋_GB2312" w:hAnsi="宋体" w:eastAsia="仿宋_GB2312"/>
                <w:b/>
                <w:color w:val="auto"/>
                <w:sz w:val="24"/>
                <w:highlight w:val="none"/>
              </w:rPr>
            </w:pPr>
          </w:p>
        </w:tc>
        <w:tc>
          <w:tcPr>
            <w:tcW w:w="939" w:type="dxa"/>
            <w:vAlign w:val="center"/>
          </w:tcPr>
          <w:p w14:paraId="298F4879">
            <w:pPr>
              <w:spacing w:line="360" w:lineRule="exact"/>
              <w:jc w:val="center"/>
              <w:rPr>
                <w:rFonts w:ascii="仿宋_GB2312" w:hAnsi="宋体" w:eastAsia="仿宋_GB2312"/>
                <w:b/>
                <w:color w:val="auto"/>
                <w:sz w:val="24"/>
                <w:highlight w:val="none"/>
              </w:rPr>
            </w:pPr>
          </w:p>
        </w:tc>
        <w:tc>
          <w:tcPr>
            <w:tcW w:w="1294" w:type="dxa"/>
            <w:vAlign w:val="center"/>
          </w:tcPr>
          <w:p w14:paraId="4C141734">
            <w:pPr>
              <w:spacing w:line="360" w:lineRule="exact"/>
              <w:jc w:val="center"/>
              <w:rPr>
                <w:rFonts w:ascii="仿宋_GB2312" w:hAnsi="宋体" w:eastAsia="仿宋_GB2312"/>
                <w:b/>
                <w:color w:val="auto"/>
                <w:sz w:val="24"/>
                <w:highlight w:val="none"/>
              </w:rPr>
            </w:pPr>
          </w:p>
        </w:tc>
        <w:tc>
          <w:tcPr>
            <w:tcW w:w="1294" w:type="dxa"/>
            <w:vAlign w:val="center"/>
          </w:tcPr>
          <w:p w14:paraId="1DF3E9D5">
            <w:pPr>
              <w:spacing w:line="360" w:lineRule="exact"/>
              <w:jc w:val="center"/>
              <w:rPr>
                <w:rFonts w:ascii="仿宋_GB2312" w:hAnsi="宋体" w:eastAsia="仿宋_GB2312"/>
                <w:b/>
                <w:color w:val="auto"/>
                <w:sz w:val="24"/>
                <w:highlight w:val="none"/>
              </w:rPr>
            </w:pPr>
          </w:p>
        </w:tc>
        <w:tc>
          <w:tcPr>
            <w:tcW w:w="1295" w:type="dxa"/>
            <w:vAlign w:val="center"/>
          </w:tcPr>
          <w:p w14:paraId="20C6B3E7">
            <w:pPr>
              <w:spacing w:line="360" w:lineRule="exact"/>
              <w:jc w:val="center"/>
              <w:rPr>
                <w:rFonts w:ascii="仿宋_GB2312" w:hAnsi="宋体" w:eastAsia="仿宋_GB2312"/>
                <w:b/>
                <w:color w:val="auto"/>
                <w:sz w:val="24"/>
                <w:highlight w:val="none"/>
              </w:rPr>
            </w:pPr>
          </w:p>
        </w:tc>
        <w:tc>
          <w:tcPr>
            <w:tcW w:w="1295" w:type="dxa"/>
            <w:vAlign w:val="center"/>
          </w:tcPr>
          <w:p w14:paraId="01CC58A3">
            <w:pPr>
              <w:spacing w:line="360" w:lineRule="exact"/>
              <w:jc w:val="center"/>
              <w:rPr>
                <w:rFonts w:ascii="仿宋_GB2312" w:hAnsi="宋体" w:eastAsia="仿宋_GB2312"/>
                <w:b/>
                <w:color w:val="auto"/>
                <w:sz w:val="24"/>
                <w:highlight w:val="none"/>
              </w:rPr>
            </w:pPr>
          </w:p>
        </w:tc>
      </w:tr>
      <w:tr w14:paraId="0F1E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19A83B30">
            <w:pPr>
              <w:spacing w:line="360" w:lineRule="exact"/>
              <w:jc w:val="center"/>
              <w:rPr>
                <w:rFonts w:ascii="仿宋_GB2312" w:hAnsi="宋体" w:eastAsia="仿宋_GB2312"/>
                <w:b/>
                <w:color w:val="auto"/>
                <w:sz w:val="24"/>
                <w:highlight w:val="none"/>
              </w:rPr>
            </w:pPr>
          </w:p>
        </w:tc>
        <w:tc>
          <w:tcPr>
            <w:tcW w:w="1275" w:type="dxa"/>
            <w:vAlign w:val="center"/>
          </w:tcPr>
          <w:p w14:paraId="126DD962">
            <w:pPr>
              <w:spacing w:line="360" w:lineRule="exact"/>
              <w:jc w:val="center"/>
              <w:rPr>
                <w:rFonts w:ascii="仿宋_GB2312" w:hAnsi="宋体" w:eastAsia="仿宋_GB2312"/>
                <w:b/>
                <w:color w:val="auto"/>
                <w:sz w:val="24"/>
                <w:highlight w:val="none"/>
              </w:rPr>
            </w:pPr>
          </w:p>
        </w:tc>
        <w:tc>
          <w:tcPr>
            <w:tcW w:w="939" w:type="dxa"/>
            <w:vAlign w:val="center"/>
          </w:tcPr>
          <w:p w14:paraId="4FAB3331">
            <w:pPr>
              <w:spacing w:line="360" w:lineRule="exact"/>
              <w:jc w:val="center"/>
              <w:rPr>
                <w:rFonts w:ascii="仿宋_GB2312" w:hAnsi="宋体" w:eastAsia="仿宋_GB2312"/>
                <w:b/>
                <w:color w:val="auto"/>
                <w:sz w:val="24"/>
                <w:highlight w:val="none"/>
              </w:rPr>
            </w:pPr>
          </w:p>
        </w:tc>
        <w:tc>
          <w:tcPr>
            <w:tcW w:w="1294" w:type="dxa"/>
            <w:vAlign w:val="center"/>
          </w:tcPr>
          <w:p w14:paraId="1C387849">
            <w:pPr>
              <w:spacing w:line="360" w:lineRule="exact"/>
              <w:jc w:val="center"/>
              <w:rPr>
                <w:rFonts w:ascii="仿宋_GB2312" w:hAnsi="宋体" w:eastAsia="仿宋_GB2312"/>
                <w:b/>
                <w:color w:val="auto"/>
                <w:sz w:val="24"/>
                <w:highlight w:val="none"/>
              </w:rPr>
            </w:pPr>
          </w:p>
        </w:tc>
        <w:tc>
          <w:tcPr>
            <w:tcW w:w="1294" w:type="dxa"/>
            <w:vAlign w:val="center"/>
          </w:tcPr>
          <w:p w14:paraId="0FB9224E">
            <w:pPr>
              <w:spacing w:line="360" w:lineRule="exact"/>
              <w:jc w:val="center"/>
              <w:rPr>
                <w:rFonts w:ascii="仿宋_GB2312" w:hAnsi="宋体" w:eastAsia="仿宋_GB2312"/>
                <w:b/>
                <w:color w:val="auto"/>
                <w:sz w:val="24"/>
                <w:highlight w:val="none"/>
              </w:rPr>
            </w:pPr>
          </w:p>
        </w:tc>
        <w:tc>
          <w:tcPr>
            <w:tcW w:w="1295" w:type="dxa"/>
            <w:vAlign w:val="center"/>
          </w:tcPr>
          <w:p w14:paraId="68DD91FA">
            <w:pPr>
              <w:spacing w:line="360" w:lineRule="exact"/>
              <w:jc w:val="center"/>
              <w:rPr>
                <w:rFonts w:ascii="仿宋_GB2312" w:hAnsi="宋体" w:eastAsia="仿宋_GB2312"/>
                <w:b/>
                <w:color w:val="auto"/>
                <w:sz w:val="24"/>
                <w:highlight w:val="none"/>
              </w:rPr>
            </w:pPr>
          </w:p>
        </w:tc>
        <w:tc>
          <w:tcPr>
            <w:tcW w:w="1295" w:type="dxa"/>
            <w:vAlign w:val="center"/>
          </w:tcPr>
          <w:p w14:paraId="4B8DFA80">
            <w:pPr>
              <w:spacing w:line="360" w:lineRule="exact"/>
              <w:jc w:val="center"/>
              <w:rPr>
                <w:rFonts w:ascii="仿宋_GB2312" w:hAnsi="宋体" w:eastAsia="仿宋_GB2312"/>
                <w:b/>
                <w:color w:val="auto"/>
                <w:sz w:val="24"/>
                <w:highlight w:val="none"/>
              </w:rPr>
            </w:pPr>
          </w:p>
        </w:tc>
      </w:tr>
      <w:tr w14:paraId="1CDC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3799E122">
            <w:pPr>
              <w:spacing w:line="360" w:lineRule="exact"/>
              <w:jc w:val="center"/>
              <w:rPr>
                <w:rFonts w:ascii="仿宋_GB2312" w:hAnsi="宋体" w:eastAsia="仿宋_GB2312"/>
                <w:b/>
                <w:color w:val="auto"/>
                <w:sz w:val="24"/>
                <w:highlight w:val="none"/>
              </w:rPr>
            </w:pPr>
          </w:p>
        </w:tc>
        <w:tc>
          <w:tcPr>
            <w:tcW w:w="1275" w:type="dxa"/>
            <w:vAlign w:val="center"/>
          </w:tcPr>
          <w:p w14:paraId="63679E5D">
            <w:pPr>
              <w:spacing w:line="360" w:lineRule="exact"/>
              <w:jc w:val="center"/>
              <w:rPr>
                <w:rFonts w:ascii="仿宋_GB2312" w:hAnsi="宋体" w:eastAsia="仿宋_GB2312"/>
                <w:b/>
                <w:color w:val="auto"/>
                <w:sz w:val="24"/>
                <w:highlight w:val="none"/>
              </w:rPr>
            </w:pPr>
          </w:p>
        </w:tc>
        <w:tc>
          <w:tcPr>
            <w:tcW w:w="939" w:type="dxa"/>
            <w:vAlign w:val="center"/>
          </w:tcPr>
          <w:p w14:paraId="2B2B7E7E">
            <w:pPr>
              <w:spacing w:line="360" w:lineRule="exact"/>
              <w:jc w:val="center"/>
              <w:rPr>
                <w:rFonts w:ascii="仿宋_GB2312" w:hAnsi="宋体" w:eastAsia="仿宋_GB2312"/>
                <w:b/>
                <w:color w:val="auto"/>
                <w:sz w:val="24"/>
                <w:highlight w:val="none"/>
              </w:rPr>
            </w:pPr>
          </w:p>
        </w:tc>
        <w:tc>
          <w:tcPr>
            <w:tcW w:w="1294" w:type="dxa"/>
            <w:vAlign w:val="center"/>
          </w:tcPr>
          <w:p w14:paraId="74271822">
            <w:pPr>
              <w:spacing w:line="360" w:lineRule="exact"/>
              <w:jc w:val="center"/>
              <w:rPr>
                <w:rFonts w:ascii="仿宋_GB2312" w:hAnsi="宋体" w:eastAsia="仿宋_GB2312"/>
                <w:b/>
                <w:color w:val="auto"/>
                <w:sz w:val="24"/>
                <w:highlight w:val="none"/>
              </w:rPr>
            </w:pPr>
          </w:p>
        </w:tc>
        <w:tc>
          <w:tcPr>
            <w:tcW w:w="1294" w:type="dxa"/>
            <w:vAlign w:val="center"/>
          </w:tcPr>
          <w:p w14:paraId="45DC7F8D">
            <w:pPr>
              <w:spacing w:line="360" w:lineRule="exact"/>
              <w:jc w:val="center"/>
              <w:rPr>
                <w:rFonts w:ascii="仿宋_GB2312" w:hAnsi="宋体" w:eastAsia="仿宋_GB2312"/>
                <w:b/>
                <w:color w:val="auto"/>
                <w:sz w:val="24"/>
                <w:highlight w:val="none"/>
              </w:rPr>
            </w:pPr>
          </w:p>
        </w:tc>
        <w:tc>
          <w:tcPr>
            <w:tcW w:w="1295" w:type="dxa"/>
            <w:vAlign w:val="center"/>
          </w:tcPr>
          <w:p w14:paraId="62865E59">
            <w:pPr>
              <w:spacing w:line="360" w:lineRule="exact"/>
              <w:jc w:val="center"/>
              <w:rPr>
                <w:rFonts w:ascii="仿宋_GB2312" w:hAnsi="宋体" w:eastAsia="仿宋_GB2312"/>
                <w:b/>
                <w:color w:val="auto"/>
                <w:sz w:val="24"/>
                <w:highlight w:val="none"/>
              </w:rPr>
            </w:pPr>
          </w:p>
        </w:tc>
        <w:tc>
          <w:tcPr>
            <w:tcW w:w="1295" w:type="dxa"/>
            <w:vAlign w:val="center"/>
          </w:tcPr>
          <w:p w14:paraId="5FFD4666">
            <w:pPr>
              <w:spacing w:line="360" w:lineRule="exact"/>
              <w:jc w:val="center"/>
              <w:rPr>
                <w:rFonts w:ascii="仿宋_GB2312" w:hAnsi="宋体" w:eastAsia="仿宋_GB2312"/>
                <w:b/>
                <w:color w:val="auto"/>
                <w:sz w:val="24"/>
                <w:highlight w:val="none"/>
              </w:rPr>
            </w:pPr>
          </w:p>
        </w:tc>
      </w:tr>
      <w:tr w14:paraId="4B71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986" w:type="dxa"/>
            <w:vAlign w:val="center"/>
          </w:tcPr>
          <w:p w14:paraId="2FADB4F3">
            <w:pPr>
              <w:spacing w:line="360" w:lineRule="exact"/>
              <w:jc w:val="center"/>
              <w:rPr>
                <w:rFonts w:ascii="仿宋_GB2312" w:hAnsi="宋体" w:eastAsia="仿宋_GB2312"/>
                <w:b/>
                <w:color w:val="auto"/>
                <w:sz w:val="24"/>
                <w:highlight w:val="none"/>
              </w:rPr>
            </w:pPr>
          </w:p>
        </w:tc>
        <w:tc>
          <w:tcPr>
            <w:tcW w:w="1275" w:type="dxa"/>
            <w:vAlign w:val="center"/>
          </w:tcPr>
          <w:p w14:paraId="5BD2C166">
            <w:pPr>
              <w:spacing w:line="360" w:lineRule="exact"/>
              <w:jc w:val="center"/>
              <w:rPr>
                <w:rFonts w:ascii="仿宋_GB2312" w:hAnsi="宋体" w:eastAsia="仿宋_GB2312"/>
                <w:b/>
                <w:color w:val="auto"/>
                <w:sz w:val="24"/>
                <w:highlight w:val="none"/>
              </w:rPr>
            </w:pPr>
          </w:p>
        </w:tc>
        <w:tc>
          <w:tcPr>
            <w:tcW w:w="939" w:type="dxa"/>
            <w:vAlign w:val="center"/>
          </w:tcPr>
          <w:p w14:paraId="3987A275">
            <w:pPr>
              <w:spacing w:line="360" w:lineRule="exact"/>
              <w:jc w:val="center"/>
              <w:rPr>
                <w:rFonts w:ascii="仿宋_GB2312" w:hAnsi="宋体" w:eastAsia="仿宋_GB2312"/>
                <w:b/>
                <w:color w:val="auto"/>
                <w:sz w:val="24"/>
                <w:highlight w:val="none"/>
              </w:rPr>
            </w:pPr>
          </w:p>
        </w:tc>
        <w:tc>
          <w:tcPr>
            <w:tcW w:w="1294" w:type="dxa"/>
            <w:vAlign w:val="center"/>
          </w:tcPr>
          <w:p w14:paraId="581A585D">
            <w:pPr>
              <w:spacing w:line="360" w:lineRule="exact"/>
              <w:jc w:val="center"/>
              <w:rPr>
                <w:rFonts w:ascii="仿宋_GB2312" w:hAnsi="宋体" w:eastAsia="仿宋_GB2312"/>
                <w:b/>
                <w:color w:val="auto"/>
                <w:sz w:val="24"/>
                <w:highlight w:val="none"/>
              </w:rPr>
            </w:pPr>
          </w:p>
        </w:tc>
        <w:tc>
          <w:tcPr>
            <w:tcW w:w="1294" w:type="dxa"/>
            <w:vAlign w:val="center"/>
          </w:tcPr>
          <w:p w14:paraId="2BF79459">
            <w:pPr>
              <w:spacing w:line="360" w:lineRule="exact"/>
              <w:jc w:val="center"/>
              <w:rPr>
                <w:rFonts w:ascii="仿宋_GB2312" w:hAnsi="宋体" w:eastAsia="仿宋_GB2312"/>
                <w:b/>
                <w:color w:val="auto"/>
                <w:sz w:val="24"/>
                <w:highlight w:val="none"/>
              </w:rPr>
            </w:pPr>
          </w:p>
        </w:tc>
        <w:tc>
          <w:tcPr>
            <w:tcW w:w="1295" w:type="dxa"/>
            <w:vAlign w:val="center"/>
          </w:tcPr>
          <w:p w14:paraId="46B7B183">
            <w:pPr>
              <w:spacing w:line="360" w:lineRule="exact"/>
              <w:jc w:val="center"/>
              <w:rPr>
                <w:rFonts w:ascii="仿宋_GB2312" w:hAnsi="宋体" w:eastAsia="仿宋_GB2312"/>
                <w:b/>
                <w:color w:val="auto"/>
                <w:sz w:val="24"/>
                <w:highlight w:val="none"/>
              </w:rPr>
            </w:pPr>
          </w:p>
        </w:tc>
        <w:tc>
          <w:tcPr>
            <w:tcW w:w="1295" w:type="dxa"/>
            <w:vAlign w:val="center"/>
          </w:tcPr>
          <w:p w14:paraId="0CAEA1A9">
            <w:pPr>
              <w:spacing w:line="360" w:lineRule="exact"/>
              <w:jc w:val="center"/>
              <w:rPr>
                <w:rFonts w:ascii="仿宋_GB2312" w:hAnsi="宋体" w:eastAsia="仿宋_GB2312"/>
                <w:b/>
                <w:color w:val="auto"/>
                <w:sz w:val="24"/>
                <w:highlight w:val="none"/>
              </w:rPr>
            </w:pPr>
          </w:p>
        </w:tc>
      </w:tr>
      <w:tr w14:paraId="191C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1986" w:type="dxa"/>
            <w:vAlign w:val="center"/>
          </w:tcPr>
          <w:p w14:paraId="3DD7862B">
            <w:pPr>
              <w:spacing w:line="360" w:lineRule="exact"/>
              <w:jc w:val="left"/>
              <w:rPr>
                <w:rFonts w:ascii="仿宋_GB2312" w:hAnsi="宋体" w:eastAsia="仿宋_GB2312"/>
                <w:color w:val="auto"/>
                <w:sz w:val="24"/>
                <w:highlight w:val="none"/>
              </w:rPr>
            </w:pPr>
            <w:r>
              <w:rPr>
                <w:rFonts w:hint="eastAsia" w:ascii="仿宋_GB2312" w:hAnsi="仿宋" w:eastAsia="仿宋_GB2312"/>
                <w:color w:val="auto"/>
                <w:sz w:val="24"/>
                <w:highlight w:val="none"/>
              </w:rPr>
              <w:t>总计</w:t>
            </w:r>
          </w:p>
        </w:tc>
        <w:tc>
          <w:tcPr>
            <w:tcW w:w="1275" w:type="dxa"/>
            <w:vAlign w:val="center"/>
          </w:tcPr>
          <w:p w14:paraId="54E8D171">
            <w:pPr>
              <w:spacing w:line="360" w:lineRule="exact"/>
              <w:jc w:val="center"/>
              <w:rPr>
                <w:rFonts w:ascii="仿宋_GB2312" w:hAnsi="宋体" w:eastAsia="仿宋_GB2312"/>
                <w:b/>
                <w:color w:val="auto"/>
                <w:sz w:val="24"/>
                <w:highlight w:val="none"/>
              </w:rPr>
            </w:pPr>
          </w:p>
        </w:tc>
        <w:tc>
          <w:tcPr>
            <w:tcW w:w="939" w:type="dxa"/>
            <w:vAlign w:val="center"/>
          </w:tcPr>
          <w:p w14:paraId="378EF850">
            <w:pPr>
              <w:spacing w:line="360" w:lineRule="exact"/>
              <w:jc w:val="center"/>
              <w:rPr>
                <w:rFonts w:ascii="仿宋_GB2312" w:hAnsi="宋体" w:eastAsia="仿宋_GB2312"/>
                <w:b/>
                <w:color w:val="auto"/>
                <w:sz w:val="24"/>
                <w:highlight w:val="none"/>
              </w:rPr>
            </w:pPr>
          </w:p>
        </w:tc>
        <w:tc>
          <w:tcPr>
            <w:tcW w:w="1294" w:type="dxa"/>
            <w:vAlign w:val="center"/>
          </w:tcPr>
          <w:p w14:paraId="0315A590">
            <w:pPr>
              <w:spacing w:line="360" w:lineRule="exact"/>
              <w:jc w:val="center"/>
              <w:rPr>
                <w:rFonts w:ascii="仿宋_GB2312" w:hAnsi="宋体" w:eastAsia="仿宋_GB2312"/>
                <w:b/>
                <w:color w:val="auto"/>
                <w:sz w:val="24"/>
                <w:highlight w:val="none"/>
              </w:rPr>
            </w:pPr>
          </w:p>
        </w:tc>
        <w:tc>
          <w:tcPr>
            <w:tcW w:w="1294" w:type="dxa"/>
            <w:vAlign w:val="center"/>
          </w:tcPr>
          <w:p w14:paraId="51053B42">
            <w:pPr>
              <w:spacing w:line="360" w:lineRule="exact"/>
              <w:jc w:val="center"/>
              <w:rPr>
                <w:rFonts w:ascii="仿宋_GB2312" w:hAnsi="宋体" w:eastAsia="仿宋_GB2312"/>
                <w:b/>
                <w:color w:val="auto"/>
                <w:sz w:val="24"/>
                <w:highlight w:val="none"/>
              </w:rPr>
            </w:pPr>
          </w:p>
        </w:tc>
        <w:tc>
          <w:tcPr>
            <w:tcW w:w="1295" w:type="dxa"/>
            <w:vAlign w:val="center"/>
          </w:tcPr>
          <w:p w14:paraId="4305D510">
            <w:pPr>
              <w:spacing w:line="360" w:lineRule="exact"/>
              <w:jc w:val="center"/>
              <w:rPr>
                <w:rFonts w:ascii="仿宋_GB2312" w:hAnsi="宋体" w:eastAsia="仿宋_GB2312"/>
                <w:b/>
                <w:color w:val="auto"/>
                <w:sz w:val="24"/>
                <w:highlight w:val="none"/>
              </w:rPr>
            </w:pPr>
          </w:p>
        </w:tc>
        <w:tc>
          <w:tcPr>
            <w:tcW w:w="1295" w:type="dxa"/>
            <w:vAlign w:val="center"/>
          </w:tcPr>
          <w:p w14:paraId="2E0C546A">
            <w:pPr>
              <w:spacing w:line="360" w:lineRule="exact"/>
              <w:jc w:val="center"/>
              <w:rPr>
                <w:rFonts w:ascii="仿宋_GB2312" w:hAnsi="宋体" w:eastAsia="仿宋_GB2312"/>
                <w:b/>
                <w:color w:val="auto"/>
                <w:sz w:val="24"/>
                <w:highlight w:val="none"/>
              </w:rPr>
            </w:pPr>
          </w:p>
        </w:tc>
      </w:tr>
    </w:tbl>
    <w:p w14:paraId="77A16B34">
      <w:pPr>
        <w:spacing w:line="360" w:lineRule="exact"/>
        <w:rPr>
          <w:rFonts w:ascii="仿宋_GB2312" w:hAnsi="仿宋" w:eastAsia="仿宋_GB2312"/>
          <w:color w:val="auto"/>
          <w:sz w:val="30"/>
          <w:highlight w:val="none"/>
        </w:rPr>
      </w:pPr>
    </w:p>
    <w:p w14:paraId="3024AFF6">
      <w:pPr>
        <w:spacing w:line="360" w:lineRule="exact"/>
        <w:rPr>
          <w:rFonts w:ascii="仿宋_GB2312" w:hAnsi="仿宋" w:eastAsia="仿宋_GB2312"/>
          <w:color w:val="auto"/>
          <w:sz w:val="30"/>
          <w:highlight w:val="none"/>
        </w:rPr>
      </w:pPr>
    </w:p>
    <w:p w14:paraId="6473CAE7">
      <w:pPr>
        <w:spacing w:line="360" w:lineRule="exact"/>
        <w:rPr>
          <w:rFonts w:ascii="仿宋_GB2312" w:hAnsi="仿宋" w:eastAsia="仿宋_GB2312"/>
          <w:color w:val="auto"/>
          <w:sz w:val="32"/>
          <w:szCs w:val="32"/>
          <w:highlight w:val="none"/>
        </w:rPr>
      </w:pPr>
    </w:p>
    <w:p w14:paraId="248048B8">
      <w:pPr>
        <w:wordWrap w:val="0"/>
        <w:spacing w:line="520" w:lineRule="exact"/>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报价供应商(盖章)</w:t>
      </w:r>
      <w:r>
        <w:rPr>
          <w:rFonts w:hint="eastAsia" w:ascii="仿宋_GB2312" w:hAnsi="仿宋" w:eastAsia="仿宋_GB2312"/>
          <w:color w:val="auto"/>
          <w:sz w:val="32"/>
          <w:szCs w:val="32"/>
          <w:highlight w:val="none"/>
        </w:rPr>
        <w:t>：</w:t>
      </w:r>
      <w:r>
        <w:rPr>
          <w:rFonts w:ascii="仿宋_GB2312" w:hAnsi="仿宋" w:eastAsia="仿宋_GB2312"/>
          <w:color w:val="auto"/>
          <w:sz w:val="28"/>
          <w:szCs w:val="28"/>
          <w:highlight w:val="none"/>
        </w:rPr>
        <w:t xml:space="preserve">  </w:t>
      </w:r>
      <w:r>
        <w:rPr>
          <w:rFonts w:hint="eastAsia" w:ascii="仿宋_GB2312" w:hAnsi="仿宋" w:eastAsia="仿宋_GB2312"/>
          <w:color w:val="auto"/>
          <w:sz w:val="30"/>
          <w:szCs w:val="30"/>
          <w:highlight w:val="none"/>
        </w:rPr>
        <w:t xml:space="preserve">   </w:t>
      </w:r>
    </w:p>
    <w:p w14:paraId="3B238F99">
      <w:pPr>
        <w:wordWrap w:val="0"/>
        <w:spacing w:line="440" w:lineRule="exact"/>
        <w:jc w:val="right"/>
        <w:rPr>
          <w:rFonts w:ascii="仿宋_GB2312" w:hAnsi="宋体" w:eastAsia="仿宋_GB2312"/>
          <w:b/>
          <w:color w:val="auto"/>
          <w:sz w:val="32"/>
          <w:szCs w:val="32"/>
          <w:highlight w:val="none"/>
        </w:rPr>
      </w:pPr>
      <w:r>
        <w:rPr>
          <w:rFonts w:hint="eastAsia" w:ascii="仿宋_GB2312" w:hAnsi="仿宋" w:eastAsia="仿宋_GB2312"/>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_GB2312" w:hAnsi="仿宋" w:eastAsia="仿宋_GB2312"/>
          <w:color w:val="auto"/>
          <w:sz w:val="30"/>
          <w:szCs w:val="30"/>
          <w:highlight w:val="none"/>
        </w:rPr>
        <w:t xml:space="preserve"> </w:t>
      </w:r>
      <w:r>
        <w:rPr>
          <w:rFonts w:ascii="仿宋_GB2312" w:hAnsi="仿宋" w:eastAsia="仿宋_GB2312"/>
          <w:color w:val="auto"/>
          <w:sz w:val="28"/>
          <w:szCs w:val="28"/>
          <w:highlight w:val="none"/>
        </w:rPr>
        <w:t xml:space="preserve">  </w:t>
      </w:r>
      <w:r>
        <w:rPr>
          <w:rFonts w:hint="eastAsia" w:ascii="仿宋_GB2312" w:hAnsi="仿宋" w:eastAsia="仿宋_GB2312"/>
          <w:color w:val="auto"/>
          <w:sz w:val="30"/>
          <w:szCs w:val="30"/>
          <w:highlight w:val="none"/>
        </w:rPr>
        <w:t xml:space="preserve">   </w:t>
      </w:r>
    </w:p>
    <w:p w14:paraId="43F9611B">
      <w:pPr>
        <w:spacing w:line="560" w:lineRule="exact"/>
        <w:jc w:val="center"/>
        <w:rPr>
          <w:rFonts w:ascii="黑体" w:hAnsi="黑体" w:eastAsia="黑体"/>
          <w:color w:val="auto"/>
          <w:sz w:val="44"/>
          <w:szCs w:val="44"/>
          <w:highlight w:val="none"/>
        </w:rPr>
      </w:pPr>
      <w:r>
        <w:rPr>
          <w:rFonts w:ascii="仿宋_GB2312" w:hAnsi="仿宋" w:eastAsia="仿宋_GB2312"/>
          <w:b/>
          <w:bCs/>
          <w:color w:val="auto"/>
          <w:sz w:val="30"/>
          <w:szCs w:val="30"/>
          <w:highlight w:val="none"/>
        </w:rPr>
        <w:br w:type="page"/>
      </w:r>
      <w:r>
        <w:rPr>
          <w:rFonts w:hint="eastAsia" w:ascii="黑体" w:hAnsi="黑体" w:eastAsia="黑体"/>
          <w:color w:val="auto"/>
          <w:sz w:val="44"/>
          <w:szCs w:val="44"/>
          <w:highlight w:val="none"/>
        </w:rPr>
        <w:t>质保期内能供应的备品备件价格明细表（如有）</w:t>
      </w:r>
    </w:p>
    <w:p w14:paraId="048B9E39">
      <w:pPr>
        <w:ind w:right="280"/>
        <w:jc w:val="right"/>
        <w:rPr>
          <w:rFonts w:ascii="仿宋_GB2312" w:hAnsi="仿宋" w:eastAsia="仿宋_GB2312"/>
          <w:bCs/>
          <w:color w:val="auto"/>
          <w:sz w:val="30"/>
          <w:szCs w:val="30"/>
          <w:highlight w:val="none"/>
          <w:u w:val="single"/>
        </w:rPr>
      </w:pPr>
      <w:r>
        <w:rPr>
          <w:rFonts w:hint="eastAsia" w:ascii="仿宋_GB2312" w:hAnsi="仿宋" w:eastAsia="仿宋_GB2312"/>
          <w:color w:val="auto"/>
          <w:sz w:val="30"/>
          <w:szCs w:val="30"/>
          <w:highlight w:val="none"/>
        </w:rPr>
        <w:t>单位：元</w:t>
      </w:r>
    </w:p>
    <w:tbl>
      <w:tblPr>
        <w:tblStyle w:val="35"/>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800"/>
        <w:gridCol w:w="2340"/>
        <w:gridCol w:w="900"/>
        <w:gridCol w:w="1260"/>
        <w:gridCol w:w="1080"/>
        <w:gridCol w:w="1170"/>
      </w:tblGrid>
      <w:tr w14:paraId="2239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36"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10579309">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序号</w:t>
            </w:r>
          </w:p>
        </w:tc>
        <w:tc>
          <w:tcPr>
            <w:tcW w:w="1800" w:type="dxa"/>
            <w:tcBorders>
              <w:top w:val="single" w:color="auto" w:sz="4" w:space="0"/>
              <w:left w:val="single" w:color="auto" w:sz="4" w:space="0"/>
              <w:bottom w:val="single" w:color="auto" w:sz="4" w:space="0"/>
              <w:right w:val="single" w:color="auto" w:sz="4" w:space="0"/>
            </w:tcBorders>
            <w:vAlign w:val="center"/>
          </w:tcPr>
          <w:p w14:paraId="54D1CB1C">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备品备件、</w:t>
            </w:r>
          </w:p>
          <w:p w14:paraId="4E76565D">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易损件名称</w:t>
            </w:r>
          </w:p>
        </w:tc>
        <w:tc>
          <w:tcPr>
            <w:tcW w:w="2340" w:type="dxa"/>
            <w:tcBorders>
              <w:top w:val="single" w:color="auto" w:sz="4" w:space="0"/>
              <w:left w:val="single" w:color="auto" w:sz="4" w:space="0"/>
              <w:bottom w:val="single" w:color="auto" w:sz="4" w:space="0"/>
              <w:right w:val="single" w:color="auto" w:sz="4" w:space="0"/>
            </w:tcBorders>
            <w:vAlign w:val="center"/>
          </w:tcPr>
          <w:p w14:paraId="0E581F9E">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FCF47AF">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vAlign w:val="center"/>
          </w:tcPr>
          <w:p w14:paraId="17036064">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vAlign w:val="center"/>
          </w:tcPr>
          <w:p w14:paraId="2EAB0485">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vAlign w:val="center"/>
          </w:tcPr>
          <w:p w14:paraId="51871D4F">
            <w:pPr>
              <w:spacing w:line="360" w:lineRule="auto"/>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备注</w:t>
            </w:r>
          </w:p>
        </w:tc>
      </w:tr>
      <w:tr w14:paraId="543D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23D3BD09">
            <w:pPr>
              <w:spacing w:line="360" w:lineRule="auto"/>
              <w:jc w:val="center"/>
              <w:rPr>
                <w:rFonts w:ascii="仿宋_GB2312" w:hAnsi="仿宋" w:eastAsia="仿宋_GB2312"/>
                <w:color w:val="auto"/>
                <w:sz w:val="30"/>
                <w:szCs w:val="30"/>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6476CEB5">
            <w:pPr>
              <w:spacing w:line="360" w:lineRule="auto"/>
              <w:jc w:val="center"/>
              <w:rPr>
                <w:rFonts w:ascii="仿宋_GB2312" w:hAnsi="仿宋" w:eastAsia="仿宋_GB2312"/>
                <w:color w:val="auto"/>
                <w:sz w:val="30"/>
                <w:szCs w:val="30"/>
                <w:highlight w:val="none"/>
              </w:rPr>
            </w:pPr>
          </w:p>
        </w:tc>
        <w:tc>
          <w:tcPr>
            <w:tcW w:w="2340" w:type="dxa"/>
            <w:tcBorders>
              <w:top w:val="single" w:color="auto" w:sz="4" w:space="0"/>
              <w:left w:val="single" w:color="auto" w:sz="4" w:space="0"/>
              <w:bottom w:val="single" w:color="auto" w:sz="4" w:space="0"/>
              <w:right w:val="single" w:color="auto" w:sz="4" w:space="0"/>
            </w:tcBorders>
            <w:vAlign w:val="center"/>
          </w:tcPr>
          <w:p w14:paraId="13156232">
            <w:pPr>
              <w:spacing w:line="360" w:lineRule="auto"/>
              <w:jc w:val="center"/>
              <w:rPr>
                <w:rFonts w:ascii="仿宋_GB2312" w:hAnsi="仿宋" w:eastAsia="仿宋_GB2312"/>
                <w:color w:val="auto"/>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22912C5">
            <w:pPr>
              <w:spacing w:line="360" w:lineRule="auto"/>
              <w:jc w:val="center"/>
              <w:rPr>
                <w:rFonts w:ascii="仿宋_GB2312" w:hAnsi="仿宋" w:eastAsia="仿宋_GB2312"/>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B238112">
            <w:pPr>
              <w:spacing w:line="360" w:lineRule="auto"/>
              <w:jc w:val="center"/>
              <w:rPr>
                <w:rFonts w:ascii="仿宋_GB2312" w:hAnsi="仿宋" w:eastAsia="仿宋_GB2312"/>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248A50A">
            <w:pPr>
              <w:spacing w:line="360" w:lineRule="auto"/>
              <w:jc w:val="center"/>
              <w:rPr>
                <w:rFonts w:ascii="仿宋_GB2312" w:hAnsi="仿宋" w:eastAsia="仿宋_GB2312"/>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vAlign w:val="center"/>
          </w:tcPr>
          <w:p w14:paraId="70A1F156">
            <w:pPr>
              <w:spacing w:line="360" w:lineRule="auto"/>
              <w:jc w:val="center"/>
              <w:rPr>
                <w:rFonts w:ascii="仿宋_GB2312" w:hAnsi="仿宋" w:eastAsia="仿宋_GB2312"/>
                <w:color w:val="auto"/>
                <w:sz w:val="30"/>
                <w:szCs w:val="30"/>
                <w:highlight w:val="none"/>
              </w:rPr>
            </w:pPr>
          </w:p>
        </w:tc>
      </w:tr>
      <w:tr w14:paraId="41CE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25167431">
            <w:pPr>
              <w:spacing w:line="360" w:lineRule="auto"/>
              <w:jc w:val="center"/>
              <w:rPr>
                <w:rFonts w:ascii="仿宋_GB2312" w:hAnsi="仿宋" w:eastAsia="仿宋_GB2312"/>
                <w:color w:val="auto"/>
                <w:sz w:val="30"/>
                <w:szCs w:val="30"/>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410E2CF2">
            <w:pPr>
              <w:spacing w:line="360" w:lineRule="auto"/>
              <w:jc w:val="center"/>
              <w:rPr>
                <w:rFonts w:ascii="仿宋_GB2312" w:hAnsi="仿宋" w:eastAsia="仿宋_GB2312"/>
                <w:color w:val="auto"/>
                <w:sz w:val="30"/>
                <w:szCs w:val="30"/>
                <w:highlight w:val="none"/>
              </w:rPr>
            </w:pPr>
          </w:p>
        </w:tc>
        <w:tc>
          <w:tcPr>
            <w:tcW w:w="2340" w:type="dxa"/>
            <w:tcBorders>
              <w:top w:val="single" w:color="auto" w:sz="4" w:space="0"/>
              <w:left w:val="single" w:color="auto" w:sz="4" w:space="0"/>
              <w:bottom w:val="single" w:color="auto" w:sz="4" w:space="0"/>
              <w:right w:val="single" w:color="auto" w:sz="4" w:space="0"/>
            </w:tcBorders>
            <w:vAlign w:val="center"/>
          </w:tcPr>
          <w:p w14:paraId="7C4E085D">
            <w:pPr>
              <w:spacing w:line="360" w:lineRule="auto"/>
              <w:jc w:val="center"/>
              <w:rPr>
                <w:rFonts w:ascii="仿宋_GB2312" w:hAnsi="仿宋" w:eastAsia="仿宋_GB2312"/>
                <w:color w:val="auto"/>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AFD4194">
            <w:pPr>
              <w:spacing w:line="360" w:lineRule="auto"/>
              <w:jc w:val="center"/>
              <w:rPr>
                <w:rFonts w:ascii="仿宋_GB2312" w:hAnsi="仿宋" w:eastAsia="仿宋_GB2312"/>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4133EDD">
            <w:pPr>
              <w:spacing w:line="360" w:lineRule="auto"/>
              <w:jc w:val="center"/>
              <w:rPr>
                <w:rFonts w:ascii="仿宋_GB2312" w:hAnsi="仿宋" w:eastAsia="仿宋_GB2312"/>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4F9F0A5">
            <w:pPr>
              <w:spacing w:line="360" w:lineRule="auto"/>
              <w:jc w:val="center"/>
              <w:rPr>
                <w:rFonts w:ascii="仿宋_GB2312" w:hAnsi="仿宋" w:eastAsia="仿宋_GB2312"/>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vAlign w:val="center"/>
          </w:tcPr>
          <w:p w14:paraId="7E4BBEC4">
            <w:pPr>
              <w:spacing w:line="360" w:lineRule="auto"/>
              <w:jc w:val="center"/>
              <w:rPr>
                <w:rFonts w:ascii="仿宋_GB2312" w:hAnsi="仿宋" w:eastAsia="仿宋_GB2312"/>
                <w:color w:val="auto"/>
                <w:sz w:val="30"/>
                <w:szCs w:val="30"/>
                <w:highlight w:val="none"/>
              </w:rPr>
            </w:pPr>
          </w:p>
        </w:tc>
      </w:tr>
      <w:tr w14:paraId="33F7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6CA81E90">
            <w:pPr>
              <w:spacing w:line="360" w:lineRule="auto"/>
              <w:jc w:val="center"/>
              <w:rPr>
                <w:rFonts w:ascii="仿宋_GB2312" w:hAnsi="仿宋" w:eastAsia="仿宋_GB2312"/>
                <w:color w:val="auto"/>
                <w:sz w:val="30"/>
                <w:szCs w:val="30"/>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1C1AD51C">
            <w:pPr>
              <w:spacing w:line="360" w:lineRule="auto"/>
              <w:jc w:val="center"/>
              <w:rPr>
                <w:rFonts w:ascii="仿宋_GB2312" w:hAnsi="仿宋" w:eastAsia="仿宋_GB2312"/>
                <w:color w:val="auto"/>
                <w:sz w:val="30"/>
                <w:szCs w:val="30"/>
                <w:highlight w:val="none"/>
              </w:rPr>
            </w:pPr>
          </w:p>
        </w:tc>
        <w:tc>
          <w:tcPr>
            <w:tcW w:w="2340" w:type="dxa"/>
            <w:tcBorders>
              <w:top w:val="single" w:color="auto" w:sz="4" w:space="0"/>
              <w:left w:val="single" w:color="auto" w:sz="4" w:space="0"/>
              <w:bottom w:val="single" w:color="auto" w:sz="4" w:space="0"/>
              <w:right w:val="single" w:color="auto" w:sz="4" w:space="0"/>
            </w:tcBorders>
            <w:vAlign w:val="center"/>
          </w:tcPr>
          <w:p w14:paraId="0FA9F147">
            <w:pPr>
              <w:spacing w:line="360" w:lineRule="auto"/>
              <w:jc w:val="center"/>
              <w:rPr>
                <w:rFonts w:ascii="仿宋_GB2312" w:hAnsi="仿宋" w:eastAsia="仿宋_GB2312"/>
                <w:color w:val="auto"/>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45468E1">
            <w:pPr>
              <w:spacing w:line="360" w:lineRule="auto"/>
              <w:jc w:val="center"/>
              <w:rPr>
                <w:rFonts w:ascii="仿宋_GB2312" w:hAnsi="仿宋" w:eastAsia="仿宋_GB2312"/>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79F67EE">
            <w:pPr>
              <w:spacing w:line="360" w:lineRule="auto"/>
              <w:jc w:val="center"/>
              <w:rPr>
                <w:rFonts w:ascii="仿宋_GB2312" w:hAnsi="仿宋" w:eastAsia="仿宋_GB2312"/>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A46DD8A">
            <w:pPr>
              <w:spacing w:line="360" w:lineRule="auto"/>
              <w:jc w:val="center"/>
              <w:rPr>
                <w:rFonts w:ascii="仿宋_GB2312" w:hAnsi="仿宋" w:eastAsia="仿宋_GB2312"/>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vAlign w:val="center"/>
          </w:tcPr>
          <w:p w14:paraId="7B6125EF">
            <w:pPr>
              <w:spacing w:line="360" w:lineRule="auto"/>
              <w:jc w:val="center"/>
              <w:rPr>
                <w:rFonts w:ascii="仿宋_GB2312" w:hAnsi="仿宋" w:eastAsia="仿宋_GB2312"/>
                <w:color w:val="auto"/>
                <w:sz w:val="30"/>
                <w:szCs w:val="30"/>
                <w:highlight w:val="none"/>
              </w:rPr>
            </w:pPr>
          </w:p>
        </w:tc>
      </w:tr>
      <w:tr w14:paraId="5BF6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23F80525">
            <w:pPr>
              <w:spacing w:line="360" w:lineRule="auto"/>
              <w:jc w:val="center"/>
              <w:rPr>
                <w:rFonts w:ascii="仿宋_GB2312" w:hAnsi="仿宋" w:eastAsia="仿宋_GB2312"/>
                <w:color w:val="auto"/>
                <w:sz w:val="30"/>
                <w:szCs w:val="30"/>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7A9782BB">
            <w:pPr>
              <w:spacing w:line="360" w:lineRule="auto"/>
              <w:jc w:val="center"/>
              <w:rPr>
                <w:rFonts w:ascii="仿宋_GB2312" w:hAnsi="仿宋" w:eastAsia="仿宋_GB2312"/>
                <w:color w:val="auto"/>
                <w:sz w:val="30"/>
                <w:szCs w:val="30"/>
                <w:highlight w:val="none"/>
              </w:rPr>
            </w:pPr>
          </w:p>
        </w:tc>
        <w:tc>
          <w:tcPr>
            <w:tcW w:w="2340" w:type="dxa"/>
            <w:tcBorders>
              <w:top w:val="single" w:color="auto" w:sz="4" w:space="0"/>
              <w:left w:val="single" w:color="auto" w:sz="4" w:space="0"/>
              <w:bottom w:val="single" w:color="auto" w:sz="4" w:space="0"/>
              <w:right w:val="single" w:color="auto" w:sz="4" w:space="0"/>
            </w:tcBorders>
            <w:vAlign w:val="center"/>
          </w:tcPr>
          <w:p w14:paraId="5898B15D">
            <w:pPr>
              <w:spacing w:line="360" w:lineRule="auto"/>
              <w:jc w:val="center"/>
              <w:rPr>
                <w:rFonts w:ascii="仿宋_GB2312" w:hAnsi="仿宋" w:eastAsia="仿宋_GB2312"/>
                <w:color w:val="auto"/>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C4B138B">
            <w:pPr>
              <w:spacing w:line="360" w:lineRule="auto"/>
              <w:jc w:val="center"/>
              <w:rPr>
                <w:rFonts w:ascii="仿宋_GB2312" w:hAnsi="仿宋" w:eastAsia="仿宋_GB2312"/>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DD948DD">
            <w:pPr>
              <w:spacing w:line="360" w:lineRule="auto"/>
              <w:jc w:val="center"/>
              <w:rPr>
                <w:rFonts w:ascii="仿宋_GB2312" w:hAnsi="仿宋" w:eastAsia="仿宋_GB2312"/>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1433DA3">
            <w:pPr>
              <w:spacing w:line="360" w:lineRule="auto"/>
              <w:jc w:val="center"/>
              <w:rPr>
                <w:rFonts w:ascii="仿宋_GB2312" w:hAnsi="仿宋" w:eastAsia="仿宋_GB2312"/>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vAlign w:val="center"/>
          </w:tcPr>
          <w:p w14:paraId="3E1BA10B">
            <w:pPr>
              <w:spacing w:line="360" w:lineRule="auto"/>
              <w:jc w:val="center"/>
              <w:rPr>
                <w:rFonts w:ascii="仿宋_GB2312" w:hAnsi="仿宋" w:eastAsia="仿宋_GB2312"/>
                <w:color w:val="auto"/>
                <w:sz w:val="30"/>
                <w:szCs w:val="30"/>
                <w:highlight w:val="none"/>
              </w:rPr>
            </w:pPr>
          </w:p>
        </w:tc>
      </w:tr>
      <w:tr w14:paraId="1290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9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14:paraId="3D2BFF6D">
            <w:pPr>
              <w:spacing w:line="360" w:lineRule="auto"/>
              <w:jc w:val="center"/>
              <w:rPr>
                <w:rFonts w:ascii="仿宋_GB2312" w:hAnsi="仿宋" w:eastAsia="仿宋_GB2312"/>
                <w:color w:val="auto"/>
                <w:sz w:val="30"/>
                <w:szCs w:val="30"/>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75C1742E">
            <w:pPr>
              <w:spacing w:line="360" w:lineRule="auto"/>
              <w:jc w:val="center"/>
              <w:rPr>
                <w:rFonts w:ascii="仿宋_GB2312" w:hAnsi="仿宋" w:eastAsia="仿宋_GB2312"/>
                <w:color w:val="auto"/>
                <w:sz w:val="30"/>
                <w:szCs w:val="30"/>
                <w:highlight w:val="none"/>
              </w:rPr>
            </w:pPr>
          </w:p>
        </w:tc>
        <w:tc>
          <w:tcPr>
            <w:tcW w:w="2340" w:type="dxa"/>
            <w:tcBorders>
              <w:top w:val="single" w:color="auto" w:sz="4" w:space="0"/>
              <w:left w:val="single" w:color="auto" w:sz="4" w:space="0"/>
              <w:bottom w:val="single" w:color="auto" w:sz="4" w:space="0"/>
              <w:right w:val="single" w:color="auto" w:sz="4" w:space="0"/>
            </w:tcBorders>
            <w:vAlign w:val="center"/>
          </w:tcPr>
          <w:p w14:paraId="34C5D508">
            <w:pPr>
              <w:spacing w:line="360" w:lineRule="auto"/>
              <w:jc w:val="center"/>
              <w:rPr>
                <w:rFonts w:ascii="仿宋_GB2312" w:hAnsi="仿宋" w:eastAsia="仿宋_GB2312"/>
                <w:color w:val="auto"/>
                <w:sz w:val="30"/>
                <w:szCs w:val="30"/>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3296DC9">
            <w:pPr>
              <w:spacing w:line="360" w:lineRule="auto"/>
              <w:jc w:val="center"/>
              <w:rPr>
                <w:rFonts w:ascii="仿宋_GB2312" w:hAnsi="仿宋" w:eastAsia="仿宋_GB2312"/>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0884CD2">
            <w:pPr>
              <w:spacing w:line="360" w:lineRule="auto"/>
              <w:jc w:val="center"/>
              <w:rPr>
                <w:rFonts w:ascii="仿宋_GB2312" w:hAnsi="仿宋" w:eastAsia="仿宋_GB2312"/>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4FDD4BE">
            <w:pPr>
              <w:spacing w:line="360" w:lineRule="auto"/>
              <w:jc w:val="center"/>
              <w:rPr>
                <w:rFonts w:ascii="仿宋_GB2312" w:hAnsi="仿宋" w:eastAsia="仿宋_GB2312"/>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vAlign w:val="center"/>
          </w:tcPr>
          <w:p w14:paraId="79F2402F">
            <w:pPr>
              <w:spacing w:line="360" w:lineRule="auto"/>
              <w:jc w:val="center"/>
              <w:rPr>
                <w:rFonts w:ascii="仿宋_GB2312" w:hAnsi="仿宋" w:eastAsia="仿宋_GB2312"/>
                <w:color w:val="auto"/>
                <w:sz w:val="30"/>
                <w:szCs w:val="30"/>
                <w:highlight w:val="none"/>
              </w:rPr>
            </w:pPr>
          </w:p>
        </w:tc>
      </w:tr>
    </w:tbl>
    <w:p w14:paraId="5E866D87">
      <w:pPr>
        <w:spacing w:line="360" w:lineRule="exact"/>
        <w:rPr>
          <w:rFonts w:ascii="仿宋_GB2312" w:hAnsi="仿宋" w:eastAsia="仿宋_GB2312"/>
          <w:color w:val="auto"/>
          <w:sz w:val="28"/>
          <w:highlight w:val="none"/>
        </w:rPr>
      </w:pPr>
    </w:p>
    <w:p w14:paraId="043DF153">
      <w:pPr>
        <w:spacing w:line="360" w:lineRule="exact"/>
        <w:rPr>
          <w:rFonts w:ascii="仿宋_GB2312" w:hAnsi="仿宋" w:eastAsia="仿宋_GB2312"/>
          <w:color w:val="auto"/>
          <w:sz w:val="28"/>
          <w:highlight w:val="none"/>
        </w:rPr>
      </w:pPr>
    </w:p>
    <w:p w14:paraId="3A94151F">
      <w:pPr>
        <w:wordWrap w:val="0"/>
        <w:spacing w:line="520" w:lineRule="exact"/>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报价供应商(盖章):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1270BEA0">
      <w:pPr>
        <w:wordWrap w:val="0"/>
        <w:spacing w:line="440" w:lineRule="exact"/>
        <w:jc w:val="right"/>
        <w:rPr>
          <w:rFonts w:ascii="仿宋_GB2312" w:hAnsi="宋体" w:eastAsia="仿宋_GB2312"/>
          <w:b/>
          <w:color w:val="auto"/>
          <w:sz w:val="28"/>
          <w:szCs w:val="28"/>
          <w:highlight w:val="none"/>
        </w:rPr>
      </w:pPr>
      <w:r>
        <w:rPr>
          <w:rFonts w:hint="eastAsia" w:ascii="仿宋_GB2312" w:hAnsi="仿宋" w:eastAsia="仿宋_GB2312"/>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0BC7ED61">
      <w:pPr>
        <w:jc w:val="center"/>
        <w:rPr>
          <w:rFonts w:ascii="黑体" w:hAnsi="黑体" w:eastAsia="黑体"/>
          <w:color w:val="auto"/>
          <w:sz w:val="32"/>
          <w:szCs w:val="32"/>
          <w:highlight w:val="none"/>
        </w:rPr>
      </w:pPr>
      <w:r>
        <w:rPr>
          <w:rFonts w:ascii="仿宋_GB2312" w:hAnsi="仿宋" w:eastAsia="仿宋_GB2312"/>
          <w:b/>
          <w:bCs/>
          <w:color w:val="auto"/>
          <w:sz w:val="30"/>
          <w:szCs w:val="30"/>
          <w:highlight w:val="none"/>
        </w:rPr>
        <w:br w:type="page"/>
      </w:r>
      <w:r>
        <w:rPr>
          <w:rFonts w:hint="eastAsia" w:ascii="黑体" w:hAnsi="黑体" w:eastAsia="黑体"/>
          <w:color w:val="auto"/>
          <w:sz w:val="32"/>
          <w:szCs w:val="32"/>
          <w:highlight w:val="none"/>
        </w:rPr>
        <w:t>项目负责人及拟派主要人员情况表</w:t>
      </w:r>
    </w:p>
    <w:tbl>
      <w:tblPr>
        <w:tblStyle w:val="35"/>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246"/>
        <w:gridCol w:w="1254"/>
        <w:gridCol w:w="164"/>
        <w:gridCol w:w="2091"/>
      </w:tblGrid>
      <w:tr w14:paraId="6F46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5B9A237B">
            <w:pPr>
              <w:spacing w:line="460" w:lineRule="exact"/>
              <w:jc w:val="center"/>
              <w:rPr>
                <w:rFonts w:ascii="仿宋_GB2312" w:hAnsi="仿宋" w:eastAsia="仿宋_GB2312"/>
                <w:b/>
                <w:color w:val="auto"/>
                <w:sz w:val="30"/>
                <w:szCs w:val="30"/>
                <w:highlight w:val="none"/>
              </w:rPr>
            </w:pPr>
            <w:r>
              <w:rPr>
                <w:rFonts w:hint="eastAsia" w:ascii="仿宋_GB2312" w:hAnsi="仿宋" w:eastAsia="仿宋_GB2312"/>
                <w:color w:val="auto"/>
                <w:sz w:val="30"/>
                <w:szCs w:val="30"/>
                <w:highlight w:val="none"/>
              </w:rPr>
              <w:t>项目负责人情况</w:t>
            </w:r>
          </w:p>
        </w:tc>
      </w:tr>
      <w:tr w14:paraId="6263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64B3569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267907F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6AD589D3">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5B62C2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68509E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21747C3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0D56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6752EA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54450F2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5487468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2B7841B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35FC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421F020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2A0027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90EF0F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CA03CE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5645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C39259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6203F68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6DB7080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41FA34E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7963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51D4B4E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近三年承担的项目情况一览表</w:t>
            </w:r>
          </w:p>
        </w:tc>
      </w:tr>
      <w:tr w14:paraId="0423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47C4F2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45F040A">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6F3C38A">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95F586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46CE673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联系人及电话</w:t>
            </w:r>
          </w:p>
        </w:tc>
      </w:tr>
      <w:tr w14:paraId="2AE8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5B7BC95">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F45E3C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0D131FA">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8DFE63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7E019EF5">
            <w:pPr>
              <w:spacing w:line="460" w:lineRule="exact"/>
              <w:jc w:val="center"/>
              <w:rPr>
                <w:rFonts w:ascii="仿宋_GB2312" w:hAnsi="仿宋" w:eastAsia="仿宋_GB2312"/>
                <w:color w:val="auto"/>
                <w:sz w:val="30"/>
                <w:szCs w:val="30"/>
                <w:highlight w:val="none"/>
              </w:rPr>
            </w:pPr>
          </w:p>
        </w:tc>
      </w:tr>
      <w:tr w14:paraId="596C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4F5D407">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2720BF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983E44F">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4AD185">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1E93F4CA">
            <w:pPr>
              <w:spacing w:line="460" w:lineRule="exact"/>
              <w:jc w:val="center"/>
              <w:rPr>
                <w:rFonts w:ascii="仿宋_GB2312" w:hAnsi="仿宋" w:eastAsia="仿宋_GB2312"/>
                <w:color w:val="auto"/>
                <w:sz w:val="30"/>
                <w:szCs w:val="30"/>
                <w:highlight w:val="none"/>
              </w:rPr>
            </w:pPr>
          </w:p>
        </w:tc>
      </w:tr>
      <w:tr w14:paraId="6333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CA88036">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2A6F1E1">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A87D10F">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20E815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0BCFA0AE">
            <w:pPr>
              <w:spacing w:line="460" w:lineRule="exact"/>
              <w:jc w:val="center"/>
              <w:rPr>
                <w:rFonts w:ascii="仿宋_GB2312" w:hAnsi="仿宋" w:eastAsia="仿宋_GB2312"/>
                <w:color w:val="auto"/>
                <w:sz w:val="30"/>
                <w:szCs w:val="30"/>
                <w:highlight w:val="none"/>
              </w:rPr>
            </w:pPr>
          </w:p>
        </w:tc>
      </w:tr>
      <w:tr w14:paraId="3F3F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5BFA102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其他人员情况</w:t>
            </w:r>
          </w:p>
        </w:tc>
      </w:tr>
      <w:tr w14:paraId="0365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13FC28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03E9CA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771E5F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AA2F78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4F43B75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w:t>
            </w:r>
          </w:p>
          <w:p w14:paraId="4EF1960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时间</w:t>
            </w:r>
          </w:p>
        </w:tc>
      </w:tr>
      <w:tr w14:paraId="2975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B4747E7">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224B8C8">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C0B96D4">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3CFE3CB">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4CD2081">
            <w:pPr>
              <w:spacing w:line="460" w:lineRule="exact"/>
              <w:jc w:val="center"/>
              <w:rPr>
                <w:rFonts w:ascii="仿宋_GB2312" w:hAnsi="仿宋" w:eastAsia="仿宋_GB2312"/>
                <w:color w:val="auto"/>
                <w:sz w:val="30"/>
                <w:szCs w:val="30"/>
                <w:highlight w:val="none"/>
              </w:rPr>
            </w:pPr>
          </w:p>
        </w:tc>
      </w:tr>
      <w:tr w14:paraId="130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B90C9D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255459D">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B3B15C3">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1402FFC">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7414C95D">
            <w:pPr>
              <w:spacing w:line="460" w:lineRule="exact"/>
              <w:jc w:val="center"/>
              <w:rPr>
                <w:rFonts w:ascii="仿宋_GB2312" w:hAnsi="仿宋" w:eastAsia="仿宋_GB2312"/>
                <w:color w:val="auto"/>
                <w:sz w:val="30"/>
                <w:szCs w:val="30"/>
                <w:highlight w:val="none"/>
              </w:rPr>
            </w:pPr>
          </w:p>
        </w:tc>
      </w:tr>
      <w:tr w14:paraId="717E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F8AC505">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1A0F0F2">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196BBC8">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408645C">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A1FE247">
            <w:pPr>
              <w:spacing w:line="460" w:lineRule="exact"/>
              <w:jc w:val="center"/>
              <w:rPr>
                <w:rFonts w:ascii="仿宋_GB2312" w:hAnsi="仿宋" w:eastAsia="仿宋_GB2312"/>
                <w:color w:val="auto"/>
                <w:sz w:val="30"/>
                <w:szCs w:val="30"/>
                <w:highlight w:val="none"/>
              </w:rPr>
            </w:pPr>
          </w:p>
        </w:tc>
      </w:tr>
      <w:tr w14:paraId="7D86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162161E">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66D5ECA">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8086C2F">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FD8117B">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0C7DC6E3">
            <w:pPr>
              <w:spacing w:line="460" w:lineRule="exact"/>
              <w:jc w:val="center"/>
              <w:rPr>
                <w:rFonts w:ascii="仿宋_GB2312" w:hAnsi="仿宋" w:eastAsia="仿宋_GB2312"/>
                <w:color w:val="auto"/>
                <w:sz w:val="30"/>
                <w:szCs w:val="30"/>
                <w:highlight w:val="none"/>
              </w:rPr>
            </w:pPr>
          </w:p>
        </w:tc>
      </w:tr>
    </w:tbl>
    <w:p w14:paraId="33F7905D">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1BB25E13">
      <w:pPr>
        <w:spacing w:line="460" w:lineRule="exact"/>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2、表后附拟派人员职业/职称、资格证书等相关证书扫描件。</w:t>
      </w:r>
    </w:p>
    <w:p w14:paraId="680DE5B6">
      <w:pPr>
        <w:spacing w:line="460" w:lineRule="exact"/>
        <w:ind w:firstLine="420" w:firstLineChars="200"/>
        <w:rPr>
          <w:rFonts w:ascii="仿宋_GB2312" w:hAnsi="宋体" w:eastAsia="仿宋_GB2312"/>
          <w:color w:val="auto"/>
          <w:highlight w:val="none"/>
        </w:rPr>
      </w:pPr>
    </w:p>
    <w:p w14:paraId="4F4EB9B7">
      <w:pPr>
        <w:wordWrap w:val="0"/>
        <w:spacing w:line="520" w:lineRule="exact"/>
        <w:ind w:firstLine="3900" w:firstLineChars="1300"/>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供应商名称(盖章):     </w:t>
      </w:r>
    </w:p>
    <w:p w14:paraId="39D8D023">
      <w:pPr>
        <w:widowControl/>
        <w:wordWrap w:val="0"/>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7B252669">
      <w:pPr>
        <w:spacing w:line="560" w:lineRule="exact"/>
        <w:jc w:val="center"/>
        <w:rPr>
          <w:rFonts w:ascii="黑体" w:hAnsi="黑体" w:eastAsia="黑体"/>
          <w:color w:val="auto"/>
          <w:sz w:val="44"/>
          <w:szCs w:val="44"/>
          <w:highlight w:val="none"/>
        </w:rPr>
      </w:pPr>
      <w:r>
        <w:rPr>
          <w:rFonts w:ascii="仿宋_GB2312" w:hAnsi="仿宋" w:eastAsia="仿宋_GB2312"/>
          <w:color w:val="auto"/>
          <w:sz w:val="30"/>
          <w:szCs w:val="30"/>
          <w:highlight w:val="none"/>
        </w:rPr>
        <w:br w:type="page"/>
      </w:r>
      <w:r>
        <w:rPr>
          <w:rFonts w:hint="eastAsia" w:ascii="黑体" w:hAnsi="黑体" w:eastAsia="黑体"/>
          <w:color w:val="auto"/>
          <w:sz w:val="44"/>
          <w:szCs w:val="44"/>
          <w:highlight w:val="none"/>
        </w:rPr>
        <w:t>技术文件</w:t>
      </w:r>
    </w:p>
    <w:p w14:paraId="171734DA">
      <w:pPr>
        <w:widowControl/>
        <w:jc w:val="center"/>
        <w:rPr>
          <w:rFonts w:ascii="黑体" w:hAnsi="黑体" w:eastAsia="黑体"/>
          <w:color w:val="auto"/>
          <w:sz w:val="32"/>
          <w:szCs w:val="32"/>
          <w:highlight w:val="none"/>
        </w:rPr>
      </w:pPr>
      <w:r>
        <w:rPr>
          <w:rFonts w:ascii="仿宋_GB2312" w:hAnsi="仿宋" w:eastAsia="仿宋_GB2312"/>
          <w:color w:val="auto"/>
          <w:sz w:val="30"/>
          <w:szCs w:val="30"/>
          <w:highlight w:val="none"/>
        </w:rPr>
        <w:br w:type="page"/>
      </w:r>
      <w:r>
        <w:rPr>
          <w:rFonts w:hint="eastAsia" w:ascii="黑体" w:hAnsi="黑体" w:eastAsia="黑体"/>
          <w:color w:val="auto"/>
          <w:sz w:val="32"/>
          <w:szCs w:val="32"/>
          <w:highlight w:val="none"/>
        </w:rPr>
        <w:t>技术服务、培训和售后服务内容及承诺书</w:t>
      </w:r>
    </w:p>
    <w:p w14:paraId="3AB12507">
      <w:pPr>
        <w:rPr>
          <w:rFonts w:ascii="仿宋" w:hAnsi="仿宋" w:eastAsia="仿宋"/>
          <w:color w:val="auto"/>
          <w:highlight w:val="none"/>
        </w:rPr>
      </w:pPr>
    </w:p>
    <w:tbl>
      <w:tblPr>
        <w:tblStyle w:val="3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0FE4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tcPr>
          <w:p w14:paraId="4B3574B8">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技术、培训和售后服务承诺：</w:t>
            </w:r>
          </w:p>
          <w:p w14:paraId="5D169132">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tc>
      </w:tr>
      <w:tr w14:paraId="2006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tcPr>
          <w:p w14:paraId="7BBC8617">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售后服务承诺至少包含下列内容</w:t>
            </w:r>
          </w:p>
          <w:p w14:paraId="174BC0DB">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响应时间：</w:t>
            </w:r>
          </w:p>
          <w:p w14:paraId="4E27CF77">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到达现场时间：</w:t>
            </w:r>
          </w:p>
          <w:p w14:paraId="7E399881">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完成修复时间：</w:t>
            </w:r>
          </w:p>
          <w:p w14:paraId="0E119BD0">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不能修复的保证措施：</w:t>
            </w:r>
          </w:p>
          <w:p w14:paraId="304D6876">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质保期内措施：</w:t>
            </w:r>
          </w:p>
          <w:p w14:paraId="1441C472">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质保期外措施：</w:t>
            </w:r>
          </w:p>
          <w:p w14:paraId="65745C79">
            <w:pPr>
              <w:tabs>
                <w:tab w:val="left" w:pos="1005"/>
              </w:tabs>
              <w:spacing w:line="440" w:lineRule="exac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w:t>
            </w:r>
          </w:p>
        </w:tc>
      </w:tr>
    </w:tbl>
    <w:p w14:paraId="09E4FB51">
      <w:pPr>
        <w:ind w:firstLine="4200" w:firstLineChars="1400"/>
        <w:rPr>
          <w:rFonts w:ascii="仿宋" w:hAnsi="仿宋" w:eastAsia="仿宋"/>
          <w:color w:val="auto"/>
          <w:sz w:val="30"/>
          <w:szCs w:val="30"/>
          <w:highlight w:val="none"/>
        </w:rPr>
      </w:pPr>
    </w:p>
    <w:p w14:paraId="459E84DD">
      <w:pPr>
        <w:wordWrap w:val="0"/>
        <w:spacing w:line="520" w:lineRule="exact"/>
        <w:ind w:firstLine="4050" w:firstLineChars="1350"/>
        <w:jc w:val="right"/>
        <w:rPr>
          <w:rFonts w:ascii="仿宋" w:hAnsi="仿宋" w:eastAsia="仿宋"/>
          <w:color w:val="auto"/>
          <w:sz w:val="30"/>
          <w:szCs w:val="30"/>
          <w:highlight w:val="none"/>
        </w:rPr>
      </w:pPr>
      <w:r>
        <w:rPr>
          <w:rFonts w:hint="eastAsia" w:ascii="仿宋" w:hAnsi="仿宋" w:eastAsia="仿宋"/>
          <w:color w:val="auto"/>
          <w:sz w:val="30"/>
          <w:szCs w:val="30"/>
          <w:highlight w:val="none"/>
        </w:rPr>
        <w:t xml:space="preserve">供应商名称(盖章):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r>
        <w:rPr>
          <w:rFonts w:hint="eastAsia" w:ascii="仿宋" w:hAnsi="仿宋" w:eastAsia="仿宋"/>
          <w:color w:val="auto"/>
          <w:sz w:val="30"/>
          <w:szCs w:val="30"/>
          <w:highlight w:val="none"/>
        </w:rPr>
        <w:t xml:space="preserve">   </w:t>
      </w:r>
    </w:p>
    <w:p w14:paraId="55EFAE64">
      <w:pPr>
        <w:wordWrap w:val="0"/>
        <w:spacing w:line="560" w:lineRule="exact"/>
        <w:ind w:firstLine="600" w:firstLineChars="200"/>
        <w:jc w:val="right"/>
        <w:rPr>
          <w:rFonts w:ascii="仿宋_GB2312" w:hAnsi="宋体" w:eastAsia="仿宋_GB2312" w:cs="宋体"/>
          <w:color w:val="auto"/>
          <w:sz w:val="28"/>
          <w:szCs w:val="28"/>
          <w:highlight w:val="none"/>
        </w:rPr>
      </w:pPr>
      <w:r>
        <w:rPr>
          <w:rFonts w:hint="eastAsia" w:ascii="仿宋" w:hAnsi="仿宋" w:eastAsia="仿宋"/>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 w:hAnsi="仿宋" w:eastAsia="仿宋"/>
          <w:color w:val="auto"/>
          <w:sz w:val="30"/>
          <w:szCs w:val="30"/>
          <w:highlight w:val="none"/>
        </w:rPr>
        <w:t xml:space="preserve"> </w:t>
      </w: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r>
        <w:rPr>
          <w:rFonts w:hint="eastAsia" w:ascii="仿宋" w:hAnsi="仿宋" w:eastAsia="仿宋"/>
          <w:color w:val="auto"/>
          <w:sz w:val="30"/>
          <w:szCs w:val="30"/>
          <w:highlight w:val="none"/>
        </w:rPr>
        <w:t xml:space="preserve">   </w:t>
      </w:r>
    </w:p>
    <w:p w14:paraId="0A0F21FD">
      <w:pPr>
        <w:jc w:val="right"/>
        <w:rPr>
          <w:rFonts w:ascii="仿宋_GB2312" w:hAnsi="宋体" w:eastAsia="仿宋_GB2312"/>
          <w:color w:val="auto"/>
          <w:sz w:val="22"/>
          <w:szCs w:val="28"/>
          <w:highlight w:val="none"/>
        </w:rPr>
      </w:pPr>
      <w:r>
        <w:rPr>
          <w:rFonts w:ascii="仿宋_GB2312" w:hAnsi="宋体" w:eastAsia="仿宋_GB2312" w:cs="宋体"/>
          <w:bCs/>
          <w:color w:val="auto"/>
          <w:sz w:val="28"/>
          <w:szCs w:val="28"/>
          <w:highlight w:val="none"/>
        </w:rPr>
        <w:br w:type="page"/>
      </w:r>
      <w:r>
        <w:rPr>
          <w:rFonts w:hint="eastAsia" w:ascii="仿宋_GB2312" w:hAnsi="宋体" w:eastAsia="仿宋_GB2312"/>
          <w:color w:val="auto"/>
          <w:sz w:val="22"/>
          <w:szCs w:val="28"/>
          <w:highlight w:val="none"/>
        </w:rPr>
        <w:t>如中标（成交），随中标（成交）公告公示</w:t>
      </w:r>
    </w:p>
    <w:p w14:paraId="3F00FA4D">
      <w:pPr>
        <w:jc w:val="right"/>
        <w:rPr>
          <w:rFonts w:ascii="仿宋_GB2312" w:hAnsi="宋体" w:eastAsia="仿宋_GB2312" w:cs="宋体"/>
          <w:bCs/>
          <w:color w:val="auto"/>
          <w:sz w:val="28"/>
          <w:szCs w:val="28"/>
          <w:highlight w:val="none"/>
        </w:rPr>
      </w:pPr>
    </w:p>
    <w:p w14:paraId="511764C6">
      <w:pPr>
        <w:jc w:val="center"/>
        <w:rPr>
          <w:rFonts w:ascii="Arial" w:hAnsi="Arial" w:eastAsia="黑体"/>
          <w:bCs/>
          <w:color w:val="auto"/>
          <w:sz w:val="44"/>
          <w:szCs w:val="32"/>
          <w:highlight w:val="none"/>
        </w:rPr>
      </w:pPr>
      <w:r>
        <w:rPr>
          <w:rFonts w:hint="eastAsia" w:ascii="黑体" w:hAnsi="黑体" w:eastAsia="黑体"/>
          <w:color w:val="auto"/>
          <w:sz w:val="44"/>
          <w:szCs w:val="44"/>
          <w:highlight w:val="none"/>
        </w:rPr>
        <w:t>符合政府采购优惠政策的证明材料</w:t>
      </w:r>
    </w:p>
    <w:p w14:paraId="612BAFAB">
      <w:pPr>
        <w:spacing w:line="560" w:lineRule="exact"/>
        <w:rPr>
          <w:rFonts w:ascii="仿宋_GB2312" w:hAnsi="仿宋" w:eastAsia="仿宋_GB2312"/>
          <w:color w:val="auto"/>
          <w:sz w:val="30"/>
          <w:szCs w:val="30"/>
          <w:highlight w:val="none"/>
        </w:rPr>
      </w:pPr>
    </w:p>
    <w:p w14:paraId="3F20B899">
      <w:pPr>
        <w:spacing w:line="560" w:lineRule="exact"/>
        <w:rPr>
          <w:rFonts w:ascii="仿宋_GB2312" w:hAnsi="仿宋" w:eastAsia="仿宋_GB2312"/>
          <w:color w:val="auto"/>
          <w:sz w:val="30"/>
          <w:szCs w:val="30"/>
          <w:highlight w:val="none"/>
        </w:rPr>
      </w:pPr>
    </w:p>
    <w:p w14:paraId="282C69FD">
      <w:pPr>
        <w:spacing w:line="560" w:lineRule="exact"/>
        <w:rPr>
          <w:rFonts w:ascii="仿宋_GB2312" w:hAnsi="仿宋" w:eastAsia="仿宋_GB2312"/>
          <w:color w:val="auto"/>
          <w:sz w:val="30"/>
          <w:szCs w:val="30"/>
          <w:highlight w:val="none"/>
        </w:rPr>
      </w:pPr>
    </w:p>
    <w:p w14:paraId="38AA809D">
      <w:pPr>
        <w:spacing w:line="560" w:lineRule="exact"/>
        <w:rPr>
          <w:rFonts w:ascii="仿宋_GB2312" w:hAnsi="仿宋" w:eastAsia="仿宋_GB2312"/>
          <w:color w:val="auto"/>
          <w:sz w:val="30"/>
          <w:szCs w:val="30"/>
          <w:highlight w:val="none"/>
        </w:rPr>
      </w:pPr>
    </w:p>
    <w:p w14:paraId="2048ED85">
      <w:pPr>
        <w:spacing w:line="560" w:lineRule="exact"/>
        <w:rPr>
          <w:rFonts w:ascii="仿宋_GB2312" w:hAnsi="仿宋" w:eastAsia="仿宋_GB2312"/>
          <w:color w:val="auto"/>
          <w:sz w:val="30"/>
          <w:szCs w:val="30"/>
          <w:highlight w:val="none"/>
        </w:rPr>
      </w:pPr>
    </w:p>
    <w:p w14:paraId="48F987B6">
      <w:pPr>
        <w:spacing w:line="560" w:lineRule="exact"/>
        <w:rPr>
          <w:rFonts w:ascii="仿宋_GB2312" w:hAnsi="仿宋" w:eastAsia="仿宋_GB2312"/>
          <w:color w:val="auto"/>
          <w:sz w:val="30"/>
          <w:szCs w:val="30"/>
          <w:highlight w:val="none"/>
        </w:rPr>
      </w:pPr>
    </w:p>
    <w:p w14:paraId="4E9B9549">
      <w:pPr>
        <w:spacing w:line="560" w:lineRule="exact"/>
        <w:rPr>
          <w:rFonts w:ascii="仿宋_GB2312" w:hAnsi="仿宋" w:eastAsia="仿宋_GB2312"/>
          <w:color w:val="auto"/>
          <w:sz w:val="30"/>
          <w:szCs w:val="30"/>
          <w:highlight w:val="none"/>
        </w:rPr>
      </w:pPr>
    </w:p>
    <w:p w14:paraId="38531EAA">
      <w:pPr>
        <w:spacing w:line="560" w:lineRule="exact"/>
        <w:rPr>
          <w:rFonts w:ascii="仿宋_GB2312" w:hAnsi="仿宋" w:eastAsia="仿宋_GB2312"/>
          <w:color w:val="auto"/>
          <w:sz w:val="30"/>
          <w:szCs w:val="30"/>
          <w:highlight w:val="none"/>
        </w:rPr>
      </w:pPr>
    </w:p>
    <w:p w14:paraId="04F9B74D">
      <w:pPr>
        <w:spacing w:line="560" w:lineRule="exact"/>
        <w:rPr>
          <w:rFonts w:ascii="仿宋_GB2312" w:hAnsi="仿宋" w:eastAsia="仿宋_GB2312"/>
          <w:color w:val="auto"/>
          <w:sz w:val="30"/>
          <w:szCs w:val="30"/>
          <w:highlight w:val="none"/>
        </w:rPr>
      </w:pPr>
    </w:p>
    <w:p w14:paraId="545A0E10">
      <w:pPr>
        <w:spacing w:line="560" w:lineRule="exact"/>
        <w:rPr>
          <w:rFonts w:ascii="仿宋_GB2312" w:hAnsi="仿宋" w:eastAsia="仿宋_GB2312"/>
          <w:color w:val="auto"/>
          <w:sz w:val="30"/>
          <w:szCs w:val="30"/>
          <w:highlight w:val="none"/>
        </w:rPr>
      </w:pPr>
    </w:p>
    <w:p w14:paraId="1736477C">
      <w:pPr>
        <w:spacing w:line="560" w:lineRule="exact"/>
        <w:rPr>
          <w:rFonts w:ascii="仿宋_GB2312" w:hAnsi="仿宋" w:eastAsia="仿宋_GB2312"/>
          <w:color w:val="auto"/>
          <w:sz w:val="30"/>
          <w:szCs w:val="30"/>
          <w:highlight w:val="none"/>
        </w:rPr>
      </w:pPr>
    </w:p>
    <w:p w14:paraId="2768D78D">
      <w:pPr>
        <w:spacing w:line="560" w:lineRule="exact"/>
        <w:rPr>
          <w:rFonts w:ascii="仿宋_GB2312" w:hAnsi="仿宋" w:eastAsia="仿宋_GB2312"/>
          <w:color w:val="auto"/>
          <w:sz w:val="30"/>
          <w:szCs w:val="30"/>
          <w:highlight w:val="none"/>
        </w:rPr>
      </w:pPr>
    </w:p>
    <w:p w14:paraId="4CF6281A">
      <w:pPr>
        <w:spacing w:line="560" w:lineRule="exact"/>
        <w:rPr>
          <w:rFonts w:ascii="仿宋_GB2312" w:hAnsi="仿宋" w:eastAsia="仿宋_GB2312"/>
          <w:color w:val="auto"/>
          <w:sz w:val="30"/>
          <w:szCs w:val="30"/>
          <w:highlight w:val="none"/>
        </w:rPr>
      </w:pPr>
    </w:p>
    <w:p w14:paraId="5462C49D">
      <w:pPr>
        <w:spacing w:line="560" w:lineRule="exact"/>
        <w:rPr>
          <w:rFonts w:ascii="仿宋_GB2312" w:hAnsi="仿宋" w:eastAsia="仿宋_GB2312"/>
          <w:color w:val="auto"/>
          <w:sz w:val="30"/>
          <w:szCs w:val="30"/>
          <w:highlight w:val="none"/>
        </w:rPr>
      </w:pPr>
    </w:p>
    <w:p w14:paraId="27ED2EAE">
      <w:pPr>
        <w:spacing w:line="560" w:lineRule="exact"/>
        <w:rPr>
          <w:rFonts w:ascii="仿宋_GB2312" w:hAnsi="仿宋" w:eastAsia="仿宋_GB2312"/>
          <w:color w:val="auto"/>
          <w:sz w:val="30"/>
          <w:szCs w:val="30"/>
          <w:highlight w:val="none"/>
        </w:rPr>
      </w:pPr>
    </w:p>
    <w:p w14:paraId="2BBC5D5E">
      <w:pPr>
        <w:spacing w:line="560" w:lineRule="exact"/>
        <w:rPr>
          <w:rFonts w:ascii="仿宋_GB2312" w:hAnsi="仿宋" w:eastAsia="仿宋_GB2312"/>
          <w:color w:val="auto"/>
          <w:sz w:val="30"/>
          <w:szCs w:val="30"/>
          <w:highlight w:val="none"/>
        </w:rPr>
      </w:pPr>
    </w:p>
    <w:p w14:paraId="223AB6B3">
      <w:pPr>
        <w:spacing w:line="560" w:lineRule="exact"/>
        <w:rPr>
          <w:rFonts w:ascii="仿宋_GB2312" w:hAnsi="仿宋" w:eastAsia="仿宋_GB2312"/>
          <w:color w:val="auto"/>
          <w:sz w:val="30"/>
          <w:szCs w:val="30"/>
          <w:highlight w:val="none"/>
        </w:rPr>
      </w:pPr>
    </w:p>
    <w:p w14:paraId="2E9E58BE">
      <w:pPr>
        <w:spacing w:line="560" w:lineRule="exact"/>
        <w:rPr>
          <w:rFonts w:ascii="仿宋_GB2312" w:hAnsi="仿宋" w:eastAsia="仿宋_GB2312"/>
          <w:color w:val="auto"/>
          <w:sz w:val="30"/>
          <w:szCs w:val="30"/>
          <w:highlight w:val="none"/>
        </w:rPr>
      </w:pPr>
    </w:p>
    <w:p w14:paraId="761732CA">
      <w:pPr>
        <w:spacing w:line="560" w:lineRule="exact"/>
        <w:rPr>
          <w:rFonts w:ascii="仿宋_GB2312" w:hAnsi="仿宋" w:eastAsia="仿宋_GB2312"/>
          <w:color w:val="auto"/>
          <w:sz w:val="30"/>
          <w:szCs w:val="30"/>
          <w:highlight w:val="none"/>
        </w:rPr>
      </w:pPr>
    </w:p>
    <w:p w14:paraId="56AF66B5">
      <w:pPr>
        <w:spacing w:line="560" w:lineRule="exact"/>
        <w:rPr>
          <w:rFonts w:ascii="仿宋_GB2312" w:hAnsi="仿宋" w:eastAsia="仿宋_GB2312"/>
          <w:color w:val="auto"/>
          <w:sz w:val="30"/>
          <w:szCs w:val="30"/>
          <w:highlight w:val="none"/>
        </w:rPr>
      </w:pPr>
    </w:p>
    <w:p w14:paraId="3E54F2C9">
      <w:pPr>
        <w:wordWrap w:val="0"/>
        <w:spacing w:line="560" w:lineRule="exact"/>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供应商名称(盖章):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063AE75A">
      <w:pPr>
        <w:wordWrap w:val="0"/>
        <w:spacing w:line="520" w:lineRule="exact"/>
        <w:jc w:val="right"/>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251CC78B">
      <w:pPr>
        <w:jc w:val="right"/>
        <w:rPr>
          <w:color w:val="auto"/>
          <w:highlight w:val="none"/>
        </w:rPr>
      </w:pPr>
      <w:r>
        <w:rPr>
          <w:color w:val="auto"/>
          <w:highlight w:val="none"/>
        </w:rPr>
        <w:br w:type="page"/>
      </w:r>
      <w:r>
        <w:rPr>
          <w:rFonts w:hint="eastAsia" w:ascii="仿宋_GB2312" w:hAnsi="宋体" w:eastAsia="仿宋_GB2312"/>
          <w:color w:val="auto"/>
          <w:sz w:val="22"/>
          <w:szCs w:val="28"/>
          <w:highlight w:val="none"/>
        </w:rPr>
        <w:t>如中标（成交），随中标（成交）公告公示</w:t>
      </w:r>
    </w:p>
    <w:p w14:paraId="7DC222CC">
      <w:pPr>
        <w:jc w:val="center"/>
        <w:rPr>
          <w:rFonts w:ascii="宋体" w:hAnsi="宋体" w:cs="宋体"/>
          <w:color w:val="auto"/>
          <w:sz w:val="44"/>
          <w:szCs w:val="44"/>
          <w:highlight w:val="none"/>
        </w:rPr>
      </w:pPr>
    </w:p>
    <w:p w14:paraId="0B3DB6F6">
      <w:pPr>
        <w:jc w:val="center"/>
        <w:rPr>
          <w:rFonts w:ascii="宋体" w:hAnsi="宋体" w:cs="宋体"/>
          <w:color w:val="auto"/>
          <w:sz w:val="44"/>
          <w:szCs w:val="44"/>
          <w:highlight w:val="none"/>
        </w:rPr>
      </w:pPr>
      <w:r>
        <w:rPr>
          <w:rFonts w:hint="eastAsia" w:ascii="宋体" w:hAnsi="宋体" w:cs="宋体"/>
          <w:color w:val="auto"/>
          <w:sz w:val="44"/>
          <w:szCs w:val="44"/>
          <w:highlight w:val="none"/>
        </w:rPr>
        <w:t>中小企业声明函</w:t>
      </w:r>
    </w:p>
    <w:p w14:paraId="1E1B93EF">
      <w:pPr>
        <w:autoSpaceDE w:val="0"/>
        <w:autoSpaceDN w:val="0"/>
        <w:spacing w:before="14" w:line="560" w:lineRule="exact"/>
        <w:ind w:left="220" w:right="415" w:firstLine="632"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pacing w:val="-2"/>
          <w:sz w:val="32"/>
          <w:szCs w:val="32"/>
          <w:highlight w:val="none"/>
        </w:rPr>
        <w:t>本公司</w:t>
      </w:r>
      <w:r>
        <w:rPr>
          <w:rFonts w:hint="eastAsia" w:ascii="仿宋_GB2312" w:hAnsi="仿宋" w:eastAsia="仿宋_GB2312" w:cs="仿宋"/>
          <w:color w:val="auto"/>
          <w:sz w:val="32"/>
          <w:szCs w:val="32"/>
          <w:highlight w:val="none"/>
        </w:rPr>
        <w:t>（联合体</w:t>
      </w:r>
      <w:r>
        <w:rPr>
          <w:rFonts w:hint="eastAsia" w:ascii="仿宋_GB2312" w:hAnsi="仿宋" w:eastAsia="仿宋_GB2312" w:cs="仿宋"/>
          <w:color w:val="auto"/>
          <w:spacing w:val="-5"/>
          <w:sz w:val="32"/>
          <w:szCs w:val="32"/>
          <w:highlight w:val="none"/>
        </w:rPr>
        <w:t>）</w:t>
      </w:r>
      <w:r>
        <w:rPr>
          <w:rFonts w:hint="eastAsia" w:ascii="仿宋_GB2312" w:hAnsi="仿宋" w:eastAsia="仿宋_GB2312" w:cs="仿宋"/>
          <w:color w:val="auto"/>
          <w:spacing w:val="-2"/>
          <w:sz w:val="32"/>
          <w:szCs w:val="32"/>
          <w:highlight w:val="none"/>
        </w:rPr>
        <w:t>郑重声明，根据《政府采购促进中小</w:t>
      </w:r>
      <w:r>
        <w:rPr>
          <w:rFonts w:hint="eastAsia" w:ascii="仿宋_GB2312" w:hAnsi="仿宋" w:eastAsia="仿宋_GB2312" w:cs="仿宋"/>
          <w:color w:val="auto"/>
          <w:spacing w:val="-18"/>
          <w:sz w:val="32"/>
          <w:szCs w:val="32"/>
          <w:highlight w:val="none"/>
        </w:rPr>
        <w:t>企业发展管理办法》</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pacing w:val="5"/>
          <w:sz w:val="32"/>
          <w:szCs w:val="32"/>
          <w:highlight w:val="none"/>
        </w:rPr>
        <w:t>财库</w:t>
      </w:r>
      <w:r>
        <w:rPr>
          <w:rFonts w:hint="eastAsia" w:ascii="仿宋_GB2312" w:hAnsi="仿宋" w:eastAsia="仿宋" w:cs="仿宋"/>
          <w:color w:val="auto"/>
          <w:sz w:val="32"/>
          <w:szCs w:val="32"/>
          <w:highlight w:val="none"/>
        </w:rPr>
        <w:t>﹝</w:t>
      </w:r>
      <w:r>
        <w:rPr>
          <w:rFonts w:hint="eastAsia" w:ascii="仿宋_GB2312" w:hAnsi="仿宋" w:eastAsia="仿宋_GB2312" w:cs="仿宋"/>
          <w:color w:val="auto"/>
          <w:sz w:val="32"/>
          <w:szCs w:val="32"/>
          <w:highlight w:val="none"/>
        </w:rPr>
        <w:t>2020</w:t>
      </w:r>
      <w:r>
        <w:rPr>
          <w:rFonts w:hint="eastAsia" w:ascii="仿宋_GB2312" w:hAnsi="仿宋" w:eastAsia="仿宋" w:cs="仿宋"/>
          <w:color w:val="auto"/>
          <w:sz w:val="32"/>
          <w:szCs w:val="32"/>
          <w:highlight w:val="none"/>
        </w:rPr>
        <w:t>﹞</w:t>
      </w:r>
      <w:r>
        <w:rPr>
          <w:rFonts w:hint="eastAsia" w:ascii="仿宋_GB2312" w:hAnsi="仿宋" w:eastAsia="仿宋_GB2312" w:cs="仿宋"/>
          <w:color w:val="auto"/>
          <w:sz w:val="32"/>
          <w:szCs w:val="32"/>
          <w:highlight w:val="none"/>
        </w:rPr>
        <w:t>46</w:t>
      </w:r>
      <w:r>
        <w:rPr>
          <w:rFonts w:hint="eastAsia" w:ascii="仿宋_GB2312" w:hAnsi="仿宋" w:eastAsia="仿宋_GB2312" w:cs="仿宋"/>
          <w:color w:val="auto"/>
          <w:spacing w:val="28"/>
          <w:sz w:val="32"/>
          <w:szCs w:val="32"/>
          <w:highlight w:val="none"/>
        </w:rPr>
        <w:t>号</w:t>
      </w:r>
      <w:r>
        <w:rPr>
          <w:rFonts w:hint="eastAsia" w:ascii="仿宋_GB2312" w:hAnsi="仿宋" w:eastAsia="仿宋_GB2312" w:cs="仿宋"/>
          <w:color w:val="auto"/>
          <w:spacing w:val="5"/>
          <w:sz w:val="32"/>
          <w:szCs w:val="32"/>
          <w:highlight w:val="none"/>
        </w:rPr>
        <w:t>）</w:t>
      </w:r>
      <w:r>
        <w:rPr>
          <w:rFonts w:hint="eastAsia" w:ascii="仿宋_GB2312" w:hAnsi="仿宋" w:eastAsia="仿宋_GB2312" w:cs="仿宋"/>
          <w:color w:val="auto"/>
          <w:sz w:val="32"/>
          <w:szCs w:val="32"/>
          <w:highlight w:val="none"/>
        </w:rPr>
        <w:t>的规定，本公司（联合体）</w:t>
      </w:r>
      <w:r>
        <w:rPr>
          <w:rFonts w:hint="eastAsia" w:ascii="仿宋_GB2312" w:hAnsi="仿宋" w:eastAsia="仿宋_GB2312" w:cs="仿宋"/>
          <w:color w:val="auto"/>
          <w:spacing w:val="-8"/>
          <w:sz w:val="32"/>
          <w:szCs w:val="32"/>
          <w:highlight w:val="none"/>
        </w:rPr>
        <w:t>参加</w:t>
      </w:r>
      <w:r>
        <w:rPr>
          <w:rFonts w:hint="eastAsia" w:ascii="仿宋_GB2312" w:hAnsi="仿宋" w:eastAsia="仿宋_GB2312" w:cs="仿宋"/>
          <w:color w:val="auto"/>
          <w:spacing w:val="-8"/>
          <w:sz w:val="32"/>
          <w:szCs w:val="32"/>
          <w:highlight w:val="none"/>
          <w:u w:val="single"/>
        </w:rPr>
        <w:t>（单位名称）</w:t>
      </w:r>
      <w:r>
        <w:rPr>
          <w:rFonts w:hint="eastAsia" w:ascii="仿宋_GB2312" w:hAnsi="仿宋" w:eastAsia="仿宋_GB2312" w:cs="仿宋"/>
          <w:color w:val="auto"/>
          <w:spacing w:val="-8"/>
          <w:sz w:val="32"/>
          <w:szCs w:val="32"/>
          <w:highlight w:val="none"/>
        </w:rPr>
        <w:t>的</w:t>
      </w:r>
      <w:r>
        <w:rPr>
          <w:rFonts w:hint="eastAsia" w:ascii="仿宋_GB2312" w:hAnsi="仿宋" w:eastAsia="仿宋_GB2312" w:cs="仿宋"/>
          <w:color w:val="auto"/>
          <w:spacing w:val="-8"/>
          <w:sz w:val="32"/>
          <w:szCs w:val="32"/>
          <w:highlight w:val="none"/>
          <w:u w:val="single"/>
        </w:rPr>
        <w:t>（项目名称）</w:t>
      </w:r>
      <w:r>
        <w:rPr>
          <w:rFonts w:hint="eastAsia" w:ascii="仿宋_GB2312" w:hAnsi="仿宋" w:eastAsia="仿宋_GB2312" w:cs="仿宋"/>
          <w:color w:val="auto"/>
          <w:spacing w:val="-1"/>
          <w:sz w:val="32"/>
          <w:szCs w:val="32"/>
          <w:highlight w:val="none"/>
        </w:rPr>
        <w:t>采购活动，提</w:t>
      </w:r>
      <w:r>
        <w:rPr>
          <w:rFonts w:hint="eastAsia" w:ascii="仿宋_GB2312" w:hAnsi="仿宋" w:eastAsia="仿宋_GB2312" w:cs="仿宋"/>
          <w:color w:val="auto"/>
          <w:spacing w:val="11"/>
          <w:w w:val="95"/>
          <w:sz w:val="32"/>
          <w:szCs w:val="32"/>
          <w:highlight w:val="none"/>
        </w:rPr>
        <w:t>供的货物全部由符合政策要求的中小企业制造。相关企业</w:t>
      </w:r>
      <w:r>
        <w:rPr>
          <w:rFonts w:hint="eastAsia" w:ascii="仿宋_GB2312" w:hAnsi="仿宋" w:eastAsia="仿宋_GB2312" w:cs="仿宋"/>
          <w:color w:val="auto"/>
          <w:sz w:val="32"/>
          <w:szCs w:val="32"/>
          <w:highlight w:val="none"/>
        </w:rPr>
        <w:t>（含联合体中的中小企业、签订分包意向协议的中小企业） 的具体情况如下：</w:t>
      </w:r>
    </w:p>
    <w:p w14:paraId="5D4F3BFC">
      <w:pPr>
        <w:numPr>
          <w:ilvl w:val="0"/>
          <w:numId w:val="1"/>
        </w:numPr>
        <w:autoSpaceDE w:val="0"/>
        <w:autoSpaceDN w:val="0"/>
        <w:spacing w:before="30" w:line="560" w:lineRule="exact"/>
        <w:ind w:left="220" w:right="417" w:firstLine="628" w:firstLineChars="200"/>
        <w:rPr>
          <w:rFonts w:ascii="仿宋_GB2312" w:hAnsi="仿宋" w:eastAsia="仿宋_GB2312" w:cs="仿宋"/>
          <w:color w:val="auto"/>
          <w:spacing w:val="-3"/>
          <w:sz w:val="32"/>
          <w:szCs w:val="32"/>
          <w:highlight w:val="none"/>
        </w:rPr>
      </w:pPr>
      <w:r>
        <w:rPr>
          <w:rFonts w:hint="eastAsia" w:ascii="仿宋_GB2312" w:hAnsi="仿宋" w:eastAsia="仿宋_GB2312" w:cs="仿宋"/>
          <w:color w:val="auto"/>
          <w:spacing w:val="-3"/>
          <w:sz w:val="32"/>
          <w:szCs w:val="32"/>
          <w:highlight w:val="none"/>
          <w:u w:val="single"/>
        </w:rPr>
        <w:t>（标的名称）</w:t>
      </w:r>
      <w:r>
        <w:rPr>
          <w:rFonts w:hint="eastAsia" w:ascii="仿宋_GB2312" w:hAnsi="仿宋" w:eastAsia="仿宋_GB2312" w:cs="仿宋"/>
          <w:color w:val="auto"/>
          <w:spacing w:val="-3"/>
          <w:sz w:val="32"/>
          <w:szCs w:val="32"/>
          <w:highlight w:val="none"/>
        </w:rPr>
        <w:t>，属于</w:t>
      </w:r>
      <w:r>
        <w:rPr>
          <w:rFonts w:hint="eastAsia" w:ascii="仿宋_GB2312" w:hAnsi="仿宋" w:eastAsia="仿宋_GB2312" w:cs="仿宋"/>
          <w:b/>
          <w:bCs/>
          <w:color w:val="auto"/>
          <w:spacing w:val="-3"/>
          <w:sz w:val="32"/>
          <w:szCs w:val="32"/>
          <w:highlight w:val="none"/>
          <w:u w:val="single"/>
        </w:rPr>
        <w:t>（采购文件中明确的所属行业）</w:t>
      </w:r>
      <w:r>
        <w:rPr>
          <w:rFonts w:hint="eastAsia" w:ascii="仿宋_GB2312" w:hAnsi="仿宋" w:eastAsia="仿宋_GB2312" w:cs="仿宋"/>
          <w:color w:val="auto"/>
          <w:spacing w:val="-3"/>
          <w:sz w:val="32"/>
          <w:szCs w:val="32"/>
          <w:highlight w:val="none"/>
          <w:u w:val="single"/>
        </w:rPr>
        <w:t>行业</w:t>
      </w:r>
      <w:r>
        <w:rPr>
          <w:rFonts w:hint="eastAsia" w:ascii="仿宋_GB2312" w:hAnsi="仿宋" w:eastAsia="仿宋_GB2312" w:cs="仿宋"/>
          <w:color w:val="auto"/>
          <w:spacing w:val="-3"/>
          <w:sz w:val="32"/>
          <w:szCs w:val="32"/>
          <w:highlight w:val="none"/>
        </w:rPr>
        <w:t>；制造商为</w:t>
      </w:r>
      <w:r>
        <w:rPr>
          <w:rFonts w:hint="eastAsia" w:ascii="仿宋_GB2312" w:hAnsi="仿宋" w:eastAsia="仿宋_GB2312" w:cs="仿宋"/>
          <w:color w:val="auto"/>
          <w:spacing w:val="-3"/>
          <w:sz w:val="32"/>
          <w:szCs w:val="32"/>
          <w:highlight w:val="none"/>
          <w:u w:val="single"/>
        </w:rPr>
        <w:t>（企业名称）</w:t>
      </w:r>
      <w:r>
        <w:rPr>
          <w:rFonts w:hint="eastAsia" w:ascii="仿宋_GB2312" w:hAnsi="仿宋" w:eastAsia="仿宋_GB2312" w:cs="仿宋"/>
          <w:color w:val="auto"/>
          <w:spacing w:val="-3"/>
          <w:sz w:val="32"/>
          <w:szCs w:val="32"/>
          <w:highlight w:val="none"/>
        </w:rPr>
        <w:t>，从业人员</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人，营业收入为</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万元，资产总额为</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万</w:t>
      </w:r>
      <w:r>
        <w:rPr>
          <w:rFonts w:hint="eastAsia" w:ascii="仿宋_GB2312" w:hAnsi="仿宋" w:eastAsia="仿宋_GB2312" w:cs="仿宋"/>
          <w:color w:val="auto"/>
          <w:spacing w:val="2"/>
          <w:w w:val="99"/>
          <w:sz w:val="32"/>
          <w:szCs w:val="32"/>
          <w:highlight w:val="none"/>
        </w:rPr>
        <w:t>元</w:t>
      </w:r>
      <w:r>
        <w:rPr>
          <w:rFonts w:hint="eastAsia" w:ascii="仿宋_GB2312" w:hAnsi="仿宋" w:eastAsia="仿宋_GB2312" w:cs="仿宋"/>
          <w:color w:val="auto"/>
          <w:spacing w:val="2"/>
          <w:w w:val="99"/>
          <w:sz w:val="32"/>
          <w:szCs w:val="32"/>
          <w:highlight w:val="none"/>
          <w:vertAlign w:val="superscript"/>
        </w:rPr>
        <w:t>1</w:t>
      </w:r>
      <w:r>
        <w:rPr>
          <w:rFonts w:hint="eastAsia" w:ascii="仿宋_GB2312" w:hAnsi="仿宋" w:eastAsia="仿宋_GB2312" w:cs="仿宋"/>
          <w:color w:val="auto"/>
          <w:spacing w:val="2"/>
          <w:w w:val="99"/>
          <w:sz w:val="32"/>
          <w:szCs w:val="32"/>
          <w:highlight w:val="none"/>
        </w:rPr>
        <w:t>,属于</w:t>
      </w:r>
      <w:r>
        <w:rPr>
          <w:rFonts w:hint="eastAsia" w:ascii="仿宋_GB2312" w:hAnsi="仿宋" w:eastAsia="仿宋_GB2312" w:cs="仿宋"/>
          <w:color w:val="auto"/>
          <w:spacing w:val="2"/>
          <w:w w:val="99"/>
          <w:sz w:val="32"/>
          <w:szCs w:val="32"/>
          <w:highlight w:val="none"/>
          <w:u w:val="single"/>
        </w:rPr>
        <w:t>（中型企业、小型企业、微型企业）</w:t>
      </w:r>
      <w:r>
        <w:rPr>
          <w:rFonts w:hint="eastAsia" w:ascii="仿宋_GB2312" w:hAnsi="仿宋" w:eastAsia="仿宋_GB2312" w:cs="仿宋"/>
          <w:color w:val="auto"/>
          <w:spacing w:val="2"/>
          <w:w w:val="99"/>
          <w:sz w:val="32"/>
          <w:szCs w:val="32"/>
          <w:highlight w:val="none"/>
        </w:rPr>
        <w:t>；</w:t>
      </w:r>
    </w:p>
    <w:p w14:paraId="727E64A3">
      <w:pPr>
        <w:numPr>
          <w:ilvl w:val="0"/>
          <w:numId w:val="1"/>
        </w:numPr>
        <w:tabs>
          <w:tab w:val="left" w:pos="312"/>
        </w:tabs>
        <w:autoSpaceDE w:val="0"/>
        <w:autoSpaceDN w:val="0"/>
        <w:spacing w:before="30" w:line="560" w:lineRule="exact"/>
        <w:ind w:left="220" w:right="417" w:firstLine="628" w:firstLineChars="200"/>
        <w:rPr>
          <w:rFonts w:ascii="仿宋_GB2312" w:hAnsi="仿宋" w:eastAsia="仿宋_GB2312" w:cs="仿宋"/>
          <w:color w:val="auto"/>
          <w:spacing w:val="-3"/>
          <w:sz w:val="32"/>
          <w:szCs w:val="32"/>
          <w:highlight w:val="none"/>
        </w:rPr>
      </w:pPr>
      <w:r>
        <w:rPr>
          <w:rFonts w:hint="eastAsia" w:ascii="仿宋_GB2312" w:hAnsi="仿宋" w:eastAsia="仿宋_GB2312" w:cs="仿宋"/>
          <w:color w:val="auto"/>
          <w:spacing w:val="-3"/>
          <w:sz w:val="32"/>
          <w:szCs w:val="32"/>
          <w:highlight w:val="none"/>
          <w:u w:val="single"/>
        </w:rPr>
        <w:t>（标的名称）</w:t>
      </w:r>
      <w:r>
        <w:rPr>
          <w:rFonts w:hint="eastAsia" w:ascii="仿宋_GB2312" w:hAnsi="仿宋" w:eastAsia="仿宋_GB2312" w:cs="仿宋"/>
          <w:color w:val="auto"/>
          <w:spacing w:val="-3"/>
          <w:sz w:val="32"/>
          <w:szCs w:val="32"/>
          <w:highlight w:val="none"/>
        </w:rPr>
        <w:t>，属于</w:t>
      </w:r>
      <w:r>
        <w:rPr>
          <w:rFonts w:hint="eastAsia" w:ascii="仿宋_GB2312" w:hAnsi="仿宋" w:eastAsia="仿宋_GB2312" w:cs="仿宋"/>
          <w:color w:val="auto"/>
          <w:spacing w:val="-3"/>
          <w:sz w:val="32"/>
          <w:szCs w:val="32"/>
          <w:highlight w:val="none"/>
          <w:u w:val="single"/>
        </w:rPr>
        <w:t>（采购文件中明确的所属行业）行业</w:t>
      </w:r>
      <w:r>
        <w:rPr>
          <w:rFonts w:hint="eastAsia" w:ascii="仿宋_GB2312" w:hAnsi="仿宋" w:eastAsia="仿宋_GB2312" w:cs="仿宋"/>
          <w:color w:val="auto"/>
          <w:spacing w:val="-3"/>
          <w:sz w:val="32"/>
          <w:szCs w:val="32"/>
          <w:highlight w:val="none"/>
        </w:rPr>
        <w:t>；制造商为</w:t>
      </w:r>
      <w:r>
        <w:rPr>
          <w:rFonts w:hint="eastAsia" w:ascii="仿宋_GB2312" w:hAnsi="仿宋" w:eastAsia="仿宋_GB2312" w:cs="仿宋"/>
          <w:color w:val="auto"/>
          <w:spacing w:val="-3"/>
          <w:sz w:val="32"/>
          <w:szCs w:val="32"/>
          <w:highlight w:val="none"/>
          <w:u w:val="single"/>
        </w:rPr>
        <w:t>（企业名称）</w:t>
      </w:r>
      <w:r>
        <w:rPr>
          <w:rFonts w:hint="eastAsia" w:ascii="仿宋_GB2312" w:hAnsi="仿宋" w:eastAsia="仿宋_GB2312" w:cs="仿宋"/>
          <w:color w:val="auto"/>
          <w:spacing w:val="-3"/>
          <w:sz w:val="32"/>
          <w:szCs w:val="32"/>
          <w:highlight w:val="none"/>
        </w:rPr>
        <w:t>，从业人员</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人，营业收入为</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万元，资产总额为</w:t>
      </w:r>
      <w:r>
        <w:rPr>
          <w:rFonts w:hint="eastAsia" w:ascii="仿宋_GB2312" w:hAnsi="仿宋" w:eastAsia="仿宋_GB2312" w:cs="仿宋"/>
          <w:color w:val="auto"/>
          <w:spacing w:val="-3"/>
          <w:sz w:val="32"/>
          <w:szCs w:val="32"/>
          <w:highlight w:val="none"/>
          <w:u w:val="single"/>
        </w:rPr>
        <w:t xml:space="preserve">      </w:t>
      </w:r>
      <w:r>
        <w:rPr>
          <w:rFonts w:hint="eastAsia" w:ascii="仿宋_GB2312" w:hAnsi="仿宋" w:eastAsia="仿宋_GB2312" w:cs="仿宋"/>
          <w:color w:val="auto"/>
          <w:spacing w:val="-3"/>
          <w:sz w:val="32"/>
          <w:szCs w:val="32"/>
          <w:highlight w:val="none"/>
        </w:rPr>
        <w:t>万</w:t>
      </w:r>
      <w:r>
        <w:rPr>
          <w:rFonts w:hint="eastAsia" w:ascii="仿宋_GB2312" w:hAnsi="仿宋" w:eastAsia="仿宋_GB2312" w:cs="仿宋"/>
          <w:color w:val="auto"/>
          <w:spacing w:val="2"/>
          <w:w w:val="99"/>
          <w:sz w:val="32"/>
          <w:szCs w:val="32"/>
          <w:highlight w:val="none"/>
        </w:rPr>
        <w:t>元,属于</w:t>
      </w:r>
      <w:r>
        <w:rPr>
          <w:rFonts w:hint="eastAsia" w:ascii="仿宋_GB2312" w:hAnsi="仿宋" w:eastAsia="仿宋_GB2312" w:cs="仿宋"/>
          <w:color w:val="auto"/>
          <w:spacing w:val="2"/>
          <w:w w:val="99"/>
          <w:sz w:val="32"/>
          <w:szCs w:val="32"/>
          <w:highlight w:val="none"/>
          <w:u w:val="single"/>
        </w:rPr>
        <w:t>（中型企业、小型企业、微型企业）</w:t>
      </w:r>
      <w:r>
        <w:rPr>
          <w:rFonts w:hint="eastAsia" w:ascii="仿宋_GB2312" w:hAnsi="仿宋" w:eastAsia="仿宋_GB2312" w:cs="仿宋"/>
          <w:color w:val="auto"/>
          <w:spacing w:val="2"/>
          <w:w w:val="99"/>
          <w:sz w:val="32"/>
          <w:szCs w:val="32"/>
          <w:highlight w:val="none"/>
        </w:rPr>
        <w:t>；</w:t>
      </w:r>
    </w:p>
    <w:p w14:paraId="4AD3B679">
      <w:pPr>
        <w:autoSpaceDE w:val="0"/>
        <w:autoSpaceDN w:val="0"/>
        <w:spacing w:before="30" w:line="560" w:lineRule="exact"/>
        <w:ind w:left="420" w:leftChars="200" w:right="417" w:firstLine="628" w:firstLineChars="200"/>
        <w:rPr>
          <w:rFonts w:ascii="仿宋_GB2312" w:hAnsi="仿宋" w:eastAsia="仿宋_GB2312" w:cs="仿宋"/>
          <w:color w:val="auto"/>
          <w:spacing w:val="-3"/>
          <w:sz w:val="32"/>
          <w:szCs w:val="32"/>
          <w:highlight w:val="none"/>
        </w:rPr>
      </w:pPr>
      <w:r>
        <w:rPr>
          <w:rFonts w:hint="eastAsia" w:ascii="仿宋_GB2312" w:hAnsi="仿宋" w:eastAsia="仿宋_GB2312" w:cs="仿宋"/>
          <w:color w:val="auto"/>
          <w:spacing w:val="-3"/>
          <w:sz w:val="32"/>
          <w:szCs w:val="32"/>
          <w:highlight w:val="none"/>
        </w:rPr>
        <w:t>……</w:t>
      </w:r>
    </w:p>
    <w:p w14:paraId="31CBE515">
      <w:pPr>
        <w:autoSpaceDE w:val="0"/>
        <w:autoSpaceDN w:val="0"/>
        <w:spacing w:before="30" w:line="560" w:lineRule="exact"/>
        <w:ind w:left="420" w:leftChars="200" w:right="417" w:firstLine="628"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pacing w:val="-3"/>
          <w:sz w:val="32"/>
          <w:szCs w:val="32"/>
          <w:highlight w:val="none"/>
        </w:rPr>
        <w:t>以上企业，不属于大企业的分支机构，不存在控股股东</w:t>
      </w:r>
      <w:r>
        <w:rPr>
          <w:rFonts w:hint="eastAsia" w:ascii="仿宋_GB2312" w:hAnsi="仿宋" w:eastAsia="仿宋_GB2312" w:cs="仿宋"/>
          <w:color w:val="auto"/>
          <w:spacing w:val="-5"/>
          <w:sz w:val="32"/>
          <w:szCs w:val="32"/>
          <w:highlight w:val="none"/>
        </w:rPr>
        <w:t>为大企业的情形，也不存在与大企业的负责人为同一人的情形。</w:t>
      </w:r>
    </w:p>
    <w:p w14:paraId="1DF56D97">
      <w:pPr>
        <w:autoSpaceDE w:val="0"/>
        <w:autoSpaceDN w:val="0"/>
        <w:spacing w:line="560" w:lineRule="exact"/>
        <w:ind w:left="220" w:right="372"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本企业对上述声明内容的真实性负责。如有虚假，将依法承担相应责任。</w:t>
      </w:r>
    </w:p>
    <w:p w14:paraId="1CD03A64">
      <w:pPr>
        <w:autoSpaceDE w:val="0"/>
        <w:autoSpaceDN w:val="0"/>
        <w:spacing w:before="14" w:line="560" w:lineRule="exact"/>
        <w:ind w:left="220" w:right="415" w:firstLine="4108" w:firstLineChars="1300"/>
        <w:rPr>
          <w:rFonts w:ascii="仿宋_GB2312" w:hAnsi="仿宋" w:eastAsia="仿宋_GB2312" w:cs="仿宋"/>
          <w:color w:val="auto"/>
          <w:spacing w:val="-8"/>
          <w:w w:val="99"/>
          <w:sz w:val="32"/>
          <w:szCs w:val="32"/>
          <w:highlight w:val="none"/>
        </w:rPr>
      </w:pPr>
      <w:r>
        <w:rPr>
          <w:rFonts w:hint="eastAsia" w:ascii="仿宋_GB2312" w:hAnsi="仿宋" w:eastAsia="仿宋_GB2312" w:cs="仿宋"/>
          <w:color w:val="auto"/>
          <w:w w:val="99"/>
          <w:sz w:val="32"/>
          <w:szCs w:val="32"/>
          <w:highlight w:val="none"/>
        </w:rPr>
        <w:t>企业名称</w:t>
      </w:r>
      <w:r>
        <w:rPr>
          <w:rFonts w:hint="eastAsia" w:ascii="仿宋_GB2312" w:hAnsi="仿宋" w:eastAsia="仿宋_GB2312" w:cs="仿宋"/>
          <w:color w:val="auto"/>
          <w:spacing w:val="2"/>
          <w:w w:val="99"/>
          <w:sz w:val="32"/>
          <w:szCs w:val="32"/>
          <w:highlight w:val="none"/>
        </w:rPr>
        <w:t>（</w:t>
      </w:r>
      <w:r>
        <w:rPr>
          <w:rFonts w:hint="eastAsia" w:ascii="仿宋_GB2312" w:hAnsi="仿宋" w:eastAsia="仿宋_GB2312" w:cs="仿宋"/>
          <w:color w:val="auto"/>
          <w:w w:val="99"/>
          <w:sz w:val="32"/>
          <w:szCs w:val="32"/>
          <w:highlight w:val="none"/>
        </w:rPr>
        <w:t>盖章）：</w:t>
      </w:r>
    </w:p>
    <w:p w14:paraId="3BEFB4D3">
      <w:pPr>
        <w:autoSpaceDE w:val="0"/>
        <w:autoSpaceDN w:val="0"/>
        <w:spacing w:before="14" w:line="560" w:lineRule="exact"/>
        <w:ind w:left="220" w:right="415" w:firstLine="4048" w:firstLineChars="1100"/>
        <w:rPr>
          <w:rFonts w:ascii="仿宋_GB2312" w:hAnsi="仿宋" w:eastAsia="仿宋_GB2312" w:cs="仿宋"/>
          <w:color w:val="auto"/>
          <w:spacing w:val="24"/>
          <w:sz w:val="32"/>
          <w:szCs w:val="32"/>
          <w:highlight w:val="none"/>
        </w:rPr>
      </w:pPr>
      <w:r>
        <w:rPr>
          <w:rFonts w:hint="eastAsia" w:ascii="仿宋_GB2312" w:hAnsi="仿宋" w:eastAsia="仿宋_GB2312" w:cs="仿宋"/>
          <w:color w:val="auto"/>
          <w:spacing w:val="24"/>
          <w:sz w:val="32"/>
          <w:szCs w:val="32"/>
          <w:highlight w:val="none"/>
        </w:rPr>
        <w:t>日期：</w:t>
      </w:r>
    </w:p>
    <w:p w14:paraId="2F52E15A">
      <w:pPr>
        <w:autoSpaceDE w:val="0"/>
        <w:autoSpaceDN w:val="0"/>
        <w:spacing w:before="14" w:line="560" w:lineRule="exact"/>
        <w:ind w:right="415"/>
        <w:rPr>
          <w:rFonts w:ascii="仿宋_GB2312" w:hAnsi="仿宋" w:eastAsia="仿宋_GB2312" w:cs="仿宋"/>
          <w:color w:val="auto"/>
          <w:spacing w:val="24"/>
          <w:sz w:val="32"/>
          <w:szCs w:val="32"/>
          <w:highlight w:val="none"/>
        </w:rPr>
      </w:pPr>
    </w:p>
    <w:p w14:paraId="02A961D6">
      <w:pPr>
        <w:pStyle w:val="25"/>
        <w:rPr>
          <w:b/>
          <w:color w:val="auto"/>
          <w:sz w:val="22"/>
          <w:highlight w:val="none"/>
        </w:rPr>
      </w:pPr>
      <w:r>
        <w:rPr>
          <w:rStyle w:val="68"/>
          <w:rFonts w:hint="eastAsia"/>
          <w:color w:val="auto"/>
          <w:highlight w:val="none"/>
        </w:rPr>
        <w:t>1.</w:t>
      </w:r>
      <w:r>
        <w:rPr>
          <w:rFonts w:hint="eastAsia"/>
          <w:b/>
          <w:color w:val="auto"/>
          <w:sz w:val="22"/>
          <w:highlight w:val="none"/>
        </w:rPr>
        <w:t>从业人员、营业收入、资产总额填报上一年度数据，无上一年度数据的新成立企业可不填报。</w:t>
      </w:r>
    </w:p>
    <w:p w14:paraId="05F3B3C7">
      <w:pPr>
        <w:autoSpaceDE w:val="0"/>
        <w:autoSpaceDN w:val="0"/>
        <w:spacing w:before="14" w:line="560" w:lineRule="exact"/>
        <w:ind w:right="415"/>
        <w:rPr>
          <w:rFonts w:ascii="仿宋_GB2312" w:hAnsi="仿宋" w:eastAsia="仿宋_GB2312" w:cs="仿宋"/>
          <w:color w:val="auto"/>
          <w:spacing w:val="24"/>
          <w:sz w:val="32"/>
          <w:szCs w:val="32"/>
          <w:highlight w:val="none"/>
        </w:rPr>
        <w:sectPr>
          <w:headerReference r:id="rId19" w:type="default"/>
          <w:footerReference r:id="rId20" w:type="default"/>
          <w:pgSz w:w="11906" w:h="16838"/>
          <w:pgMar w:top="1440" w:right="1080" w:bottom="1440" w:left="1080" w:header="851" w:footer="992" w:gutter="0"/>
          <w:cols w:space="720" w:num="1"/>
          <w:docGrid w:type="lines" w:linePitch="312" w:charSpace="0"/>
        </w:sectPr>
      </w:pPr>
    </w:p>
    <w:p w14:paraId="036455E8">
      <w:pPr>
        <w:jc w:val="right"/>
        <w:rPr>
          <w:rFonts w:ascii="黑体" w:hAnsi="黑体" w:eastAsia="黑体"/>
          <w:color w:val="auto"/>
          <w:sz w:val="44"/>
          <w:szCs w:val="44"/>
          <w:highlight w:val="none"/>
        </w:rPr>
      </w:pPr>
      <w:r>
        <w:rPr>
          <w:rFonts w:hint="eastAsia" w:ascii="仿宋_GB2312" w:hAnsi="宋体" w:eastAsia="仿宋_GB2312"/>
          <w:color w:val="auto"/>
          <w:sz w:val="22"/>
          <w:szCs w:val="28"/>
          <w:highlight w:val="none"/>
        </w:rPr>
        <w:t>如中标（成交），随中标（成交）公告公示</w:t>
      </w:r>
    </w:p>
    <w:p w14:paraId="3C98291E">
      <w:pPr>
        <w:rPr>
          <w:rFonts w:ascii="黑体" w:hAnsi="黑体" w:eastAsia="黑体"/>
          <w:color w:val="auto"/>
          <w:sz w:val="44"/>
          <w:szCs w:val="44"/>
          <w:highlight w:val="none"/>
        </w:rPr>
      </w:pPr>
    </w:p>
    <w:p w14:paraId="2A55FB81">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残疾人福利性单位声明函</w:t>
      </w:r>
    </w:p>
    <w:p w14:paraId="62A7B408">
      <w:pPr>
        <w:spacing w:line="588"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仿宋_GB2312" w:hAnsi="仿宋" w:eastAsia="仿宋_GB2312"/>
          <w:color w:val="auto"/>
          <w:sz w:val="32"/>
          <w:szCs w:val="32"/>
          <w:highlight w:val="none"/>
          <w:u w:val="single"/>
        </w:rPr>
        <w:t xml:space="preserve"> </w:t>
      </w:r>
      <w:r>
        <w:rPr>
          <w:rFonts w:ascii="仿宋_GB2312" w:hAnsi="仿宋" w:eastAsia="仿宋_GB2312"/>
          <w:color w:val="auto"/>
          <w:sz w:val="32"/>
          <w:szCs w:val="32"/>
          <w:highlight w:val="none"/>
          <w:u w:val="single"/>
        </w:rPr>
        <w:t xml:space="preserve"> </w:t>
      </w:r>
      <w:r>
        <w:rPr>
          <w:rFonts w:hint="eastAsia" w:ascii="仿宋_GB2312" w:hAnsi="仿宋" w:eastAsia="仿宋_GB2312"/>
          <w:color w:val="auto"/>
          <w:sz w:val="32"/>
          <w:szCs w:val="32"/>
          <w:highlight w:val="none"/>
        </w:rPr>
        <w:t>_单位的_</w:t>
      </w:r>
      <w:r>
        <w:rPr>
          <w:rFonts w:hint="eastAsia" w:ascii="仿宋_GB2312" w:hAnsi="仿宋" w:eastAsia="仿宋_GB2312"/>
          <w:color w:val="auto"/>
          <w:sz w:val="32"/>
          <w:szCs w:val="32"/>
          <w:highlight w:val="none"/>
          <w:u w:val="single"/>
        </w:rPr>
        <w:t xml:space="preserve"> </w:t>
      </w:r>
      <w:r>
        <w:rPr>
          <w:rFonts w:ascii="仿宋_GB2312" w:hAnsi="仿宋" w:eastAsia="仿宋_GB2312"/>
          <w:color w:val="auto"/>
          <w:sz w:val="32"/>
          <w:szCs w:val="32"/>
          <w:highlight w:val="none"/>
          <w:u w:val="single"/>
        </w:rPr>
        <w:t xml:space="preserve"> </w:t>
      </w:r>
      <w:r>
        <w:rPr>
          <w:rFonts w:hint="eastAsia" w:ascii="仿宋_GB2312" w:hAnsi="仿宋" w:eastAsia="仿宋_GB2312"/>
          <w:color w:val="auto"/>
          <w:sz w:val="32"/>
          <w:szCs w:val="32"/>
          <w:highlight w:val="none"/>
        </w:rPr>
        <w:t>_项目采购活动提供本单位制造的货物（由本单位承担工程/提供服务），或者提供其他残疾人福利性单位制造的货物（不包括使用非残疾人福利性单位注册商标的货物）。</w:t>
      </w:r>
    </w:p>
    <w:p w14:paraId="5F15AD04">
      <w:pPr>
        <w:spacing w:line="588"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本单位对上述声明的真实性负责。如有虚假，将依法承担相应责任。</w:t>
      </w:r>
    </w:p>
    <w:p w14:paraId="11AE6E42">
      <w:pPr>
        <w:spacing w:line="588" w:lineRule="exact"/>
        <w:ind w:firstLine="640" w:firstLineChars="200"/>
        <w:rPr>
          <w:rFonts w:ascii="仿宋_GB2312" w:hAnsi="仿宋" w:eastAsia="仿宋_GB2312"/>
          <w:color w:val="auto"/>
          <w:sz w:val="32"/>
          <w:szCs w:val="32"/>
          <w:highlight w:val="none"/>
        </w:rPr>
      </w:pPr>
    </w:p>
    <w:p w14:paraId="113BD311">
      <w:pPr>
        <w:spacing w:line="588" w:lineRule="exact"/>
        <w:ind w:firstLine="664" w:firstLineChars="200"/>
        <w:rPr>
          <w:rFonts w:ascii="仿宋_GB2312" w:eastAsia="仿宋_GB2312"/>
          <w:color w:val="auto"/>
          <w:spacing w:val="6"/>
          <w:sz w:val="32"/>
          <w:szCs w:val="32"/>
          <w:highlight w:val="none"/>
        </w:rPr>
      </w:pPr>
    </w:p>
    <w:p w14:paraId="1A498D17">
      <w:pPr>
        <w:shd w:val="clear" w:color="auto" w:fill="FFFFFF"/>
        <w:spacing w:line="560" w:lineRule="exact"/>
        <w:ind w:firstLine="5312" w:firstLineChars="1660"/>
        <w:rPr>
          <w:rFonts w:ascii="仿宋_GB2312" w:hAnsi="仿宋" w:eastAsia="仿宋_GB2312" w:cs="Arial"/>
          <w:color w:val="auto"/>
          <w:sz w:val="32"/>
          <w:szCs w:val="32"/>
          <w:highlight w:val="none"/>
        </w:rPr>
      </w:pPr>
      <w:r>
        <w:rPr>
          <w:rFonts w:hint="eastAsia" w:ascii="仿宋_GB2312" w:hAnsi="仿宋" w:eastAsia="仿宋_GB2312" w:cs="Arial"/>
          <w:color w:val="auto"/>
          <w:sz w:val="32"/>
          <w:szCs w:val="32"/>
          <w:highlight w:val="none"/>
        </w:rPr>
        <w:t xml:space="preserve">企业名称（盖章）： </w:t>
      </w:r>
      <w:r>
        <w:rPr>
          <w:rFonts w:ascii="仿宋_GB2312" w:hAnsi="仿宋" w:eastAsia="仿宋_GB2312" w:cs="Arial"/>
          <w:color w:val="auto"/>
          <w:sz w:val="32"/>
          <w:szCs w:val="32"/>
          <w:highlight w:val="none"/>
        </w:rPr>
        <w:t xml:space="preserve"> </w:t>
      </w:r>
    </w:p>
    <w:p w14:paraId="070FA552">
      <w:pPr>
        <w:shd w:val="clear" w:color="auto" w:fill="FFFFFF"/>
        <w:spacing w:line="560" w:lineRule="exact"/>
        <w:ind w:firstLine="5280" w:firstLineChars="1650"/>
        <w:rPr>
          <w:rFonts w:ascii="仿宋_GB2312" w:hAnsi="仿宋" w:eastAsia="仿宋_GB2312" w:cs="Arial"/>
          <w:color w:val="auto"/>
          <w:sz w:val="32"/>
          <w:szCs w:val="32"/>
          <w:highlight w:val="none"/>
        </w:rPr>
      </w:pPr>
      <w:r>
        <w:rPr>
          <w:rFonts w:hint="eastAsia" w:ascii="仿宋_GB2312" w:hAnsi="仿宋" w:eastAsia="仿宋_GB2312" w:cs="Arial"/>
          <w:color w:val="auto"/>
          <w:sz w:val="32"/>
          <w:szCs w:val="32"/>
          <w:highlight w:val="none"/>
        </w:rPr>
        <w:t xml:space="preserve">日   期：  </w:t>
      </w:r>
    </w:p>
    <w:p w14:paraId="4CA7C7C8">
      <w:pPr>
        <w:widowControl/>
        <w:jc w:val="right"/>
        <w:rPr>
          <w:rFonts w:ascii="仿宋_GB2312" w:hAnsi="仿宋" w:eastAsia="仿宋_GB2312" w:cs="Arial"/>
          <w:color w:val="auto"/>
          <w:sz w:val="32"/>
          <w:szCs w:val="32"/>
          <w:highlight w:val="none"/>
        </w:rPr>
      </w:pPr>
      <w:r>
        <w:rPr>
          <w:rFonts w:ascii="仿宋_GB2312" w:hAnsi="仿宋" w:eastAsia="仿宋_GB2312" w:cs="Arial"/>
          <w:color w:val="auto"/>
          <w:sz w:val="32"/>
          <w:szCs w:val="32"/>
          <w:highlight w:val="none"/>
        </w:rPr>
        <w:br w:type="page"/>
      </w:r>
      <w:r>
        <w:rPr>
          <w:rFonts w:hint="eastAsia" w:ascii="仿宋_GB2312" w:hAnsi="宋体" w:eastAsia="仿宋_GB2312"/>
          <w:color w:val="auto"/>
          <w:sz w:val="22"/>
          <w:szCs w:val="28"/>
          <w:highlight w:val="none"/>
        </w:rPr>
        <w:t>如中标（成交），随中标（成交）公告公示</w:t>
      </w:r>
    </w:p>
    <w:p w14:paraId="70CA52E3">
      <w:pPr>
        <w:widowControl/>
        <w:jc w:val="center"/>
        <w:rPr>
          <w:rFonts w:ascii="仿宋_GB2312" w:hAnsi="仿宋" w:eastAsia="仿宋_GB2312" w:cs="Arial"/>
          <w:color w:val="auto"/>
          <w:sz w:val="32"/>
          <w:szCs w:val="32"/>
          <w:highlight w:val="none"/>
        </w:rPr>
      </w:pPr>
    </w:p>
    <w:p w14:paraId="40981715">
      <w:pPr>
        <w:widowControl/>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国内同类项目业绩表</w:t>
      </w:r>
    </w:p>
    <w:tbl>
      <w:tblPr>
        <w:tblStyle w:val="35"/>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917"/>
        <w:gridCol w:w="2552"/>
        <w:gridCol w:w="1134"/>
        <w:gridCol w:w="1417"/>
        <w:gridCol w:w="1276"/>
        <w:gridCol w:w="1210"/>
      </w:tblGrid>
      <w:tr w14:paraId="0EEC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44DA1552">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序号</w:t>
            </w:r>
          </w:p>
        </w:tc>
        <w:tc>
          <w:tcPr>
            <w:tcW w:w="917" w:type="dxa"/>
            <w:vAlign w:val="center"/>
          </w:tcPr>
          <w:p w14:paraId="7BE31A9B">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用户名称</w:t>
            </w:r>
          </w:p>
        </w:tc>
        <w:tc>
          <w:tcPr>
            <w:tcW w:w="2552" w:type="dxa"/>
            <w:vAlign w:val="center"/>
          </w:tcPr>
          <w:p w14:paraId="7FB52EE7">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1134" w:type="dxa"/>
            <w:vAlign w:val="center"/>
          </w:tcPr>
          <w:p w14:paraId="7171C88D">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合同额</w:t>
            </w:r>
          </w:p>
        </w:tc>
        <w:tc>
          <w:tcPr>
            <w:tcW w:w="1417" w:type="dxa"/>
            <w:vAlign w:val="center"/>
          </w:tcPr>
          <w:p w14:paraId="1F7D983D">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签订时间</w:t>
            </w:r>
          </w:p>
        </w:tc>
        <w:tc>
          <w:tcPr>
            <w:tcW w:w="1276" w:type="dxa"/>
            <w:vAlign w:val="center"/>
          </w:tcPr>
          <w:p w14:paraId="0DF5CD4B">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电话/联系人</w:t>
            </w:r>
          </w:p>
        </w:tc>
        <w:tc>
          <w:tcPr>
            <w:tcW w:w="1210" w:type="dxa"/>
            <w:vAlign w:val="center"/>
          </w:tcPr>
          <w:p w14:paraId="72D38628">
            <w:pPr>
              <w:adjustRightInd w:val="0"/>
              <w:snapToGrid w:val="0"/>
              <w:spacing w:line="20" w:lineRule="atLeas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备注</w:t>
            </w:r>
          </w:p>
        </w:tc>
      </w:tr>
      <w:tr w14:paraId="0095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5BCCF77">
            <w:pPr>
              <w:jc w:val="center"/>
              <w:rPr>
                <w:rFonts w:ascii="仿宋_GB2312" w:hAnsi="仿宋" w:eastAsia="仿宋_GB2312"/>
                <w:color w:val="auto"/>
                <w:sz w:val="30"/>
                <w:szCs w:val="30"/>
                <w:highlight w:val="none"/>
              </w:rPr>
            </w:pPr>
          </w:p>
        </w:tc>
        <w:tc>
          <w:tcPr>
            <w:tcW w:w="917" w:type="dxa"/>
            <w:vAlign w:val="center"/>
          </w:tcPr>
          <w:p w14:paraId="209C1376">
            <w:pPr>
              <w:jc w:val="center"/>
              <w:rPr>
                <w:rFonts w:ascii="仿宋_GB2312" w:hAnsi="仿宋" w:eastAsia="仿宋_GB2312"/>
                <w:color w:val="auto"/>
                <w:sz w:val="30"/>
                <w:szCs w:val="30"/>
                <w:highlight w:val="none"/>
              </w:rPr>
            </w:pPr>
          </w:p>
        </w:tc>
        <w:tc>
          <w:tcPr>
            <w:tcW w:w="2552" w:type="dxa"/>
            <w:vAlign w:val="center"/>
          </w:tcPr>
          <w:p w14:paraId="082CF304">
            <w:pPr>
              <w:jc w:val="center"/>
              <w:rPr>
                <w:rFonts w:ascii="仿宋_GB2312" w:hAnsi="仿宋" w:eastAsia="仿宋_GB2312"/>
                <w:color w:val="auto"/>
                <w:sz w:val="30"/>
                <w:szCs w:val="30"/>
                <w:highlight w:val="none"/>
              </w:rPr>
            </w:pPr>
          </w:p>
        </w:tc>
        <w:tc>
          <w:tcPr>
            <w:tcW w:w="1134" w:type="dxa"/>
            <w:vAlign w:val="center"/>
          </w:tcPr>
          <w:p w14:paraId="30BC7F3E">
            <w:pPr>
              <w:jc w:val="center"/>
              <w:rPr>
                <w:rFonts w:ascii="仿宋_GB2312" w:hAnsi="仿宋" w:eastAsia="仿宋_GB2312"/>
                <w:color w:val="auto"/>
                <w:sz w:val="30"/>
                <w:szCs w:val="30"/>
                <w:highlight w:val="none"/>
              </w:rPr>
            </w:pPr>
          </w:p>
        </w:tc>
        <w:tc>
          <w:tcPr>
            <w:tcW w:w="1417" w:type="dxa"/>
            <w:vAlign w:val="center"/>
          </w:tcPr>
          <w:p w14:paraId="21961CAD">
            <w:pPr>
              <w:jc w:val="center"/>
              <w:rPr>
                <w:rFonts w:ascii="仿宋_GB2312" w:hAnsi="仿宋" w:eastAsia="仿宋_GB2312"/>
                <w:color w:val="auto"/>
                <w:sz w:val="30"/>
                <w:szCs w:val="30"/>
                <w:highlight w:val="none"/>
              </w:rPr>
            </w:pPr>
          </w:p>
        </w:tc>
        <w:tc>
          <w:tcPr>
            <w:tcW w:w="1276" w:type="dxa"/>
            <w:vAlign w:val="center"/>
          </w:tcPr>
          <w:p w14:paraId="7E4D470C">
            <w:pPr>
              <w:jc w:val="center"/>
              <w:rPr>
                <w:rFonts w:ascii="仿宋_GB2312" w:hAnsi="仿宋" w:eastAsia="仿宋_GB2312"/>
                <w:color w:val="auto"/>
                <w:sz w:val="30"/>
                <w:szCs w:val="30"/>
                <w:highlight w:val="none"/>
              </w:rPr>
            </w:pPr>
          </w:p>
        </w:tc>
        <w:tc>
          <w:tcPr>
            <w:tcW w:w="1210" w:type="dxa"/>
            <w:vAlign w:val="center"/>
          </w:tcPr>
          <w:p w14:paraId="7734F684">
            <w:pPr>
              <w:jc w:val="center"/>
              <w:rPr>
                <w:rFonts w:ascii="仿宋_GB2312" w:hAnsi="仿宋" w:eastAsia="仿宋_GB2312"/>
                <w:color w:val="auto"/>
                <w:sz w:val="30"/>
                <w:szCs w:val="30"/>
                <w:highlight w:val="none"/>
              </w:rPr>
            </w:pPr>
          </w:p>
        </w:tc>
      </w:tr>
      <w:tr w14:paraId="3BCF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1C7461B">
            <w:pPr>
              <w:jc w:val="center"/>
              <w:rPr>
                <w:rFonts w:ascii="仿宋_GB2312" w:hAnsi="仿宋" w:eastAsia="仿宋_GB2312"/>
                <w:color w:val="auto"/>
                <w:sz w:val="30"/>
                <w:szCs w:val="30"/>
                <w:highlight w:val="none"/>
              </w:rPr>
            </w:pPr>
          </w:p>
        </w:tc>
        <w:tc>
          <w:tcPr>
            <w:tcW w:w="917" w:type="dxa"/>
            <w:vAlign w:val="center"/>
          </w:tcPr>
          <w:p w14:paraId="66F54533">
            <w:pPr>
              <w:jc w:val="center"/>
              <w:rPr>
                <w:rFonts w:ascii="仿宋_GB2312" w:hAnsi="仿宋" w:eastAsia="仿宋_GB2312"/>
                <w:color w:val="auto"/>
                <w:sz w:val="30"/>
                <w:szCs w:val="30"/>
                <w:highlight w:val="none"/>
              </w:rPr>
            </w:pPr>
          </w:p>
        </w:tc>
        <w:tc>
          <w:tcPr>
            <w:tcW w:w="2552" w:type="dxa"/>
            <w:vAlign w:val="center"/>
          </w:tcPr>
          <w:p w14:paraId="4DA5370E">
            <w:pPr>
              <w:jc w:val="center"/>
              <w:rPr>
                <w:rFonts w:ascii="仿宋_GB2312" w:hAnsi="仿宋" w:eastAsia="仿宋_GB2312"/>
                <w:color w:val="auto"/>
                <w:sz w:val="30"/>
                <w:szCs w:val="30"/>
                <w:highlight w:val="none"/>
              </w:rPr>
            </w:pPr>
          </w:p>
        </w:tc>
        <w:tc>
          <w:tcPr>
            <w:tcW w:w="1134" w:type="dxa"/>
            <w:vAlign w:val="center"/>
          </w:tcPr>
          <w:p w14:paraId="04B7A7B8">
            <w:pPr>
              <w:jc w:val="center"/>
              <w:rPr>
                <w:rFonts w:ascii="仿宋_GB2312" w:hAnsi="仿宋" w:eastAsia="仿宋_GB2312"/>
                <w:color w:val="auto"/>
                <w:sz w:val="30"/>
                <w:szCs w:val="30"/>
                <w:highlight w:val="none"/>
              </w:rPr>
            </w:pPr>
          </w:p>
        </w:tc>
        <w:tc>
          <w:tcPr>
            <w:tcW w:w="1417" w:type="dxa"/>
            <w:vAlign w:val="center"/>
          </w:tcPr>
          <w:p w14:paraId="2D11A934">
            <w:pPr>
              <w:jc w:val="center"/>
              <w:rPr>
                <w:rFonts w:ascii="仿宋_GB2312" w:hAnsi="仿宋" w:eastAsia="仿宋_GB2312"/>
                <w:color w:val="auto"/>
                <w:sz w:val="30"/>
                <w:szCs w:val="30"/>
                <w:highlight w:val="none"/>
              </w:rPr>
            </w:pPr>
          </w:p>
        </w:tc>
        <w:tc>
          <w:tcPr>
            <w:tcW w:w="1276" w:type="dxa"/>
            <w:vAlign w:val="center"/>
          </w:tcPr>
          <w:p w14:paraId="0ED82E32">
            <w:pPr>
              <w:jc w:val="center"/>
              <w:rPr>
                <w:rFonts w:ascii="仿宋_GB2312" w:hAnsi="仿宋" w:eastAsia="仿宋_GB2312"/>
                <w:color w:val="auto"/>
                <w:sz w:val="30"/>
                <w:szCs w:val="30"/>
                <w:highlight w:val="none"/>
              </w:rPr>
            </w:pPr>
          </w:p>
        </w:tc>
        <w:tc>
          <w:tcPr>
            <w:tcW w:w="1210" w:type="dxa"/>
            <w:vAlign w:val="center"/>
          </w:tcPr>
          <w:p w14:paraId="0510DDCF">
            <w:pPr>
              <w:jc w:val="center"/>
              <w:rPr>
                <w:rFonts w:ascii="仿宋_GB2312" w:hAnsi="仿宋" w:eastAsia="仿宋_GB2312"/>
                <w:color w:val="auto"/>
                <w:sz w:val="30"/>
                <w:szCs w:val="30"/>
                <w:highlight w:val="none"/>
              </w:rPr>
            </w:pPr>
          </w:p>
        </w:tc>
      </w:tr>
      <w:tr w14:paraId="3212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44D01FB">
            <w:pPr>
              <w:jc w:val="center"/>
              <w:rPr>
                <w:rFonts w:ascii="仿宋_GB2312" w:hAnsi="仿宋" w:eastAsia="仿宋_GB2312"/>
                <w:color w:val="auto"/>
                <w:sz w:val="30"/>
                <w:szCs w:val="30"/>
                <w:highlight w:val="none"/>
              </w:rPr>
            </w:pPr>
          </w:p>
        </w:tc>
        <w:tc>
          <w:tcPr>
            <w:tcW w:w="917" w:type="dxa"/>
            <w:vAlign w:val="center"/>
          </w:tcPr>
          <w:p w14:paraId="0780B8FF">
            <w:pPr>
              <w:jc w:val="center"/>
              <w:rPr>
                <w:rFonts w:ascii="仿宋_GB2312" w:hAnsi="仿宋" w:eastAsia="仿宋_GB2312"/>
                <w:color w:val="auto"/>
                <w:sz w:val="30"/>
                <w:szCs w:val="30"/>
                <w:highlight w:val="none"/>
              </w:rPr>
            </w:pPr>
          </w:p>
        </w:tc>
        <w:tc>
          <w:tcPr>
            <w:tcW w:w="2552" w:type="dxa"/>
            <w:vAlign w:val="center"/>
          </w:tcPr>
          <w:p w14:paraId="3506FA84">
            <w:pPr>
              <w:jc w:val="center"/>
              <w:rPr>
                <w:rFonts w:ascii="仿宋_GB2312" w:hAnsi="仿宋" w:eastAsia="仿宋_GB2312"/>
                <w:color w:val="auto"/>
                <w:sz w:val="30"/>
                <w:szCs w:val="30"/>
                <w:highlight w:val="none"/>
              </w:rPr>
            </w:pPr>
          </w:p>
        </w:tc>
        <w:tc>
          <w:tcPr>
            <w:tcW w:w="1134" w:type="dxa"/>
            <w:vAlign w:val="center"/>
          </w:tcPr>
          <w:p w14:paraId="193A7BDA">
            <w:pPr>
              <w:jc w:val="center"/>
              <w:rPr>
                <w:rFonts w:ascii="仿宋_GB2312" w:hAnsi="仿宋" w:eastAsia="仿宋_GB2312"/>
                <w:color w:val="auto"/>
                <w:sz w:val="30"/>
                <w:szCs w:val="30"/>
                <w:highlight w:val="none"/>
              </w:rPr>
            </w:pPr>
          </w:p>
        </w:tc>
        <w:tc>
          <w:tcPr>
            <w:tcW w:w="1417" w:type="dxa"/>
            <w:vAlign w:val="center"/>
          </w:tcPr>
          <w:p w14:paraId="5CC4064E">
            <w:pPr>
              <w:jc w:val="center"/>
              <w:rPr>
                <w:rFonts w:ascii="仿宋_GB2312" w:hAnsi="仿宋" w:eastAsia="仿宋_GB2312"/>
                <w:color w:val="auto"/>
                <w:sz w:val="30"/>
                <w:szCs w:val="30"/>
                <w:highlight w:val="none"/>
              </w:rPr>
            </w:pPr>
          </w:p>
        </w:tc>
        <w:tc>
          <w:tcPr>
            <w:tcW w:w="1276" w:type="dxa"/>
            <w:vAlign w:val="center"/>
          </w:tcPr>
          <w:p w14:paraId="34438C22">
            <w:pPr>
              <w:jc w:val="center"/>
              <w:rPr>
                <w:rFonts w:ascii="仿宋_GB2312" w:hAnsi="仿宋" w:eastAsia="仿宋_GB2312"/>
                <w:color w:val="auto"/>
                <w:sz w:val="30"/>
                <w:szCs w:val="30"/>
                <w:highlight w:val="none"/>
              </w:rPr>
            </w:pPr>
          </w:p>
        </w:tc>
        <w:tc>
          <w:tcPr>
            <w:tcW w:w="1210" w:type="dxa"/>
            <w:vAlign w:val="center"/>
          </w:tcPr>
          <w:p w14:paraId="2939C140">
            <w:pPr>
              <w:jc w:val="center"/>
              <w:rPr>
                <w:rFonts w:ascii="仿宋_GB2312" w:hAnsi="仿宋" w:eastAsia="仿宋_GB2312"/>
                <w:color w:val="auto"/>
                <w:sz w:val="30"/>
                <w:szCs w:val="30"/>
                <w:highlight w:val="none"/>
              </w:rPr>
            </w:pPr>
          </w:p>
        </w:tc>
      </w:tr>
      <w:tr w14:paraId="676E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1050A7E">
            <w:pPr>
              <w:jc w:val="center"/>
              <w:rPr>
                <w:rFonts w:ascii="仿宋_GB2312" w:hAnsi="仿宋" w:eastAsia="仿宋_GB2312"/>
                <w:color w:val="auto"/>
                <w:sz w:val="30"/>
                <w:szCs w:val="30"/>
                <w:highlight w:val="none"/>
              </w:rPr>
            </w:pPr>
          </w:p>
        </w:tc>
        <w:tc>
          <w:tcPr>
            <w:tcW w:w="917" w:type="dxa"/>
            <w:vAlign w:val="center"/>
          </w:tcPr>
          <w:p w14:paraId="4DFC31E5">
            <w:pPr>
              <w:jc w:val="center"/>
              <w:rPr>
                <w:rFonts w:ascii="仿宋_GB2312" w:hAnsi="仿宋" w:eastAsia="仿宋_GB2312"/>
                <w:color w:val="auto"/>
                <w:sz w:val="30"/>
                <w:szCs w:val="30"/>
                <w:highlight w:val="none"/>
              </w:rPr>
            </w:pPr>
          </w:p>
        </w:tc>
        <w:tc>
          <w:tcPr>
            <w:tcW w:w="2552" w:type="dxa"/>
            <w:vAlign w:val="center"/>
          </w:tcPr>
          <w:p w14:paraId="0399FB34">
            <w:pPr>
              <w:jc w:val="center"/>
              <w:rPr>
                <w:rFonts w:ascii="仿宋_GB2312" w:hAnsi="仿宋" w:eastAsia="仿宋_GB2312"/>
                <w:color w:val="auto"/>
                <w:sz w:val="30"/>
                <w:szCs w:val="30"/>
                <w:highlight w:val="none"/>
              </w:rPr>
            </w:pPr>
          </w:p>
        </w:tc>
        <w:tc>
          <w:tcPr>
            <w:tcW w:w="1134" w:type="dxa"/>
            <w:vAlign w:val="center"/>
          </w:tcPr>
          <w:p w14:paraId="4842AEEB">
            <w:pPr>
              <w:jc w:val="center"/>
              <w:rPr>
                <w:rFonts w:ascii="仿宋_GB2312" w:hAnsi="仿宋" w:eastAsia="仿宋_GB2312"/>
                <w:color w:val="auto"/>
                <w:sz w:val="30"/>
                <w:szCs w:val="30"/>
                <w:highlight w:val="none"/>
              </w:rPr>
            </w:pPr>
          </w:p>
        </w:tc>
        <w:tc>
          <w:tcPr>
            <w:tcW w:w="1417" w:type="dxa"/>
            <w:vAlign w:val="center"/>
          </w:tcPr>
          <w:p w14:paraId="623F191C">
            <w:pPr>
              <w:jc w:val="center"/>
              <w:rPr>
                <w:rFonts w:ascii="仿宋_GB2312" w:hAnsi="仿宋" w:eastAsia="仿宋_GB2312"/>
                <w:color w:val="auto"/>
                <w:sz w:val="30"/>
                <w:szCs w:val="30"/>
                <w:highlight w:val="none"/>
              </w:rPr>
            </w:pPr>
          </w:p>
        </w:tc>
        <w:tc>
          <w:tcPr>
            <w:tcW w:w="1276" w:type="dxa"/>
            <w:vAlign w:val="center"/>
          </w:tcPr>
          <w:p w14:paraId="3A29B64A">
            <w:pPr>
              <w:jc w:val="center"/>
              <w:rPr>
                <w:rFonts w:ascii="仿宋_GB2312" w:hAnsi="仿宋" w:eastAsia="仿宋_GB2312"/>
                <w:color w:val="auto"/>
                <w:sz w:val="30"/>
                <w:szCs w:val="30"/>
                <w:highlight w:val="none"/>
              </w:rPr>
            </w:pPr>
          </w:p>
        </w:tc>
        <w:tc>
          <w:tcPr>
            <w:tcW w:w="1210" w:type="dxa"/>
            <w:vAlign w:val="center"/>
          </w:tcPr>
          <w:p w14:paraId="0474E7A3">
            <w:pPr>
              <w:jc w:val="center"/>
              <w:rPr>
                <w:rFonts w:ascii="仿宋_GB2312" w:hAnsi="仿宋" w:eastAsia="仿宋_GB2312"/>
                <w:color w:val="auto"/>
                <w:sz w:val="30"/>
                <w:szCs w:val="30"/>
                <w:highlight w:val="none"/>
              </w:rPr>
            </w:pPr>
          </w:p>
        </w:tc>
      </w:tr>
      <w:tr w14:paraId="5993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5F8B12E">
            <w:pPr>
              <w:jc w:val="center"/>
              <w:rPr>
                <w:rFonts w:ascii="仿宋_GB2312" w:hAnsi="仿宋" w:eastAsia="仿宋_GB2312"/>
                <w:color w:val="auto"/>
                <w:sz w:val="30"/>
                <w:szCs w:val="30"/>
                <w:highlight w:val="none"/>
              </w:rPr>
            </w:pPr>
          </w:p>
        </w:tc>
        <w:tc>
          <w:tcPr>
            <w:tcW w:w="917" w:type="dxa"/>
            <w:vAlign w:val="center"/>
          </w:tcPr>
          <w:p w14:paraId="68D0474A">
            <w:pPr>
              <w:jc w:val="center"/>
              <w:rPr>
                <w:rFonts w:ascii="仿宋_GB2312" w:hAnsi="仿宋" w:eastAsia="仿宋_GB2312"/>
                <w:color w:val="auto"/>
                <w:sz w:val="30"/>
                <w:szCs w:val="30"/>
                <w:highlight w:val="none"/>
              </w:rPr>
            </w:pPr>
          </w:p>
        </w:tc>
        <w:tc>
          <w:tcPr>
            <w:tcW w:w="2552" w:type="dxa"/>
            <w:vAlign w:val="center"/>
          </w:tcPr>
          <w:p w14:paraId="65F84814">
            <w:pPr>
              <w:jc w:val="center"/>
              <w:rPr>
                <w:rFonts w:ascii="仿宋_GB2312" w:hAnsi="仿宋" w:eastAsia="仿宋_GB2312"/>
                <w:color w:val="auto"/>
                <w:sz w:val="30"/>
                <w:szCs w:val="30"/>
                <w:highlight w:val="none"/>
              </w:rPr>
            </w:pPr>
          </w:p>
        </w:tc>
        <w:tc>
          <w:tcPr>
            <w:tcW w:w="1134" w:type="dxa"/>
            <w:vAlign w:val="center"/>
          </w:tcPr>
          <w:p w14:paraId="2BC10420">
            <w:pPr>
              <w:jc w:val="center"/>
              <w:rPr>
                <w:rFonts w:ascii="仿宋_GB2312" w:hAnsi="仿宋" w:eastAsia="仿宋_GB2312"/>
                <w:color w:val="auto"/>
                <w:sz w:val="30"/>
                <w:szCs w:val="30"/>
                <w:highlight w:val="none"/>
              </w:rPr>
            </w:pPr>
          </w:p>
        </w:tc>
        <w:tc>
          <w:tcPr>
            <w:tcW w:w="1417" w:type="dxa"/>
            <w:vAlign w:val="center"/>
          </w:tcPr>
          <w:p w14:paraId="1464A719">
            <w:pPr>
              <w:jc w:val="center"/>
              <w:rPr>
                <w:rFonts w:ascii="仿宋_GB2312" w:hAnsi="仿宋" w:eastAsia="仿宋_GB2312"/>
                <w:color w:val="auto"/>
                <w:sz w:val="30"/>
                <w:szCs w:val="30"/>
                <w:highlight w:val="none"/>
              </w:rPr>
            </w:pPr>
          </w:p>
        </w:tc>
        <w:tc>
          <w:tcPr>
            <w:tcW w:w="1276" w:type="dxa"/>
            <w:vAlign w:val="center"/>
          </w:tcPr>
          <w:p w14:paraId="4D739551">
            <w:pPr>
              <w:jc w:val="center"/>
              <w:rPr>
                <w:rFonts w:ascii="仿宋_GB2312" w:hAnsi="仿宋" w:eastAsia="仿宋_GB2312"/>
                <w:color w:val="auto"/>
                <w:sz w:val="30"/>
                <w:szCs w:val="30"/>
                <w:highlight w:val="none"/>
              </w:rPr>
            </w:pPr>
          </w:p>
        </w:tc>
        <w:tc>
          <w:tcPr>
            <w:tcW w:w="1210" w:type="dxa"/>
            <w:vAlign w:val="center"/>
          </w:tcPr>
          <w:p w14:paraId="0E1BBB04">
            <w:pPr>
              <w:jc w:val="center"/>
              <w:rPr>
                <w:rFonts w:ascii="仿宋_GB2312" w:hAnsi="仿宋" w:eastAsia="仿宋_GB2312"/>
                <w:color w:val="auto"/>
                <w:sz w:val="30"/>
                <w:szCs w:val="30"/>
                <w:highlight w:val="none"/>
              </w:rPr>
            </w:pPr>
          </w:p>
        </w:tc>
      </w:tr>
      <w:tr w14:paraId="52421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97345FE">
            <w:pPr>
              <w:jc w:val="center"/>
              <w:rPr>
                <w:rFonts w:ascii="仿宋_GB2312" w:hAnsi="仿宋" w:eastAsia="仿宋_GB2312"/>
                <w:color w:val="auto"/>
                <w:sz w:val="30"/>
                <w:szCs w:val="30"/>
                <w:highlight w:val="none"/>
              </w:rPr>
            </w:pPr>
          </w:p>
        </w:tc>
        <w:tc>
          <w:tcPr>
            <w:tcW w:w="917" w:type="dxa"/>
            <w:vAlign w:val="center"/>
          </w:tcPr>
          <w:p w14:paraId="233EF866">
            <w:pPr>
              <w:jc w:val="center"/>
              <w:rPr>
                <w:rFonts w:ascii="仿宋_GB2312" w:hAnsi="仿宋" w:eastAsia="仿宋_GB2312"/>
                <w:color w:val="auto"/>
                <w:sz w:val="30"/>
                <w:szCs w:val="30"/>
                <w:highlight w:val="none"/>
              </w:rPr>
            </w:pPr>
          </w:p>
        </w:tc>
        <w:tc>
          <w:tcPr>
            <w:tcW w:w="2552" w:type="dxa"/>
            <w:vAlign w:val="center"/>
          </w:tcPr>
          <w:p w14:paraId="49D4EEBC">
            <w:pPr>
              <w:jc w:val="center"/>
              <w:rPr>
                <w:rFonts w:ascii="仿宋_GB2312" w:hAnsi="仿宋" w:eastAsia="仿宋_GB2312"/>
                <w:color w:val="auto"/>
                <w:sz w:val="30"/>
                <w:szCs w:val="30"/>
                <w:highlight w:val="none"/>
              </w:rPr>
            </w:pPr>
          </w:p>
        </w:tc>
        <w:tc>
          <w:tcPr>
            <w:tcW w:w="1134" w:type="dxa"/>
            <w:vAlign w:val="center"/>
          </w:tcPr>
          <w:p w14:paraId="48D18FFA">
            <w:pPr>
              <w:jc w:val="center"/>
              <w:rPr>
                <w:rFonts w:ascii="仿宋_GB2312" w:hAnsi="仿宋" w:eastAsia="仿宋_GB2312"/>
                <w:color w:val="auto"/>
                <w:sz w:val="30"/>
                <w:szCs w:val="30"/>
                <w:highlight w:val="none"/>
              </w:rPr>
            </w:pPr>
          </w:p>
        </w:tc>
        <w:tc>
          <w:tcPr>
            <w:tcW w:w="1417" w:type="dxa"/>
            <w:vAlign w:val="center"/>
          </w:tcPr>
          <w:p w14:paraId="7A88C25D">
            <w:pPr>
              <w:jc w:val="center"/>
              <w:rPr>
                <w:rFonts w:ascii="仿宋_GB2312" w:hAnsi="仿宋" w:eastAsia="仿宋_GB2312"/>
                <w:color w:val="auto"/>
                <w:sz w:val="30"/>
                <w:szCs w:val="30"/>
                <w:highlight w:val="none"/>
              </w:rPr>
            </w:pPr>
          </w:p>
        </w:tc>
        <w:tc>
          <w:tcPr>
            <w:tcW w:w="1276" w:type="dxa"/>
            <w:vAlign w:val="center"/>
          </w:tcPr>
          <w:p w14:paraId="04B92107">
            <w:pPr>
              <w:jc w:val="center"/>
              <w:rPr>
                <w:rFonts w:ascii="仿宋_GB2312" w:hAnsi="仿宋" w:eastAsia="仿宋_GB2312"/>
                <w:color w:val="auto"/>
                <w:sz w:val="30"/>
                <w:szCs w:val="30"/>
                <w:highlight w:val="none"/>
              </w:rPr>
            </w:pPr>
          </w:p>
        </w:tc>
        <w:tc>
          <w:tcPr>
            <w:tcW w:w="1210" w:type="dxa"/>
            <w:vAlign w:val="center"/>
          </w:tcPr>
          <w:p w14:paraId="3B3648C6">
            <w:pPr>
              <w:jc w:val="center"/>
              <w:rPr>
                <w:rFonts w:ascii="仿宋_GB2312" w:hAnsi="仿宋" w:eastAsia="仿宋_GB2312"/>
                <w:color w:val="auto"/>
                <w:sz w:val="30"/>
                <w:szCs w:val="30"/>
                <w:highlight w:val="none"/>
              </w:rPr>
            </w:pPr>
          </w:p>
        </w:tc>
      </w:tr>
      <w:tr w14:paraId="659A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2338DC5">
            <w:pPr>
              <w:jc w:val="center"/>
              <w:rPr>
                <w:rFonts w:ascii="仿宋_GB2312" w:hAnsi="仿宋" w:eastAsia="仿宋_GB2312"/>
                <w:color w:val="auto"/>
                <w:sz w:val="30"/>
                <w:szCs w:val="30"/>
                <w:highlight w:val="none"/>
              </w:rPr>
            </w:pPr>
          </w:p>
        </w:tc>
        <w:tc>
          <w:tcPr>
            <w:tcW w:w="917" w:type="dxa"/>
            <w:vAlign w:val="center"/>
          </w:tcPr>
          <w:p w14:paraId="5DB68C52">
            <w:pPr>
              <w:jc w:val="center"/>
              <w:rPr>
                <w:rFonts w:ascii="仿宋_GB2312" w:hAnsi="仿宋" w:eastAsia="仿宋_GB2312"/>
                <w:color w:val="auto"/>
                <w:sz w:val="30"/>
                <w:szCs w:val="30"/>
                <w:highlight w:val="none"/>
              </w:rPr>
            </w:pPr>
          </w:p>
        </w:tc>
        <w:tc>
          <w:tcPr>
            <w:tcW w:w="2552" w:type="dxa"/>
            <w:vAlign w:val="center"/>
          </w:tcPr>
          <w:p w14:paraId="610920D2">
            <w:pPr>
              <w:jc w:val="center"/>
              <w:rPr>
                <w:rFonts w:ascii="仿宋_GB2312" w:hAnsi="仿宋" w:eastAsia="仿宋_GB2312"/>
                <w:color w:val="auto"/>
                <w:sz w:val="30"/>
                <w:szCs w:val="30"/>
                <w:highlight w:val="none"/>
              </w:rPr>
            </w:pPr>
          </w:p>
        </w:tc>
        <w:tc>
          <w:tcPr>
            <w:tcW w:w="1134" w:type="dxa"/>
            <w:vAlign w:val="center"/>
          </w:tcPr>
          <w:p w14:paraId="36C87392">
            <w:pPr>
              <w:jc w:val="center"/>
              <w:rPr>
                <w:rFonts w:ascii="仿宋_GB2312" w:hAnsi="仿宋" w:eastAsia="仿宋_GB2312"/>
                <w:color w:val="auto"/>
                <w:sz w:val="30"/>
                <w:szCs w:val="30"/>
                <w:highlight w:val="none"/>
              </w:rPr>
            </w:pPr>
          </w:p>
        </w:tc>
        <w:tc>
          <w:tcPr>
            <w:tcW w:w="1417" w:type="dxa"/>
            <w:vAlign w:val="center"/>
          </w:tcPr>
          <w:p w14:paraId="6B56F6D5">
            <w:pPr>
              <w:jc w:val="center"/>
              <w:rPr>
                <w:rFonts w:ascii="仿宋_GB2312" w:hAnsi="仿宋" w:eastAsia="仿宋_GB2312"/>
                <w:color w:val="auto"/>
                <w:sz w:val="30"/>
                <w:szCs w:val="30"/>
                <w:highlight w:val="none"/>
              </w:rPr>
            </w:pPr>
          </w:p>
        </w:tc>
        <w:tc>
          <w:tcPr>
            <w:tcW w:w="1276" w:type="dxa"/>
            <w:vAlign w:val="center"/>
          </w:tcPr>
          <w:p w14:paraId="6FDE7ECF">
            <w:pPr>
              <w:jc w:val="center"/>
              <w:rPr>
                <w:rFonts w:ascii="仿宋_GB2312" w:hAnsi="仿宋" w:eastAsia="仿宋_GB2312"/>
                <w:color w:val="auto"/>
                <w:sz w:val="30"/>
                <w:szCs w:val="30"/>
                <w:highlight w:val="none"/>
              </w:rPr>
            </w:pPr>
          </w:p>
        </w:tc>
        <w:tc>
          <w:tcPr>
            <w:tcW w:w="1210" w:type="dxa"/>
            <w:vAlign w:val="center"/>
          </w:tcPr>
          <w:p w14:paraId="31E8BEF1">
            <w:pPr>
              <w:jc w:val="center"/>
              <w:rPr>
                <w:rFonts w:ascii="仿宋_GB2312" w:hAnsi="仿宋" w:eastAsia="仿宋_GB2312"/>
                <w:color w:val="auto"/>
                <w:sz w:val="30"/>
                <w:szCs w:val="30"/>
                <w:highlight w:val="none"/>
              </w:rPr>
            </w:pPr>
          </w:p>
        </w:tc>
      </w:tr>
      <w:tr w14:paraId="0B11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A38377E">
            <w:pPr>
              <w:jc w:val="center"/>
              <w:rPr>
                <w:rFonts w:ascii="仿宋_GB2312" w:hAnsi="仿宋" w:eastAsia="仿宋_GB2312"/>
                <w:color w:val="auto"/>
                <w:sz w:val="30"/>
                <w:szCs w:val="30"/>
                <w:highlight w:val="none"/>
              </w:rPr>
            </w:pPr>
          </w:p>
        </w:tc>
        <w:tc>
          <w:tcPr>
            <w:tcW w:w="917" w:type="dxa"/>
            <w:vAlign w:val="center"/>
          </w:tcPr>
          <w:p w14:paraId="07641830">
            <w:pPr>
              <w:jc w:val="center"/>
              <w:rPr>
                <w:rFonts w:ascii="仿宋_GB2312" w:hAnsi="仿宋" w:eastAsia="仿宋_GB2312"/>
                <w:color w:val="auto"/>
                <w:sz w:val="30"/>
                <w:szCs w:val="30"/>
                <w:highlight w:val="none"/>
              </w:rPr>
            </w:pPr>
          </w:p>
        </w:tc>
        <w:tc>
          <w:tcPr>
            <w:tcW w:w="2552" w:type="dxa"/>
            <w:vAlign w:val="center"/>
          </w:tcPr>
          <w:p w14:paraId="2FA267C5">
            <w:pPr>
              <w:jc w:val="center"/>
              <w:rPr>
                <w:rFonts w:ascii="仿宋_GB2312" w:hAnsi="仿宋" w:eastAsia="仿宋_GB2312"/>
                <w:color w:val="auto"/>
                <w:sz w:val="30"/>
                <w:szCs w:val="30"/>
                <w:highlight w:val="none"/>
              </w:rPr>
            </w:pPr>
          </w:p>
        </w:tc>
        <w:tc>
          <w:tcPr>
            <w:tcW w:w="1134" w:type="dxa"/>
            <w:vAlign w:val="center"/>
          </w:tcPr>
          <w:p w14:paraId="7C1BDC59">
            <w:pPr>
              <w:jc w:val="center"/>
              <w:rPr>
                <w:rFonts w:ascii="仿宋_GB2312" w:hAnsi="仿宋" w:eastAsia="仿宋_GB2312"/>
                <w:color w:val="auto"/>
                <w:sz w:val="30"/>
                <w:szCs w:val="30"/>
                <w:highlight w:val="none"/>
              </w:rPr>
            </w:pPr>
          </w:p>
        </w:tc>
        <w:tc>
          <w:tcPr>
            <w:tcW w:w="1417" w:type="dxa"/>
            <w:vAlign w:val="center"/>
          </w:tcPr>
          <w:p w14:paraId="0D0ABDF0">
            <w:pPr>
              <w:jc w:val="center"/>
              <w:rPr>
                <w:rFonts w:ascii="仿宋_GB2312" w:hAnsi="仿宋" w:eastAsia="仿宋_GB2312"/>
                <w:color w:val="auto"/>
                <w:sz w:val="30"/>
                <w:szCs w:val="30"/>
                <w:highlight w:val="none"/>
              </w:rPr>
            </w:pPr>
          </w:p>
        </w:tc>
        <w:tc>
          <w:tcPr>
            <w:tcW w:w="1276" w:type="dxa"/>
            <w:vAlign w:val="center"/>
          </w:tcPr>
          <w:p w14:paraId="427DD804">
            <w:pPr>
              <w:jc w:val="center"/>
              <w:rPr>
                <w:rFonts w:ascii="仿宋_GB2312" w:hAnsi="仿宋" w:eastAsia="仿宋_GB2312"/>
                <w:color w:val="auto"/>
                <w:sz w:val="30"/>
                <w:szCs w:val="30"/>
                <w:highlight w:val="none"/>
              </w:rPr>
            </w:pPr>
          </w:p>
        </w:tc>
        <w:tc>
          <w:tcPr>
            <w:tcW w:w="1210" w:type="dxa"/>
            <w:vAlign w:val="center"/>
          </w:tcPr>
          <w:p w14:paraId="7B95FC6E">
            <w:pPr>
              <w:jc w:val="center"/>
              <w:rPr>
                <w:rFonts w:ascii="仿宋_GB2312" w:hAnsi="仿宋" w:eastAsia="仿宋_GB2312"/>
                <w:color w:val="auto"/>
                <w:sz w:val="30"/>
                <w:szCs w:val="30"/>
                <w:highlight w:val="none"/>
              </w:rPr>
            </w:pPr>
          </w:p>
        </w:tc>
      </w:tr>
      <w:tr w14:paraId="129D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1A892FA">
            <w:pPr>
              <w:jc w:val="center"/>
              <w:rPr>
                <w:rFonts w:ascii="仿宋_GB2312" w:hAnsi="仿宋" w:eastAsia="仿宋_GB2312"/>
                <w:color w:val="auto"/>
                <w:sz w:val="30"/>
                <w:szCs w:val="30"/>
                <w:highlight w:val="none"/>
              </w:rPr>
            </w:pPr>
          </w:p>
        </w:tc>
        <w:tc>
          <w:tcPr>
            <w:tcW w:w="917" w:type="dxa"/>
            <w:vAlign w:val="center"/>
          </w:tcPr>
          <w:p w14:paraId="1F4252C1">
            <w:pPr>
              <w:jc w:val="center"/>
              <w:rPr>
                <w:rFonts w:ascii="仿宋_GB2312" w:hAnsi="仿宋" w:eastAsia="仿宋_GB2312"/>
                <w:color w:val="auto"/>
                <w:sz w:val="30"/>
                <w:szCs w:val="30"/>
                <w:highlight w:val="none"/>
              </w:rPr>
            </w:pPr>
          </w:p>
        </w:tc>
        <w:tc>
          <w:tcPr>
            <w:tcW w:w="2552" w:type="dxa"/>
            <w:vAlign w:val="center"/>
          </w:tcPr>
          <w:p w14:paraId="73701DEE">
            <w:pPr>
              <w:jc w:val="center"/>
              <w:rPr>
                <w:rFonts w:ascii="仿宋_GB2312" w:hAnsi="仿宋" w:eastAsia="仿宋_GB2312"/>
                <w:color w:val="auto"/>
                <w:sz w:val="30"/>
                <w:szCs w:val="30"/>
                <w:highlight w:val="none"/>
              </w:rPr>
            </w:pPr>
          </w:p>
        </w:tc>
        <w:tc>
          <w:tcPr>
            <w:tcW w:w="1134" w:type="dxa"/>
            <w:vAlign w:val="center"/>
          </w:tcPr>
          <w:p w14:paraId="35A860F4">
            <w:pPr>
              <w:jc w:val="center"/>
              <w:rPr>
                <w:rFonts w:ascii="仿宋_GB2312" w:hAnsi="仿宋" w:eastAsia="仿宋_GB2312"/>
                <w:color w:val="auto"/>
                <w:sz w:val="30"/>
                <w:szCs w:val="30"/>
                <w:highlight w:val="none"/>
              </w:rPr>
            </w:pPr>
          </w:p>
        </w:tc>
        <w:tc>
          <w:tcPr>
            <w:tcW w:w="1417" w:type="dxa"/>
            <w:vAlign w:val="center"/>
          </w:tcPr>
          <w:p w14:paraId="457DA67B">
            <w:pPr>
              <w:jc w:val="center"/>
              <w:rPr>
                <w:rFonts w:ascii="仿宋_GB2312" w:hAnsi="仿宋" w:eastAsia="仿宋_GB2312"/>
                <w:color w:val="auto"/>
                <w:sz w:val="30"/>
                <w:szCs w:val="30"/>
                <w:highlight w:val="none"/>
              </w:rPr>
            </w:pPr>
          </w:p>
        </w:tc>
        <w:tc>
          <w:tcPr>
            <w:tcW w:w="1276" w:type="dxa"/>
            <w:vAlign w:val="center"/>
          </w:tcPr>
          <w:p w14:paraId="1170A145">
            <w:pPr>
              <w:jc w:val="center"/>
              <w:rPr>
                <w:rFonts w:ascii="仿宋_GB2312" w:hAnsi="仿宋" w:eastAsia="仿宋_GB2312"/>
                <w:color w:val="auto"/>
                <w:sz w:val="30"/>
                <w:szCs w:val="30"/>
                <w:highlight w:val="none"/>
              </w:rPr>
            </w:pPr>
          </w:p>
        </w:tc>
        <w:tc>
          <w:tcPr>
            <w:tcW w:w="1210" w:type="dxa"/>
            <w:vAlign w:val="center"/>
          </w:tcPr>
          <w:p w14:paraId="0EF19BB3">
            <w:pPr>
              <w:jc w:val="center"/>
              <w:rPr>
                <w:rFonts w:ascii="仿宋_GB2312" w:hAnsi="仿宋" w:eastAsia="仿宋_GB2312"/>
                <w:color w:val="auto"/>
                <w:sz w:val="30"/>
                <w:szCs w:val="30"/>
                <w:highlight w:val="none"/>
              </w:rPr>
            </w:pPr>
          </w:p>
        </w:tc>
      </w:tr>
      <w:tr w14:paraId="30DC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0A79D40">
            <w:pPr>
              <w:jc w:val="center"/>
              <w:rPr>
                <w:rFonts w:ascii="仿宋_GB2312" w:hAnsi="仿宋" w:eastAsia="仿宋_GB2312"/>
                <w:color w:val="auto"/>
                <w:sz w:val="30"/>
                <w:szCs w:val="30"/>
                <w:highlight w:val="none"/>
              </w:rPr>
            </w:pPr>
          </w:p>
        </w:tc>
        <w:tc>
          <w:tcPr>
            <w:tcW w:w="917" w:type="dxa"/>
            <w:vAlign w:val="center"/>
          </w:tcPr>
          <w:p w14:paraId="40ECDE08">
            <w:pPr>
              <w:jc w:val="center"/>
              <w:rPr>
                <w:rFonts w:ascii="仿宋_GB2312" w:hAnsi="仿宋" w:eastAsia="仿宋_GB2312"/>
                <w:color w:val="auto"/>
                <w:sz w:val="30"/>
                <w:szCs w:val="30"/>
                <w:highlight w:val="none"/>
              </w:rPr>
            </w:pPr>
          </w:p>
        </w:tc>
        <w:tc>
          <w:tcPr>
            <w:tcW w:w="2552" w:type="dxa"/>
            <w:vAlign w:val="center"/>
          </w:tcPr>
          <w:p w14:paraId="0379ABF5">
            <w:pPr>
              <w:jc w:val="center"/>
              <w:rPr>
                <w:rFonts w:ascii="仿宋_GB2312" w:hAnsi="仿宋" w:eastAsia="仿宋_GB2312"/>
                <w:color w:val="auto"/>
                <w:sz w:val="30"/>
                <w:szCs w:val="30"/>
                <w:highlight w:val="none"/>
              </w:rPr>
            </w:pPr>
          </w:p>
        </w:tc>
        <w:tc>
          <w:tcPr>
            <w:tcW w:w="1134" w:type="dxa"/>
            <w:vAlign w:val="center"/>
          </w:tcPr>
          <w:p w14:paraId="004BEA11">
            <w:pPr>
              <w:jc w:val="center"/>
              <w:rPr>
                <w:rFonts w:ascii="仿宋_GB2312" w:hAnsi="仿宋" w:eastAsia="仿宋_GB2312"/>
                <w:color w:val="auto"/>
                <w:sz w:val="30"/>
                <w:szCs w:val="30"/>
                <w:highlight w:val="none"/>
              </w:rPr>
            </w:pPr>
          </w:p>
        </w:tc>
        <w:tc>
          <w:tcPr>
            <w:tcW w:w="1417" w:type="dxa"/>
            <w:vAlign w:val="center"/>
          </w:tcPr>
          <w:p w14:paraId="475ACD49">
            <w:pPr>
              <w:jc w:val="center"/>
              <w:rPr>
                <w:rFonts w:ascii="仿宋_GB2312" w:hAnsi="仿宋" w:eastAsia="仿宋_GB2312"/>
                <w:color w:val="auto"/>
                <w:sz w:val="30"/>
                <w:szCs w:val="30"/>
                <w:highlight w:val="none"/>
              </w:rPr>
            </w:pPr>
          </w:p>
        </w:tc>
        <w:tc>
          <w:tcPr>
            <w:tcW w:w="1276" w:type="dxa"/>
            <w:vAlign w:val="center"/>
          </w:tcPr>
          <w:p w14:paraId="35AC2D58">
            <w:pPr>
              <w:jc w:val="center"/>
              <w:rPr>
                <w:rFonts w:ascii="仿宋_GB2312" w:hAnsi="仿宋" w:eastAsia="仿宋_GB2312"/>
                <w:color w:val="auto"/>
                <w:sz w:val="30"/>
                <w:szCs w:val="30"/>
                <w:highlight w:val="none"/>
              </w:rPr>
            </w:pPr>
          </w:p>
        </w:tc>
        <w:tc>
          <w:tcPr>
            <w:tcW w:w="1210" w:type="dxa"/>
            <w:vAlign w:val="center"/>
          </w:tcPr>
          <w:p w14:paraId="45C5E16C">
            <w:pPr>
              <w:jc w:val="center"/>
              <w:rPr>
                <w:rFonts w:ascii="仿宋_GB2312" w:hAnsi="仿宋" w:eastAsia="仿宋_GB2312"/>
                <w:color w:val="auto"/>
                <w:sz w:val="30"/>
                <w:szCs w:val="30"/>
                <w:highlight w:val="none"/>
              </w:rPr>
            </w:pPr>
          </w:p>
        </w:tc>
      </w:tr>
      <w:tr w14:paraId="703C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05C80A6D">
            <w:pPr>
              <w:jc w:val="center"/>
              <w:rPr>
                <w:rFonts w:ascii="仿宋_GB2312" w:hAnsi="仿宋" w:eastAsia="仿宋_GB2312"/>
                <w:color w:val="auto"/>
                <w:sz w:val="30"/>
                <w:szCs w:val="30"/>
                <w:highlight w:val="none"/>
              </w:rPr>
            </w:pPr>
          </w:p>
        </w:tc>
        <w:tc>
          <w:tcPr>
            <w:tcW w:w="917" w:type="dxa"/>
            <w:vAlign w:val="center"/>
          </w:tcPr>
          <w:p w14:paraId="48A0E1B5">
            <w:pPr>
              <w:jc w:val="center"/>
              <w:rPr>
                <w:rFonts w:ascii="仿宋_GB2312" w:hAnsi="仿宋" w:eastAsia="仿宋_GB2312"/>
                <w:color w:val="auto"/>
                <w:sz w:val="30"/>
                <w:szCs w:val="30"/>
                <w:highlight w:val="none"/>
              </w:rPr>
            </w:pPr>
          </w:p>
        </w:tc>
        <w:tc>
          <w:tcPr>
            <w:tcW w:w="2552" w:type="dxa"/>
            <w:vAlign w:val="center"/>
          </w:tcPr>
          <w:p w14:paraId="2C5C4F35">
            <w:pPr>
              <w:jc w:val="center"/>
              <w:rPr>
                <w:rFonts w:ascii="仿宋_GB2312" w:hAnsi="仿宋" w:eastAsia="仿宋_GB2312"/>
                <w:color w:val="auto"/>
                <w:sz w:val="30"/>
                <w:szCs w:val="30"/>
                <w:highlight w:val="none"/>
              </w:rPr>
            </w:pPr>
          </w:p>
        </w:tc>
        <w:tc>
          <w:tcPr>
            <w:tcW w:w="1134" w:type="dxa"/>
            <w:vAlign w:val="center"/>
          </w:tcPr>
          <w:p w14:paraId="7015577D">
            <w:pPr>
              <w:jc w:val="center"/>
              <w:rPr>
                <w:rFonts w:ascii="仿宋_GB2312" w:hAnsi="仿宋" w:eastAsia="仿宋_GB2312"/>
                <w:color w:val="auto"/>
                <w:sz w:val="30"/>
                <w:szCs w:val="30"/>
                <w:highlight w:val="none"/>
              </w:rPr>
            </w:pPr>
          </w:p>
        </w:tc>
        <w:tc>
          <w:tcPr>
            <w:tcW w:w="1417" w:type="dxa"/>
            <w:vAlign w:val="center"/>
          </w:tcPr>
          <w:p w14:paraId="166266BF">
            <w:pPr>
              <w:jc w:val="center"/>
              <w:rPr>
                <w:rFonts w:ascii="仿宋_GB2312" w:hAnsi="仿宋" w:eastAsia="仿宋_GB2312"/>
                <w:color w:val="auto"/>
                <w:sz w:val="30"/>
                <w:szCs w:val="30"/>
                <w:highlight w:val="none"/>
              </w:rPr>
            </w:pPr>
          </w:p>
        </w:tc>
        <w:tc>
          <w:tcPr>
            <w:tcW w:w="1276" w:type="dxa"/>
            <w:vAlign w:val="center"/>
          </w:tcPr>
          <w:p w14:paraId="2A220ABD">
            <w:pPr>
              <w:jc w:val="center"/>
              <w:rPr>
                <w:rFonts w:ascii="仿宋_GB2312" w:hAnsi="仿宋" w:eastAsia="仿宋_GB2312"/>
                <w:color w:val="auto"/>
                <w:sz w:val="30"/>
                <w:szCs w:val="30"/>
                <w:highlight w:val="none"/>
              </w:rPr>
            </w:pPr>
          </w:p>
        </w:tc>
        <w:tc>
          <w:tcPr>
            <w:tcW w:w="1210" w:type="dxa"/>
            <w:vAlign w:val="center"/>
          </w:tcPr>
          <w:p w14:paraId="3B66A425">
            <w:pPr>
              <w:jc w:val="center"/>
              <w:rPr>
                <w:rFonts w:ascii="仿宋_GB2312" w:hAnsi="仿宋" w:eastAsia="仿宋_GB2312"/>
                <w:color w:val="auto"/>
                <w:sz w:val="30"/>
                <w:szCs w:val="30"/>
                <w:highlight w:val="none"/>
              </w:rPr>
            </w:pPr>
          </w:p>
        </w:tc>
      </w:tr>
      <w:tr w14:paraId="0C61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7187913">
            <w:pPr>
              <w:jc w:val="center"/>
              <w:rPr>
                <w:rFonts w:ascii="仿宋_GB2312" w:hAnsi="仿宋" w:eastAsia="仿宋_GB2312"/>
                <w:color w:val="auto"/>
                <w:sz w:val="30"/>
                <w:szCs w:val="30"/>
                <w:highlight w:val="none"/>
              </w:rPr>
            </w:pPr>
          </w:p>
        </w:tc>
        <w:tc>
          <w:tcPr>
            <w:tcW w:w="917" w:type="dxa"/>
            <w:vAlign w:val="center"/>
          </w:tcPr>
          <w:p w14:paraId="37A7E42C">
            <w:pPr>
              <w:jc w:val="center"/>
              <w:rPr>
                <w:rFonts w:ascii="仿宋_GB2312" w:hAnsi="仿宋" w:eastAsia="仿宋_GB2312"/>
                <w:color w:val="auto"/>
                <w:sz w:val="30"/>
                <w:szCs w:val="30"/>
                <w:highlight w:val="none"/>
              </w:rPr>
            </w:pPr>
          </w:p>
        </w:tc>
        <w:tc>
          <w:tcPr>
            <w:tcW w:w="2552" w:type="dxa"/>
            <w:vAlign w:val="center"/>
          </w:tcPr>
          <w:p w14:paraId="6EDDC16A">
            <w:pPr>
              <w:jc w:val="center"/>
              <w:rPr>
                <w:rFonts w:ascii="仿宋_GB2312" w:hAnsi="仿宋" w:eastAsia="仿宋_GB2312"/>
                <w:color w:val="auto"/>
                <w:sz w:val="30"/>
                <w:szCs w:val="30"/>
                <w:highlight w:val="none"/>
              </w:rPr>
            </w:pPr>
          </w:p>
        </w:tc>
        <w:tc>
          <w:tcPr>
            <w:tcW w:w="1134" w:type="dxa"/>
            <w:vAlign w:val="center"/>
          </w:tcPr>
          <w:p w14:paraId="6562FECD">
            <w:pPr>
              <w:jc w:val="center"/>
              <w:rPr>
                <w:rFonts w:ascii="仿宋_GB2312" w:hAnsi="仿宋" w:eastAsia="仿宋_GB2312"/>
                <w:color w:val="auto"/>
                <w:sz w:val="30"/>
                <w:szCs w:val="30"/>
                <w:highlight w:val="none"/>
              </w:rPr>
            </w:pPr>
          </w:p>
        </w:tc>
        <w:tc>
          <w:tcPr>
            <w:tcW w:w="1417" w:type="dxa"/>
            <w:vAlign w:val="center"/>
          </w:tcPr>
          <w:p w14:paraId="6893E821">
            <w:pPr>
              <w:jc w:val="center"/>
              <w:rPr>
                <w:rFonts w:ascii="仿宋_GB2312" w:hAnsi="仿宋" w:eastAsia="仿宋_GB2312"/>
                <w:color w:val="auto"/>
                <w:sz w:val="30"/>
                <w:szCs w:val="30"/>
                <w:highlight w:val="none"/>
              </w:rPr>
            </w:pPr>
          </w:p>
        </w:tc>
        <w:tc>
          <w:tcPr>
            <w:tcW w:w="1276" w:type="dxa"/>
            <w:vAlign w:val="center"/>
          </w:tcPr>
          <w:p w14:paraId="1B502C79">
            <w:pPr>
              <w:jc w:val="center"/>
              <w:rPr>
                <w:rFonts w:ascii="仿宋_GB2312" w:hAnsi="仿宋" w:eastAsia="仿宋_GB2312"/>
                <w:color w:val="auto"/>
                <w:sz w:val="30"/>
                <w:szCs w:val="30"/>
                <w:highlight w:val="none"/>
              </w:rPr>
            </w:pPr>
          </w:p>
        </w:tc>
        <w:tc>
          <w:tcPr>
            <w:tcW w:w="1210" w:type="dxa"/>
            <w:vAlign w:val="center"/>
          </w:tcPr>
          <w:p w14:paraId="32D1EEB1">
            <w:pPr>
              <w:jc w:val="center"/>
              <w:rPr>
                <w:rFonts w:ascii="仿宋_GB2312" w:hAnsi="仿宋" w:eastAsia="仿宋_GB2312"/>
                <w:color w:val="auto"/>
                <w:sz w:val="30"/>
                <w:szCs w:val="30"/>
                <w:highlight w:val="none"/>
              </w:rPr>
            </w:pPr>
          </w:p>
        </w:tc>
      </w:tr>
    </w:tbl>
    <w:p w14:paraId="61CFB515">
      <w:pPr>
        <w:rPr>
          <w:rFonts w:ascii="仿宋_GB2312" w:hAnsi="仿宋" w:eastAsia="仿宋_GB2312"/>
          <w:color w:val="auto"/>
          <w:sz w:val="24"/>
          <w:highlight w:val="none"/>
        </w:rPr>
      </w:pPr>
      <w:r>
        <w:rPr>
          <w:rFonts w:hint="eastAsia" w:ascii="仿宋_GB2312" w:hAnsi="仿宋" w:eastAsia="仿宋_GB2312"/>
          <w:color w:val="auto"/>
          <w:sz w:val="24"/>
          <w:highlight w:val="none"/>
        </w:rPr>
        <w:t>备注：此表应认真填写，不得提供虚假业绩。</w:t>
      </w:r>
    </w:p>
    <w:p w14:paraId="5B33AF9A">
      <w:pPr>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后附合同书的扫描件；</w:t>
      </w:r>
    </w:p>
    <w:p w14:paraId="6574172D">
      <w:pPr>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界定日期以合同签订时间为准。</w:t>
      </w:r>
    </w:p>
    <w:p w14:paraId="373F422C">
      <w:pPr>
        <w:wordWrap w:val="0"/>
        <w:jc w:val="right"/>
        <w:rPr>
          <w:rFonts w:ascii="仿宋_GB2312" w:hAnsi="仿宋" w:eastAsia="仿宋_GB2312"/>
          <w:color w:val="auto"/>
          <w:sz w:val="24"/>
          <w:highlight w:val="none"/>
        </w:rPr>
      </w:pPr>
      <w:r>
        <w:rPr>
          <w:rFonts w:hint="eastAsia" w:ascii="仿宋_GB2312" w:hAnsi="仿宋" w:eastAsia="仿宋_GB2312"/>
          <w:color w:val="auto"/>
          <w:sz w:val="30"/>
          <w:szCs w:val="30"/>
          <w:highlight w:val="none"/>
        </w:rPr>
        <w:t xml:space="preserve">供应商名称(盖章):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713C36FC">
      <w:pPr>
        <w:wordWrap w:val="0"/>
        <w:jc w:val="right"/>
        <w:rPr>
          <w:rFonts w:ascii="仿宋_GB2312" w:hAnsi="仿宋" w:eastAsia="仿宋_GB2312"/>
          <w:color w:val="auto"/>
          <w:sz w:val="24"/>
          <w:highlight w:val="none"/>
        </w:rPr>
      </w:pPr>
      <w:r>
        <w:rPr>
          <w:rFonts w:hint="eastAsia" w:ascii="仿宋_GB2312" w:hAnsi="仿宋" w:eastAsia="仿宋_GB2312"/>
          <w:color w:val="auto"/>
          <w:sz w:val="30"/>
          <w:szCs w:val="30"/>
          <w:highlight w:val="none"/>
        </w:rPr>
        <w:t>法定代表人签章</w:t>
      </w:r>
      <w:r>
        <w:rPr>
          <w:rFonts w:hint="eastAsia" w:ascii="仿宋_GB2312" w:hAnsi="仿宋" w:eastAsia="仿宋_GB2312"/>
          <w:color w:val="auto"/>
          <w:sz w:val="32"/>
          <w:szCs w:val="32"/>
          <w:highlight w:val="none"/>
        </w:rPr>
        <w:t>：</w:t>
      </w: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 xml:space="preserve">         </w:t>
      </w:r>
    </w:p>
    <w:p w14:paraId="0719D63C">
      <w:pPr>
        <w:jc w:val="center"/>
        <w:rPr>
          <w:rFonts w:ascii="黑体" w:hAnsi="黑体" w:eastAsia="黑体"/>
          <w:color w:val="auto"/>
          <w:sz w:val="44"/>
          <w:szCs w:val="44"/>
          <w:highlight w:val="none"/>
        </w:rPr>
      </w:pPr>
      <w:r>
        <w:rPr>
          <w:rFonts w:ascii="仿宋_GB2312" w:hAnsi="仿宋" w:eastAsia="仿宋_GB2312"/>
          <w:b/>
          <w:bCs/>
          <w:color w:val="auto"/>
          <w:sz w:val="30"/>
          <w:szCs w:val="30"/>
          <w:highlight w:val="none"/>
        </w:rPr>
        <w:br w:type="page"/>
      </w:r>
      <w:r>
        <w:rPr>
          <w:rFonts w:hint="eastAsia" w:ascii="黑体" w:hAnsi="黑体" w:eastAsia="黑体"/>
          <w:color w:val="auto"/>
          <w:sz w:val="44"/>
          <w:szCs w:val="44"/>
          <w:highlight w:val="none"/>
        </w:rPr>
        <w:t>需要采购人提供的配合</w:t>
      </w:r>
    </w:p>
    <w:p w14:paraId="5948162C">
      <w:pPr>
        <w:rPr>
          <w:color w:val="auto"/>
          <w:highlight w:val="none"/>
        </w:rPr>
        <w:sectPr>
          <w:pgSz w:w="11906" w:h="16838"/>
          <w:pgMar w:top="1440" w:right="1080" w:bottom="1440" w:left="1080" w:header="851" w:footer="992" w:gutter="0"/>
          <w:cols w:space="720" w:num="1"/>
          <w:docGrid w:type="lines" w:linePitch="312" w:charSpace="0"/>
        </w:sectPr>
      </w:pPr>
      <w:r>
        <w:rPr>
          <w:color w:val="auto"/>
          <w:highlight w:val="none"/>
        </w:rPr>
        <w:br w:type="page"/>
      </w:r>
    </w:p>
    <w:p w14:paraId="5113D508">
      <w:pPr>
        <w:pStyle w:val="33"/>
        <w:spacing w:before="100" w:beforeAutospacing="1" w:after="100" w:afterAutospacing="1" w:line="415" w:lineRule="auto"/>
        <w:ind w:left="1440"/>
        <w:rPr>
          <w:rFonts w:ascii="楷体_GB2312" w:hAnsi="宋体" w:eastAsia="楷体_GB2312" w:cs="宋体"/>
          <w:color w:val="auto"/>
          <w:sz w:val="44"/>
          <w:szCs w:val="44"/>
          <w:highlight w:val="none"/>
        </w:rPr>
      </w:pPr>
      <w:r>
        <w:rPr>
          <w:rFonts w:hint="eastAsia" w:ascii="楷体_GB2312" w:hAnsi="宋体" w:eastAsia="楷体_GB2312" w:cs="宋体"/>
          <w:color w:val="auto"/>
          <w:sz w:val="44"/>
          <w:szCs w:val="44"/>
          <w:highlight w:val="none"/>
        </w:rPr>
        <w:t>第六章 政府采购合同（范本）</w:t>
      </w:r>
    </w:p>
    <w:p w14:paraId="21C672CE">
      <w:pPr>
        <w:rPr>
          <w:color w:val="auto"/>
          <w:highlight w:val="none"/>
        </w:rPr>
      </w:pPr>
    </w:p>
    <w:p w14:paraId="6EE4B56E">
      <w:pPr>
        <w:spacing w:line="560" w:lineRule="exact"/>
        <w:ind w:firstLine="1040" w:firstLineChars="200"/>
        <w:jc w:val="left"/>
        <w:rPr>
          <w:rFonts w:hAnsi="宋体"/>
          <w:color w:val="auto"/>
          <w:sz w:val="52"/>
          <w:szCs w:val="52"/>
          <w:highlight w:val="none"/>
        </w:rPr>
      </w:pPr>
      <w:r>
        <w:rPr>
          <w:rFonts w:hAnsi="宋体"/>
          <w:color w:val="auto"/>
          <w:sz w:val="52"/>
          <w:szCs w:val="52"/>
          <w:highlight w:val="none"/>
        </w:rPr>
        <w:br w:type="page"/>
      </w:r>
    </w:p>
    <w:p w14:paraId="47DB6347">
      <w:pPr>
        <w:spacing w:line="560" w:lineRule="exact"/>
        <w:ind w:firstLine="560" w:firstLineChars="200"/>
        <w:jc w:val="left"/>
        <w:rPr>
          <w:rFonts w:ascii="宋体" w:hAnsi="宋体"/>
          <w:color w:val="auto"/>
          <w:sz w:val="28"/>
          <w:szCs w:val="28"/>
          <w:highlight w:val="none"/>
        </w:rPr>
      </w:pPr>
      <w:r>
        <w:rPr>
          <w:rFonts w:ascii="宋体" w:hAnsi="宋体"/>
          <w:color w:val="auto"/>
          <w:sz w:val="28"/>
          <w:szCs w:val="28"/>
          <w:highlight w:val="none"/>
        </w:rPr>
        <w:t>注：本合同为中小企业预留合同</w:t>
      </w:r>
    </w:p>
    <w:p w14:paraId="0C5DAFF0">
      <w:pPr>
        <w:spacing w:line="560" w:lineRule="exact"/>
        <w:ind w:firstLine="720" w:firstLineChars="200"/>
        <w:jc w:val="center"/>
        <w:rPr>
          <w:rFonts w:ascii="宋体" w:hAnsi="宋体"/>
          <w:color w:val="auto"/>
          <w:sz w:val="36"/>
          <w:szCs w:val="36"/>
          <w:highlight w:val="none"/>
        </w:rPr>
      </w:pPr>
    </w:p>
    <w:p w14:paraId="4813BC4B">
      <w:pPr>
        <w:spacing w:line="560" w:lineRule="exact"/>
        <w:ind w:firstLine="720" w:firstLineChars="200"/>
        <w:jc w:val="center"/>
        <w:rPr>
          <w:rFonts w:ascii="宋体" w:hAnsi="宋体"/>
          <w:color w:val="auto"/>
          <w:sz w:val="36"/>
          <w:szCs w:val="36"/>
          <w:highlight w:val="none"/>
        </w:rPr>
      </w:pPr>
    </w:p>
    <w:p w14:paraId="3CFF6B9E">
      <w:pPr>
        <w:spacing w:line="560" w:lineRule="exact"/>
        <w:ind w:firstLine="720" w:firstLineChars="200"/>
        <w:jc w:val="center"/>
        <w:rPr>
          <w:rFonts w:ascii="宋体" w:hAnsi="宋体"/>
          <w:color w:val="auto"/>
          <w:sz w:val="36"/>
          <w:szCs w:val="36"/>
          <w:highlight w:val="none"/>
        </w:rPr>
      </w:pPr>
    </w:p>
    <w:p w14:paraId="032A295C">
      <w:pPr>
        <w:spacing w:line="560" w:lineRule="exact"/>
        <w:ind w:firstLine="723" w:firstLineChars="200"/>
        <w:jc w:val="center"/>
        <w:outlineLvl w:val="1"/>
        <w:rPr>
          <w:rFonts w:ascii="宋体" w:hAnsi="宋体"/>
          <w:b/>
          <w:color w:val="auto"/>
          <w:sz w:val="36"/>
          <w:szCs w:val="36"/>
          <w:highlight w:val="none"/>
        </w:rPr>
      </w:pPr>
      <w:r>
        <w:rPr>
          <w:rFonts w:hint="eastAsia" w:ascii="宋体" w:hAnsi="宋体"/>
          <w:b/>
          <w:color w:val="auto"/>
          <w:sz w:val="36"/>
          <w:szCs w:val="36"/>
          <w:highlight w:val="none"/>
        </w:rPr>
        <w:t>合  同  书</w:t>
      </w:r>
    </w:p>
    <w:p w14:paraId="08FEA750">
      <w:pPr>
        <w:spacing w:line="560" w:lineRule="exact"/>
        <w:ind w:firstLine="720" w:firstLineChars="200"/>
        <w:jc w:val="center"/>
        <w:rPr>
          <w:rFonts w:ascii="宋体" w:hAnsi="宋体"/>
          <w:color w:val="auto"/>
          <w:sz w:val="36"/>
          <w:szCs w:val="36"/>
          <w:highlight w:val="none"/>
        </w:rPr>
      </w:pPr>
    </w:p>
    <w:p w14:paraId="61E4DFE8">
      <w:pPr>
        <w:spacing w:line="560" w:lineRule="exact"/>
        <w:ind w:firstLine="720" w:firstLineChars="200"/>
        <w:jc w:val="center"/>
        <w:rPr>
          <w:rFonts w:ascii="宋体" w:hAnsi="宋体"/>
          <w:color w:val="auto"/>
          <w:sz w:val="36"/>
          <w:szCs w:val="36"/>
          <w:highlight w:val="none"/>
        </w:rPr>
      </w:pPr>
    </w:p>
    <w:p w14:paraId="0EDE6ECC">
      <w:pPr>
        <w:spacing w:line="560" w:lineRule="exact"/>
        <w:ind w:firstLine="720" w:firstLineChars="200"/>
        <w:jc w:val="center"/>
        <w:rPr>
          <w:rFonts w:ascii="宋体" w:hAnsi="宋体"/>
          <w:color w:val="auto"/>
          <w:sz w:val="36"/>
          <w:szCs w:val="36"/>
          <w:highlight w:val="none"/>
        </w:rPr>
      </w:pPr>
    </w:p>
    <w:p w14:paraId="1756FC7B">
      <w:pPr>
        <w:spacing w:line="560" w:lineRule="exact"/>
        <w:ind w:firstLine="720" w:firstLineChars="200"/>
        <w:jc w:val="center"/>
        <w:rPr>
          <w:rFonts w:ascii="宋体" w:hAnsi="宋体"/>
          <w:color w:val="auto"/>
          <w:sz w:val="36"/>
          <w:szCs w:val="36"/>
          <w:highlight w:val="none"/>
        </w:rPr>
      </w:pPr>
    </w:p>
    <w:p w14:paraId="37B5A90C">
      <w:pPr>
        <w:spacing w:line="560" w:lineRule="exact"/>
        <w:ind w:firstLine="720" w:firstLineChars="200"/>
        <w:jc w:val="center"/>
        <w:rPr>
          <w:rFonts w:ascii="宋体" w:hAnsi="宋体"/>
          <w:color w:val="auto"/>
          <w:sz w:val="36"/>
          <w:szCs w:val="36"/>
          <w:highlight w:val="none"/>
        </w:rPr>
      </w:pPr>
    </w:p>
    <w:p w14:paraId="1F2D732A">
      <w:pPr>
        <w:spacing w:line="560" w:lineRule="exact"/>
        <w:ind w:firstLine="720" w:firstLineChars="200"/>
        <w:jc w:val="left"/>
        <w:rPr>
          <w:rFonts w:hint="default" w:ascii="宋体" w:hAnsi="宋体"/>
          <w:b/>
          <w:color w:val="auto"/>
          <w:sz w:val="36"/>
          <w:szCs w:val="36"/>
          <w:highlight w:val="none"/>
        </w:rPr>
      </w:pPr>
      <w:r>
        <w:rPr>
          <w:rFonts w:hint="eastAsia" w:ascii="宋体" w:hAnsi="宋体"/>
          <w:color w:val="auto"/>
          <w:sz w:val="36"/>
          <w:szCs w:val="36"/>
          <w:highlight w:val="none"/>
        </w:rPr>
        <w:t xml:space="preserve">      </w:t>
      </w:r>
      <w:r>
        <w:rPr>
          <w:rFonts w:hint="eastAsia" w:ascii="宋体" w:hAnsi="宋体"/>
          <w:b/>
          <w:color w:val="auto"/>
          <w:sz w:val="36"/>
          <w:szCs w:val="36"/>
          <w:highlight w:val="none"/>
        </w:rPr>
        <w:t>项目名称:</w:t>
      </w:r>
      <w:r>
        <w:rPr>
          <w:rFonts w:hint="eastAsia" w:ascii="宋体" w:hAnsi="宋体"/>
          <w:b/>
          <w:color w:val="auto"/>
          <w:sz w:val="36"/>
          <w:szCs w:val="36"/>
          <w:highlight w:val="none"/>
          <w:lang w:eastAsia="zh-CN"/>
        </w:rPr>
        <w:t>2025年市区节日灯具安装工程</w:t>
      </w:r>
    </w:p>
    <w:p w14:paraId="427BBB27">
      <w:pPr>
        <w:spacing w:line="560" w:lineRule="exact"/>
        <w:ind w:firstLine="720" w:firstLineChars="200"/>
        <w:jc w:val="left"/>
        <w:rPr>
          <w:rFonts w:ascii="宋体" w:hAnsi="宋体"/>
          <w:b/>
          <w:color w:val="auto"/>
          <w:sz w:val="36"/>
          <w:szCs w:val="36"/>
          <w:highlight w:val="none"/>
        </w:rPr>
      </w:pPr>
      <w:r>
        <w:rPr>
          <w:rFonts w:hint="eastAsia" w:ascii="宋体" w:hAnsi="宋体"/>
          <w:color w:val="auto"/>
          <w:sz w:val="36"/>
          <w:szCs w:val="36"/>
          <w:highlight w:val="none"/>
        </w:rPr>
        <w:t xml:space="preserve">      </w:t>
      </w:r>
      <w:r>
        <w:rPr>
          <w:rFonts w:hint="eastAsia" w:ascii="宋体" w:hAnsi="宋体"/>
          <w:b/>
          <w:color w:val="auto"/>
          <w:sz w:val="36"/>
          <w:szCs w:val="36"/>
          <w:highlight w:val="none"/>
        </w:rPr>
        <w:t>合同编号:</w:t>
      </w:r>
    </w:p>
    <w:p w14:paraId="47505B18">
      <w:pPr>
        <w:spacing w:line="560" w:lineRule="exact"/>
        <w:ind w:firstLine="723" w:firstLineChars="200"/>
        <w:jc w:val="left"/>
        <w:rPr>
          <w:rFonts w:ascii="宋体" w:hAnsi="宋体"/>
          <w:b/>
          <w:color w:val="auto"/>
          <w:sz w:val="36"/>
          <w:szCs w:val="36"/>
          <w:highlight w:val="none"/>
        </w:rPr>
      </w:pPr>
      <w:r>
        <w:rPr>
          <w:rFonts w:hint="eastAsia" w:ascii="宋体" w:hAnsi="宋体"/>
          <w:b/>
          <w:color w:val="auto"/>
          <w:sz w:val="36"/>
          <w:szCs w:val="36"/>
          <w:highlight w:val="none"/>
        </w:rPr>
        <w:t xml:space="preserve">      计划编号:</w:t>
      </w:r>
      <w:r>
        <w:rPr>
          <w:rFonts w:ascii="宋体" w:hAnsi="宋体"/>
          <w:b/>
          <w:color w:val="auto"/>
          <w:sz w:val="36"/>
          <w:szCs w:val="36"/>
          <w:highlight w:val="none"/>
        </w:rPr>
        <w:t xml:space="preserve"> </w:t>
      </w:r>
    </w:p>
    <w:p w14:paraId="59B4B6F9">
      <w:pPr>
        <w:spacing w:line="560" w:lineRule="exact"/>
        <w:ind w:firstLine="720" w:firstLineChars="200"/>
        <w:jc w:val="center"/>
        <w:rPr>
          <w:rFonts w:ascii="宋体" w:hAnsi="宋体"/>
          <w:color w:val="auto"/>
          <w:sz w:val="36"/>
          <w:szCs w:val="36"/>
          <w:highlight w:val="none"/>
        </w:rPr>
      </w:pPr>
    </w:p>
    <w:p w14:paraId="711A5699">
      <w:pPr>
        <w:spacing w:line="560" w:lineRule="exact"/>
        <w:ind w:firstLine="720" w:firstLineChars="200"/>
        <w:jc w:val="center"/>
        <w:rPr>
          <w:rFonts w:ascii="宋体" w:hAnsi="宋体"/>
          <w:color w:val="auto"/>
          <w:sz w:val="36"/>
          <w:szCs w:val="36"/>
          <w:highlight w:val="none"/>
        </w:rPr>
      </w:pPr>
    </w:p>
    <w:p w14:paraId="0BF9B476">
      <w:pPr>
        <w:spacing w:line="560" w:lineRule="exact"/>
        <w:ind w:firstLine="720" w:firstLineChars="200"/>
        <w:jc w:val="center"/>
        <w:rPr>
          <w:rFonts w:ascii="宋体" w:hAnsi="宋体"/>
          <w:color w:val="auto"/>
          <w:sz w:val="36"/>
          <w:szCs w:val="36"/>
          <w:highlight w:val="none"/>
        </w:rPr>
      </w:pPr>
    </w:p>
    <w:p w14:paraId="43302A8D">
      <w:pPr>
        <w:spacing w:line="560" w:lineRule="exact"/>
        <w:ind w:firstLine="720" w:firstLineChars="200"/>
        <w:jc w:val="center"/>
        <w:rPr>
          <w:rFonts w:ascii="宋体" w:hAnsi="宋体"/>
          <w:color w:val="auto"/>
          <w:sz w:val="36"/>
          <w:szCs w:val="36"/>
          <w:highlight w:val="none"/>
        </w:rPr>
      </w:pPr>
    </w:p>
    <w:p w14:paraId="2D182EA5">
      <w:pPr>
        <w:spacing w:line="560" w:lineRule="exact"/>
        <w:ind w:firstLine="720" w:firstLineChars="200"/>
        <w:rPr>
          <w:rFonts w:hint="eastAsia" w:ascii="宋体" w:hAnsi="宋体" w:eastAsia="宋体"/>
          <w:b/>
          <w:color w:val="auto"/>
          <w:sz w:val="36"/>
          <w:szCs w:val="36"/>
          <w:highlight w:val="none"/>
          <w:lang w:eastAsia="zh-CN"/>
        </w:rPr>
      </w:pPr>
      <w:r>
        <w:rPr>
          <w:rFonts w:hint="eastAsia" w:ascii="宋体" w:hAnsi="宋体"/>
          <w:color w:val="auto"/>
          <w:sz w:val="36"/>
          <w:szCs w:val="36"/>
          <w:highlight w:val="none"/>
        </w:rPr>
        <w:t xml:space="preserve">       </w:t>
      </w:r>
      <w:r>
        <w:rPr>
          <w:rFonts w:hint="eastAsia" w:ascii="宋体" w:hAnsi="宋体"/>
          <w:b/>
          <w:color w:val="auto"/>
          <w:sz w:val="36"/>
          <w:szCs w:val="36"/>
          <w:highlight w:val="none"/>
        </w:rPr>
        <w:t>甲方:</w:t>
      </w:r>
      <w:r>
        <w:rPr>
          <w:rFonts w:hint="eastAsia" w:ascii="宋体" w:hAnsi="宋体"/>
          <w:b/>
          <w:color w:val="auto"/>
          <w:sz w:val="36"/>
          <w:szCs w:val="36"/>
          <w:highlight w:val="none"/>
          <w:lang w:eastAsia="zh-CN"/>
        </w:rPr>
        <w:t>乳山市城市管理综合服务中心</w:t>
      </w:r>
    </w:p>
    <w:p w14:paraId="0D33031F">
      <w:pPr>
        <w:spacing w:line="560" w:lineRule="exact"/>
        <w:ind w:firstLine="723" w:firstLineChars="200"/>
        <w:rPr>
          <w:rFonts w:ascii="宋体" w:hAnsi="宋体"/>
          <w:b/>
          <w:color w:val="auto"/>
          <w:sz w:val="36"/>
          <w:szCs w:val="36"/>
          <w:highlight w:val="none"/>
        </w:rPr>
      </w:pPr>
    </w:p>
    <w:p w14:paraId="3C9EB8D0">
      <w:pPr>
        <w:spacing w:line="560" w:lineRule="exact"/>
        <w:ind w:firstLine="723" w:firstLineChars="200"/>
        <w:rPr>
          <w:rFonts w:ascii="宋体" w:hAnsi="宋体"/>
          <w:b/>
          <w:color w:val="auto"/>
          <w:sz w:val="36"/>
          <w:szCs w:val="36"/>
          <w:highlight w:val="none"/>
        </w:rPr>
      </w:pPr>
      <w:r>
        <w:rPr>
          <w:rFonts w:hint="eastAsia" w:ascii="宋体" w:hAnsi="宋体"/>
          <w:b/>
          <w:color w:val="auto"/>
          <w:sz w:val="36"/>
          <w:szCs w:val="36"/>
          <w:highlight w:val="none"/>
        </w:rPr>
        <w:t xml:space="preserve">       乙方:</w:t>
      </w:r>
    </w:p>
    <w:p w14:paraId="6C977F2D">
      <w:pPr>
        <w:tabs>
          <w:tab w:val="left" w:pos="930"/>
          <w:tab w:val="left" w:pos="1980"/>
          <w:tab w:val="left" w:pos="2160"/>
          <w:tab w:val="left" w:pos="2340"/>
          <w:tab w:val="left" w:pos="6400"/>
        </w:tabs>
        <w:spacing w:before="312" w:beforeLines="100" w:after="100" w:afterAutospacing="1" w:line="360" w:lineRule="auto"/>
        <w:ind w:left="420" w:leftChars="200"/>
        <w:jc w:val="center"/>
        <w:textAlignment w:val="center"/>
        <w:rPr>
          <w:rFonts w:ascii="仿宋_GB2312" w:eastAsia="仿宋_GB2312"/>
          <w:b/>
          <w:bCs/>
          <w:color w:val="auto"/>
          <w:sz w:val="30"/>
          <w:szCs w:val="30"/>
          <w:highlight w:val="none"/>
        </w:rPr>
      </w:pPr>
    </w:p>
    <w:p w14:paraId="2B5BDF35">
      <w:pPr>
        <w:pStyle w:val="21"/>
        <w:tabs>
          <w:tab w:val="left" w:pos="3261"/>
        </w:tabs>
        <w:ind w:right="-424" w:rightChars="-202"/>
        <w:jc w:val="center"/>
        <w:textAlignment w:val="center"/>
        <w:rPr>
          <w:rFonts w:hAnsi="宋体"/>
          <w:color w:val="auto"/>
          <w:sz w:val="32"/>
          <w:szCs w:val="32"/>
          <w:highlight w:val="none"/>
        </w:rPr>
      </w:pPr>
      <w:r>
        <w:rPr>
          <w:rFonts w:hAnsi="宋体"/>
          <w:b/>
          <w:bCs/>
          <w:color w:val="auto"/>
          <w:sz w:val="32"/>
          <w:szCs w:val="32"/>
          <w:highlight w:val="none"/>
        </w:rPr>
        <w:br w:type="page"/>
      </w:r>
      <w:r>
        <w:rPr>
          <w:rFonts w:hint="eastAsia" w:hAnsi="宋体"/>
          <w:b/>
          <w:bCs/>
          <w:color w:val="auto"/>
          <w:sz w:val="32"/>
          <w:szCs w:val="32"/>
          <w:highlight w:val="none"/>
        </w:rPr>
        <w:t>合 同 书</w:t>
      </w:r>
    </w:p>
    <w:p w14:paraId="18C3017C">
      <w:pPr>
        <w:spacing w:line="560" w:lineRule="exact"/>
        <w:ind w:firstLine="600" w:firstLineChars="200"/>
        <w:rPr>
          <w:rFonts w:ascii="宋体" w:hAnsi="宋体"/>
          <w:color w:val="auto"/>
          <w:sz w:val="30"/>
          <w:szCs w:val="30"/>
          <w:highlight w:val="none"/>
        </w:rPr>
      </w:pPr>
    </w:p>
    <w:p w14:paraId="0404D7A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本合同于  年  月  日由甲、乙双方共同签订。</w:t>
      </w:r>
    </w:p>
    <w:p w14:paraId="5AB68FA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甲方所需经以</w:t>
      </w:r>
      <w:r>
        <w:rPr>
          <w:rFonts w:hint="eastAsia" w:ascii="仿宋_GB2312" w:hAnsi="宋体" w:eastAsia="仿宋_GB2312"/>
          <w:color w:val="auto"/>
          <w:sz w:val="28"/>
          <w:szCs w:val="28"/>
          <w:highlight w:val="none"/>
          <w:lang w:eastAsia="zh-CN"/>
        </w:rPr>
        <w:t>2025年市区节日灯具安装工程</w:t>
      </w:r>
      <w:r>
        <w:rPr>
          <w:rFonts w:hint="eastAsia" w:ascii="仿宋_GB2312" w:hAnsi="宋体" w:eastAsia="仿宋_GB2312"/>
          <w:color w:val="auto"/>
          <w:sz w:val="28"/>
          <w:szCs w:val="28"/>
          <w:highlight w:val="none"/>
        </w:rPr>
        <w:t>采购文件在国内以</w:t>
      </w:r>
      <w:r>
        <w:rPr>
          <w:rFonts w:ascii="仿宋_GB2312" w:hAnsi="宋体" w:eastAsia="仿宋_GB2312"/>
          <w:color w:val="auto"/>
          <w:sz w:val="28"/>
          <w:szCs w:val="28"/>
          <w:highlight w:val="none"/>
        </w:rPr>
        <w:t>竞争性磋商</w:t>
      </w:r>
      <w:r>
        <w:rPr>
          <w:rFonts w:hint="eastAsia" w:ascii="仿宋_GB2312" w:hAnsi="宋体" w:eastAsia="仿宋_GB2312"/>
          <w:color w:val="auto"/>
          <w:sz w:val="28"/>
          <w:szCs w:val="28"/>
          <w:highlight w:val="none"/>
        </w:rPr>
        <w:t>方式进行采购。经评审委员会(或甲方)确定乙方为</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包成交供应商。甲、乙双方根据《中华人民共和国政府采购法》《中华人民共和国民法典》等相关法律以及本项目采购文件的规定，经平等协商达成合同如下：</w:t>
      </w:r>
    </w:p>
    <w:p w14:paraId="66BD119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一、合同文件</w:t>
      </w:r>
    </w:p>
    <w:p w14:paraId="641C42E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本合同所附下列文件是构成本合同不可分割的部分：</w:t>
      </w:r>
    </w:p>
    <w:p w14:paraId="1A5A221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（一）本项目采购文件</w:t>
      </w:r>
    </w:p>
    <w:p w14:paraId="0376485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（二）成交供应商的响应文件</w:t>
      </w:r>
    </w:p>
    <w:p w14:paraId="4077B69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（三）合同格式、合同条款</w:t>
      </w:r>
    </w:p>
    <w:p w14:paraId="31F86E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（四）成交供应商在评审过程中做出的有关澄清、说明或者补正文件</w:t>
      </w:r>
    </w:p>
    <w:p w14:paraId="64F4FD8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（五）成交通知书</w:t>
      </w:r>
    </w:p>
    <w:p w14:paraId="1691945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（六）本合同附件</w:t>
      </w:r>
    </w:p>
    <w:p w14:paraId="0844D61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二、合同的范围和条件</w:t>
      </w:r>
    </w:p>
    <w:p w14:paraId="2C7E060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本合同的范围和条件应与上述合同文件的规定相一致。</w:t>
      </w:r>
    </w:p>
    <w:p w14:paraId="31E9A30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三、货物内容</w:t>
      </w:r>
    </w:p>
    <w:p w14:paraId="6E8F1D7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本合同所提供的货物，详见合同清单。</w:t>
      </w:r>
    </w:p>
    <w:p w14:paraId="2EB0A81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见附件一：同响应文件中分项报价表</w:t>
      </w:r>
    </w:p>
    <w:p w14:paraId="30421F9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四、合同金额</w:t>
      </w:r>
    </w:p>
    <w:p w14:paraId="2F159A7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合同金额为人民币</w:t>
      </w:r>
      <w:r>
        <w:rPr>
          <w:rFonts w:hint="eastAsia"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rPr>
        <w:t xml:space="preserve"> 元，大写： </w:t>
      </w:r>
      <w:r>
        <w:rPr>
          <w:rFonts w:hint="eastAsia" w:ascii="仿宋_GB2312" w:hAnsi="宋体" w:eastAsia="仿宋_GB2312"/>
          <w:bCs/>
          <w:color w:val="auto"/>
          <w:kern w:val="0"/>
          <w:sz w:val="28"/>
          <w:szCs w:val="28"/>
          <w:highlight w:val="none"/>
          <w:u w:val="single"/>
        </w:rPr>
        <w:t xml:space="preserve"> </w:t>
      </w:r>
      <w:r>
        <w:rPr>
          <w:rFonts w:hint="eastAsia"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rPr>
        <w:t>。（分项价格详见合同服务或货物清单）。</w:t>
      </w:r>
    </w:p>
    <w:p w14:paraId="7EB4453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乙方开户名称：</w:t>
      </w:r>
      <w:r>
        <w:rPr>
          <w:rFonts w:hint="eastAsia" w:ascii="仿宋_GB2312" w:hAnsi="宋体" w:eastAsia="仿宋_GB2312"/>
          <w:color w:val="auto"/>
          <w:sz w:val="28"/>
          <w:szCs w:val="28"/>
          <w:highlight w:val="none"/>
          <w:u w:val="single"/>
        </w:rPr>
        <w:t xml:space="preserve">  </w:t>
      </w:r>
    </w:p>
    <w:p w14:paraId="660B296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开户银行： </w:t>
      </w:r>
      <w:r>
        <w:rPr>
          <w:rFonts w:hint="eastAsia" w:ascii="仿宋_GB2312" w:hAnsi="宋体" w:eastAsia="仿宋_GB2312"/>
          <w:color w:val="auto"/>
          <w:sz w:val="28"/>
          <w:szCs w:val="28"/>
          <w:highlight w:val="none"/>
          <w:u w:val="single"/>
        </w:rPr>
        <w:t xml:space="preserve"> </w:t>
      </w:r>
    </w:p>
    <w:p w14:paraId="0BB9D25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u w:val="single"/>
        </w:rPr>
      </w:pPr>
      <w:r>
        <w:rPr>
          <w:rFonts w:hint="eastAsia" w:ascii="仿宋_GB2312" w:hAnsi="宋体" w:eastAsia="仿宋_GB2312"/>
          <w:color w:val="auto"/>
          <w:sz w:val="28"/>
          <w:szCs w:val="28"/>
          <w:highlight w:val="none"/>
        </w:rPr>
        <w:t xml:space="preserve">银行账号： </w:t>
      </w:r>
      <w:r>
        <w:rPr>
          <w:rFonts w:hint="eastAsia" w:ascii="仿宋_GB2312" w:hAnsi="宋体" w:eastAsia="仿宋_GB2312"/>
          <w:color w:val="auto"/>
          <w:sz w:val="28"/>
          <w:szCs w:val="28"/>
          <w:highlight w:val="none"/>
          <w:u w:val="single"/>
        </w:rPr>
        <w:t xml:space="preserve"> </w:t>
      </w:r>
    </w:p>
    <w:p w14:paraId="7D92B76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五、付款途径</w:t>
      </w:r>
    </w:p>
    <w:p w14:paraId="75F2A4F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甲方根据乙方在本合同中所提供银行开户信息转账支付。</w:t>
      </w:r>
    </w:p>
    <w:p w14:paraId="5E66296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六、付款方式</w:t>
      </w:r>
    </w:p>
    <w:p w14:paraId="37A286E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lang w:eastAsia="zh-CN"/>
        </w:rPr>
        <w:t>按工程形象进度付款，按月计量，在建设期内支付30%，工程竣工验收合格支付到合同价款的50%，审计结束支付到结算价款的70%，剩余资金分三年付清，每年支付10%。</w:t>
      </w:r>
    </w:p>
    <w:p w14:paraId="0AD6FB1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七、交付日期和地点</w:t>
      </w:r>
    </w:p>
    <w:p w14:paraId="7512677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1、交付日期：</w:t>
      </w:r>
      <w:r>
        <w:rPr>
          <w:rFonts w:hint="eastAsia" w:ascii="仿宋_GB2312" w:hAnsi="宋体" w:eastAsia="仿宋_GB2312"/>
          <w:color w:val="auto"/>
          <w:sz w:val="28"/>
          <w:szCs w:val="28"/>
          <w:highlight w:val="none"/>
          <w:lang w:eastAsia="zh-CN"/>
        </w:rPr>
        <w:t>合同签订后20日历天内安装调试完毕。</w:t>
      </w:r>
      <w:r>
        <w:rPr>
          <w:rFonts w:hint="eastAsia" w:ascii="仿宋_GB2312" w:hAnsi="宋体" w:eastAsia="仿宋_GB2312"/>
          <w:color w:val="auto"/>
          <w:sz w:val="28"/>
          <w:szCs w:val="28"/>
          <w:highlight w:val="none"/>
        </w:rPr>
        <w:t>内交付(自   年   月   日起至   年   月   日止)。</w:t>
      </w:r>
    </w:p>
    <w:p w14:paraId="5FC48E4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2、交付地点：甲方指定地点</w:t>
      </w:r>
    </w:p>
    <w:p w14:paraId="7B127D5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3、风险负担： </w:t>
      </w:r>
    </w:p>
    <w:p w14:paraId="211C670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货物毁损、灭失的风险在该货物通过甲乙双方联合验收交付前由乙方承担，通过联合验收交付后由甲方承担；因质量问题甲方拒收的，风险由乙方承担。</w:t>
      </w:r>
    </w:p>
    <w:p w14:paraId="0BFCC62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八、质量</w:t>
      </w:r>
    </w:p>
    <w:p w14:paraId="725A484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货物的质量应符合采购文件、响应文件及乙方在响应过程中做出的书面澄清及承诺。</w:t>
      </w:r>
    </w:p>
    <w:p w14:paraId="7D6B2C1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九、包装（含货物）</w:t>
      </w:r>
    </w:p>
    <w:p w14:paraId="17C85AB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货物的包装应按照国家或业务主管部门的技术规定执行，国家或业务主管部门无技术规定的，应当按双方约定采取足以保护货物安全、完好的包装方式。</w:t>
      </w:r>
    </w:p>
    <w:p w14:paraId="4C9AC5D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十、运输要求</w:t>
      </w:r>
    </w:p>
    <w:p w14:paraId="1B24E13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1、运输方式及线路：到达采购人指定地点。</w:t>
      </w:r>
    </w:p>
    <w:p w14:paraId="158DDC5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2、运输及相关费用由乙方承担。</w:t>
      </w:r>
    </w:p>
    <w:p w14:paraId="5572A44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十一、知识产权</w:t>
      </w:r>
    </w:p>
    <w:p w14:paraId="117DD70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乙方应保证甲方在中国境内使用服务（或货物）或服务（或货物）的任何一部分时，免受第三方提出的侵犯其知识产权的诉讼。</w:t>
      </w:r>
    </w:p>
    <w:p w14:paraId="7F93B9B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十二、验收</w:t>
      </w:r>
    </w:p>
    <w:p w14:paraId="444A76A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（一）货物</w:t>
      </w:r>
    </w:p>
    <w:p w14:paraId="44A9951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货物到达交货地点交付前，甲方和乙方在7日内共同开箱检验货物的规格、质量和数量等状况，如货物需要安装、调试，则由乙方负责并承担相应的费用，甲方应积极配合。安装调试后7日内，甲、乙双方应按照合同要求验收，并共同在《采购项目验收单》上签字确认。</w:t>
      </w:r>
    </w:p>
    <w:p w14:paraId="46A7D51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2、对货物的质量问题，甲方应在发现和应当发现之日起</w:t>
      </w:r>
      <w:r>
        <w:rPr>
          <w:rFonts w:hint="eastAsia" w:ascii="仿宋_GB2312" w:hAnsi="宋体" w:eastAsia="仿宋_GB2312"/>
          <w:color w:val="auto"/>
          <w:sz w:val="28"/>
          <w:szCs w:val="28"/>
          <w:highlight w:val="none"/>
          <w:u w:val="single"/>
        </w:rPr>
        <w:t>7</w:t>
      </w:r>
      <w:r>
        <w:rPr>
          <w:rFonts w:hint="eastAsia" w:ascii="仿宋_GB2312" w:hAnsi="宋体" w:eastAsia="仿宋_GB2312"/>
          <w:color w:val="auto"/>
          <w:sz w:val="28"/>
          <w:szCs w:val="28"/>
          <w:highlight w:val="none"/>
        </w:rPr>
        <w:t>日内向乙方提出书面异议，乙方在接到书面异议后，应当在</w:t>
      </w:r>
      <w:r>
        <w:rPr>
          <w:rFonts w:hint="eastAsia" w:ascii="仿宋_GB2312" w:hAnsi="宋体" w:eastAsia="仿宋_GB2312"/>
          <w:color w:val="auto"/>
          <w:sz w:val="28"/>
          <w:szCs w:val="28"/>
          <w:highlight w:val="none"/>
          <w:u w:val="single"/>
        </w:rPr>
        <w:t>5</w:t>
      </w:r>
      <w:r>
        <w:rPr>
          <w:rFonts w:hint="eastAsia" w:ascii="仿宋_GB2312" w:hAnsi="宋体" w:eastAsia="仿宋_GB2312"/>
          <w:color w:val="auto"/>
          <w:sz w:val="28"/>
          <w:szCs w:val="28"/>
          <w:highlight w:val="none"/>
        </w:rPr>
        <w:t>日内负责处理。甲方逾期提出的，对所交货物视为符合合同的规定。如果乙方在响应文件及询标过程中做出的书面说明及承诺中，有明确质量保证期的，适用质量保证期。</w:t>
      </w:r>
    </w:p>
    <w:p w14:paraId="350B7A4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3、经双方共同验收，货物达不到质量或规格要求的，甲方可以拒收，并可以解除合同。</w:t>
      </w:r>
    </w:p>
    <w:p w14:paraId="6ABE009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1515218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（二）服务</w:t>
      </w:r>
    </w:p>
    <w:p w14:paraId="697946C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按照采购文件约定的验收要求进行。</w:t>
      </w:r>
    </w:p>
    <w:p w14:paraId="0C7C5AC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04287DA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十三、售后服务</w:t>
      </w:r>
    </w:p>
    <w:p w14:paraId="20F83B7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乙方应按采购文件、投标（响应）文件及乙方在响应过程中做出的书面说明或承诺提供及时、快速、优质的售后服务。</w:t>
      </w:r>
    </w:p>
    <w:p w14:paraId="5E5E39C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见附件二：乙方响应文件售后服务承诺材料</w:t>
      </w:r>
    </w:p>
    <w:p w14:paraId="563DC3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十四、违约责任</w:t>
      </w:r>
    </w:p>
    <w:p w14:paraId="6FB4EB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1、除不可抗力外，如果乙方没有按照本合同约定的期限、地点和方式履行，甲方可要求乙方支付违约金，违约金按每迟延履行一日的应提供而未提供服务（或货物）</w:t>
      </w:r>
      <w:r>
        <w:rPr>
          <w:rFonts w:hint="eastAsia" w:ascii="仿宋_GB2312" w:hAnsi="宋体" w:eastAsia="仿宋_GB2312"/>
          <w:color w:val="auto"/>
          <w:sz w:val="28"/>
          <w:szCs w:val="28"/>
          <w:highlight w:val="none"/>
          <w:u w:val="single"/>
        </w:rPr>
        <w:t>本合同价格的</w:t>
      </w:r>
      <w:r>
        <w:rPr>
          <w:rFonts w:hint="eastAsia" w:ascii="仿宋_GB2312" w:hAnsi="宋体" w:eastAsia="仿宋_GB2312"/>
          <w:color w:val="auto"/>
          <w:kern w:val="0"/>
          <w:sz w:val="28"/>
          <w:szCs w:val="28"/>
          <w:highlight w:val="none"/>
          <w:u w:val="single"/>
        </w:rPr>
        <w:t>3‰</w:t>
      </w:r>
      <w:r>
        <w:rPr>
          <w:rFonts w:hint="eastAsia" w:ascii="仿宋_GB2312" w:hAnsi="宋体" w:eastAsia="仿宋_GB2312"/>
          <w:color w:val="auto"/>
          <w:sz w:val="28"/>
          <w:szCs w:val="28"/>
          <w:highlight w:val="none"/>
        </w:rPr>
        <w:t>计算，最高限额为</w:t>
      </w:r>
      <w:r>
        <w:rPr>
          <w:rFonts w:hint="eastAsia" w:ascii="仿宋_GB2312" w:hAnsi="宋体" w:eastAsia="仿宋_GB2312"/>
          <w:color w:val="auto"/>
          <w:sz w:val="28"/>
          <w:szCs w:val="28"/>
          <w:highlight w:val="none"/>
          <w:u w:val="single"/>
        </w:rPr>
        <w:t>本合同总价的30%</w:t>
      </w:r>
      <w:r>
        <w:rPr>
          <w:rFonts w:hint="eastAsia" w:ascii="仿宋_GB2312" w:hAnsi="宋体" w:eastAsia="仿宋_GB2312"/>
          <w:color w:val="auto"/>
          <w:sz w:val="28"/>
          <w:szCs w:val="28"/>
          <w:highlight w:val="none"/>
        </w:rPr>
        <w:t>；迟延履行的违约金计算数额达到前述最高限额之日起，甲方有权在要求乙方支付违约金的同时，书面通知乙方解除本合同；</w:t>
      </w:r>
    </w:p>
    <w:p w14:paraId="56684DE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2、除不可抗力外，如果甲方没有按照本合同约定的付款方式付款，乙方可要求甲方支付违约金，违约金按每迟延付款一日的应付而未付款的</w:t>
      </w:r>
      <w:r>
        <w:rPr>
          <w:rFonts w:hint="eastAsia" w:ascii="仿宋_GB2312" w:hAnsi="宋体" w:eastAsia="仿宋_GB2312"/>
          <w:color w:val="auto"/>
          <w:kern w:val="0"/>
          <w:sz w:val="28"/>
          <w:szCs w:val="28"/>
          <w:highlight w:val="none"/>
          <w:u w:val="single"/>
        </w:rPr>
        <w:t>3‰</w:t>
      </w:r>
      <w:r>
        <w:rPr>
          <w:rFonts w:hint="eastAsia" w:ascii="仿宋_GB2312" w:hAnsi="宋体" w:eastAsia="仿宋_GB2312"/>
          <w:color w:val="auto"/>
          <w:sz w:val="28"/>
          <w:szCs w:val="28"/>
          <w:highlight w:val="none"/>
        </w:rPr>
        <w:t>计算，最高限额为</w:t>
      </w:r>
      <w:r>
        <w:rPr>
          <w:rFonts w:hint="eastAsia" w:ascii="仿宋_GB2312" w:hAnsi="宋体" w:eastAsia="仿宋_GB2312"/>
          <w:color w:val="auto"/>
          <w:sz w:val="28"/>
          <w:szCs w:val="28"/>
          <w:highlight w:val="none"/>
          <w:u w:val="single"/>
        </w:rPr>
        <w:t>本合同总价的30%</w:t>
      </w:r>
      <w:r>
        <w:rPr>
          <w:rFonts w:hint="eastAsia" w:ascii="仿宋_GB2312" w:hAnsi="宋体" w:eastAsia="仿宋_GB2312"/>
          <w:color w:val="auto"/>
          <w:sz w:val="28"/>
          <w:szCs w:val="28"/>
          <w:highlight w:val="none"/>
        </w:rPr>
        <w:t>；迟延付款的违约金计算数额达到前述最高限额之日起，乙方有权在要求甲方支付违约金的同时，书面通知甲方解除本合同；</w:t>
      </w:r>
    </w:p>
    <w:p w14:paraId="606EAE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7895620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C71D1A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548A0F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6、如果出现政府采购监督管理部门在处理投诉事项期间，书面通知甲方暂停采购活动的情形，或者询问或质疑事项可能影响中标结果的，导致甲方中止履行合同的情形，均不视为甲方违约。</w:t>
      </w:r>
    </w:p>
    <w:p w14:paraId="3DE7348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7.甲方无正常理由迟延退还乙方缴纳的履约保证金的，应当支付逾期利息。双方对逾期利息的利率有约定的，从其约定。</w:t>
      </w:r>
    </w:p>
    <w:p w14:paraId="563E05B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十五、合同争议的解决</w:t>
      </w:r>
    </w:p>
    <w:p w14:paraId="52FA767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本合同履行过程中发生的任何争议，双方当事人均可通过和解或者调解解决；不愿和解、调解或者和解、调解不成的，可以向乳山市人民法院起诉。</w:t>
      </w:r>
    </w:p>
    <w:p w14:paraId="40C5848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黑体" w:hAnsi="黑体" w:eastAsia="黑体"/>
          <w:bCs/>
          <w:color w:val="auto"/>
          <w:kern w:val="0"/>
          <w:sz w:val="28"/>
          <w:szCs w:val="28"/>
          <w:highlight w:val="none"/>
        </w:rPr>
      </w:pPr>
      <w:r>
        <w:rPr>
          <w:rFonts w:hint="eastAsia" w:ascii="黑体" w:hAnsi="黑体" w:eastAsia="黑体"/>
          <w:bCs/>
          <w:color w:val="auto"/>
          <w:kern w:val="0"/>
          <w:sz w:val="28"/>
          <w:szCs w:val="28"/>
          <w:highlight w:val="none"/>
        </w:rPr>
        <w:t>十六、合同生效</w:t>
      </w:r>
    </w:p>
    <w:p w14:paraId="2B436BD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本合同经甲乙双方签字盖章之日起生效。</w:t>
      </w:r>
    </w:p>
    <w:p w14:paraId="41585FE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_GB2312" w:hAnsi="宋体" w:eastAsia="仿宋_GB2312"/>
          <w:color w:val="auto"/>
          <w:sz w:val="28"/>
          <w:szCs w:val="28"/>
          <w:highlight w:val="none"/>
        </w:rPr>
      </w:pPr>
      <w:r>
        <w:rPr>
          <w:rFonts w:hint="eastAsia" w:ascii="黑体" w:hAnsi="黑体" w:eastAsia="黑体"/>
          <w:bCs/>
          <w:color w:val="auto"/>
          <w:kern w:val="0"/>
          <w:sz w:val="28"/>
          <w:szCs w:val="28"/>
          <w:highlight w:val="none"/>
        </w:rPr>
        <w:t>十七、签约地点</w:t>
      </w:r>
      <w:r>
        <w:rPr>
          <w:rFonts w:hint="eastAsia" w:ascii="仿宋_GB2312" w:hAnsi="宋体" w:eastAsia="仿宋_GB2312"/>
          <w:bCs/>
          <w:color w:val="auto"/>
          <w:kern w:val="0"/>
          <w:sz w:val="28"/>
          <w:szCs w:val="28"/>
          <w:highlight w:val="none"/>
        </w:rPr>
        <w:t>：</w:t>
      </w:r>
      <w:r>
        <w:rPr>
          <w:rFonts w:hint="eastAsia" w:ascii="仿宋_GB2312" w:hAnsi="宋体" w:eastAsia="仿宋_GB2312"/>
          <w:color w:val="auto"/>
          <w:kern w:val="0"/>
          <w:sz w:val="28"/>
          <w:szCs w:val="28"/>
          <w:highlight w:val="none"/>
        </w:rPr>
        <w:t>山东省乳山市。</w:t>
      </w:r>
    </w:p>
    <w:p w14:paraId="38A1F7B0">
      <w:pPr>
        <w:spacing w:line="56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 xml:space="preserve"> </w:t>
      </w:r>
    </w:p>
    <w:tbl>
      <w:tblPr>
        <w:tblStyle w:val="35"/>
        <w:tblW w:w="9692" w:type="dxa"/>
        <w:tblInd w:w="108" w:type="dxa"/>
        <w:tblLayout w:type="autofit"/>
        <w:tblCellMar>
          <w:top w:w="0" w:type="dxa"/>
          <w:left w:w="108" w:type="dxa"/>
          <w:bottom w:w="0" w:type="dxa"/>
          <w:right w:w="108" w:type="dxa"/>
        </w:tblCellMar>
      </w:tblPr>
      <w:tblGrid>
        <w:gridCol w:w="4776"/>
        <w:gridCol w:w="4916"/>
      </w:tblGrid>
      <w:tr w14:paraId="3E43BDC0">
        <w:tblPrEx>
          <w:tblCellMar>
            <w:top w:w="0" w:type="dxa"/>
            <w:left w:w="108" w:type="dxa"/>
            <w:bottom w:w="0" w:type="dxa"/>
            <w:right w:w="108" w:type="dxa"/>
          </w:tblCellMar>
        </w:tblPrEx>
        <w:trPr>
          <w:trHeight w:val="518" w:hRule="atLeast"/>
        </w:trPr>
        <w:tc>
          <w:tcPr>
            <w:tcW w:w="4776" w:type="dxa"/>
          </w:tcPr>
          <w:p w14:paraId="166EAACC">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甲    方：</w:t>
            </w:r>
            <w:r>
              <w:rPr>
                <w:rFonts w:hint="eastAsia" w:ascii="仿宋_GB2312" w:hAnsi="宋体" w:eastAsia="仿宋_GB2312"/>
                <w:color w:val="auto"/>
                <w:sz w:val="28"/>
                <w:szCs w:val="28"/>
                <w:highlight w:val="none"/>
                <w:lang w:eastAsia="zh-CN"/>
              </w:rPr>
              <w:t>乳山市城市管理综合服务中心</w:t>
            </w:r>
          </w:p>
        </w:tc>
        <w:tc>
          <w:tcPr>
            <w:tcW w:w="4916" w:type="dxa"/>
          </w:tcPr>
          <w:p w14:paraId="42BA7926">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乙    方：</w:t>
            </w:r>
          </w:p>
        </w:tc>
      </w:tr>
      <w:tr w14:paraId="1EDF4E31">
        <w:tblPrEx>
          <w:tblCellMar>
            <w:top w:w="0" w:type="dxa"/>
            <w:left w:w="108" w:type="dxa"/>
            <w:bottom w:w="0" w:type="dxa"/>
            <w:right w:w="108" w:type="dxa"/>
          </w:tblCellMar>
        </w:tblPrEx>
        <w:trPr>
          <w:trHeight w:val="1546" w:hRule="atLeast"/>
        </w:trPr>
        <w:tc>
          <w:tcPr>
            <w:tcW w:w="4776" w:type="dxa"/>
          </w:tcPr>
          <w:p w14:paraId="6C6E3140">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单位盖章:</w:t>
            </w:r>
          </w:p>
          <w:p w14:paraId="50CE1B2F">
            <w:pPr>
              <w:spacing w:line="560" w:lineRule="exact"/>
              <w:rPr>
                <w:rFonts w:ascii="仿宋_GB2312" w:hAnsi="宋体" w:eastAsia="仿宋_GB2312"/>
                <w:color w:val="auto"/>
                <w:sz w:val="28"/>
                <w:szCs w:val="28"/>
                <w:highlight w:val="none"/>
              </w:rPr>
            </w:pPr>
          </w:p>
          <w:p w14:paraId="7BE49DB7">
            <w:pPr>
              <w:spacing w:line="560" w:lineRule="exact"/>
              <w:rPr>
                <w:rFonts w:ascii="仿宋_GB2312" w:hAnsi="宋体" w:eastAsia="仿宋_GB2312"/>
                <w:color w:val="auto"/>
                <w:sz w:val="28"/>
                <w:szCs w:val="28"/>
                <w:highlight w:val="none"/>
              </w:rPr>
            </w:pPr>
          </w:p>
        </w:tc>
        <w:tc>
          <w:tcPr>
            <w:tcW w:w="4916" w:type="dxa"/>
          </w:tcPr>
          <w:p w14:paraId="0B200FCB">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单位盖章:</w:t>
            </w:r>
          </w:p>
          <w:p w14:paraId="1CB3734A">
            <w:pPr>
              <w:spacing w:line="560" w:lineRule="exact"/>
              <w:rPr>
                <w:rFonts w:ascii="仿宋_GB2312" w:hAnsi="宋体" w:eastAsia="仿宋_GB2312"/>
                <w:color w:val="auto"/>
                <w:sz w:val="28"/>
                <w:szCs w:val="28"/>
                <w:highlight w:val="none"/>
              </w:rPr>
            </w:pPr>
          </w:p>
          <w:p w14:paraId="2F0CA93E">
            <w:pPr>
              <w:spacing w:line="560" w:lineRule="exact"/>
              <w:rPr>
                <w:rFonts w:ascii="仿宋_GB2312" w:hAnsi="宋体" w:eastAsia="仿宋_GB2312"/>
                <w:color w:val="auto"/>
                <w:sz w:val="28"/>
                <w:szCs w:val="28"/>
                <w:highlight w:val="none"/>
              </w:rPr>
            </w:pPr>
          </w:p>
        </w:tc>
      </w:tr>
      <w:tr w14:paraId="31660815">
        <w:tblPrEx>
          <w:tblCellMar>
            <w:top w:w="0" w:type="dxa"/>
            <w:left w:w="108" w:type="dxa"/>
            <w:bottom w:w="0" w:type="dxa"/>
            <w:right w:w="108" w:type="dxa"/>
          </w:tblCellMar>
        </w:tblPrEx>
        <w:trPr>
          <w:trHeight w:val="2065" w:hRule="atLeast"/>
        </w:trPr>
        <w:tc>
          <w:tcPr>
            <w:tcW w:w="4776" w:type="dxa"/>
          </w:tcPr>
          <w:p w14:paraId="6F57490C">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代表签字:</w:t>
            </w:r>
          </w:p>
          <w:p w14:paraId="1D97A161">
            <w:pPr>
              <w:spacing w:line="560" w:lineRule="exact"/>
              <w:rPr>
                <w:rFonts w:ascii="仿宋_GB2312" w:hAnsi="宋体" w:eastAsia="仿宋_GB2312"/>
                <w:color w:val="auto"/>
                <w:sz w:val="28"/>
                <w:szCs w:val="28"/>
                <w:highlight w:val="none"/>
              </w:rPr>
            </w:pPr>
          </w:p>
          <w:p w14:paraId="2756CC75">
            <w:pPr>
              <w:spacing w:line="560" w:lineRule="exact"/>
              <w:rPr>
                <w:rFonts w:ascii="仿宋_GB2312" w:hAnsi="宋体" w:eastAsia="仿宋_GB2312"/>
                <w:color w:val="auto"/>
                <w:sz w:val="28"/>
                <w:szCs w:val="28"/>
                <w:highlight w:val="none"/>
              </w:rPr>
            </w:pPr>
          </w:p>
          <w:p w14:paraId="7DB6177C">
            <w:pPr>
              <w:spacing w:line="560" w:lineRule="exact"/>
              <w:ind w:firstLine="2870" w:firstLineChars="1025"/>
              <w:rPr>
                <w:rFonts w:ascii="仿宋_GB2312" w:hAnsi="宋体" w:eastAsia="仿宋_GB2312"/>
                <w:color w:val="auto"/>
                <w:sz w:val="28"/>
                <w:szCs w:val="28"/>
                <w:highlight w:val="none"/>
              </w:rPr>
            </w:pPr>
          </w:p>
        </w:tc>
        <w:tc>
          <w:tcPr>
            <w:tcW w:w="4916" w:type="dxa"/>
          </w:tcPr>
          <w:p w14:paraId="569E3001">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代表签字:</w:t>
            </w:r>
          </w:p>
          <w:p w14:paraId="15F12B68">
            <w:pPr>
              <w:spacing w:line="560" w:lineRule="exact"/>
              <w:rPr>
                <w:rFonts w:ascii="仿宋_GB2312" w:hAnsi="宋体" w:eastAsia="仿宋_GB2312"/>
                <w:color w:val="auto"/>
                <w:sz w:val="28"/>
                <w:szCs w:val="28"/>
                <w:highlight w:val="none"/>
              </w:rPr>
            </w:pPr>
          </w:p>
        </w:tc>
      </w:tr>
    </w:tbl>
    <w:p w14:paraId="5D7AB952">
      <w:pPr>
        <w:spacing w:line="560" w:lineRule="exact"/>
        <w:ind w:firstLine="560" w:firstLineChars="200"/>
        <w:rPr>
          <w:rFonts w:ascii="仿宋_GB2312" w:hAnsi="宋体" w:eastAsia="仿宋_GB2312"/>
          <w:color w:val="auto"/>
          <w:sz w:val="28"/>
          <w:szCs w:val="28"/>
          <w:highlight w:val="none"/>
        </w:rPr>
      </w:pPr>
    </w:p>
    <w:p w14:paraId="02182D8A">
      <w:pPr>
        <w:spacing w:line="560" w:lineRule="exact"/>
        <w:ind w:firstLine="560" w:firstLineChars="200"/>
        <w:rPr>
          <w:rFonts w:ascii="仿宋_GB2312" w:hAnsi="宋体" w:eastAsia="仿宋_GB2312"/>
          <w:color w:val="auto"/>
          <w:sz w:val="28"/>
          <w:szCs w:val="28"/>
          <w:highlight w:val="none"/>
        </w:rPr>
      </w:pPr>
    </w:p>
    <w:p w14:paraId="298FF466">
      <w:pPr>
        <w:spacing w:line="560" w:lineRule="exact"/>
        <w:ind w:firstLine="560" w:firstLineChars="200"/>
        <w:rPr>
          <w:rFonts w:ascii="仿宋_GB2312" w:hAnsi="宋体" w:eastAsia="仿宋_GB2312"/>
          <w:color w:val="auto"/>
          <w:sz w:val="28"/>
          <w:szCs w:val="28"/>
          <w:highlight w:val="none"/>
        </w:rPr>
        <w:sectPr>
          <w:footerReference r:id="rId21" w:type="default"/>
          <w:type w:val="continuous"/>
          <w:pgSz w:w="11906" w:h="16838"/>
          <w:pgMar w:top="1440" w:right="1077" w:bottom="1440" w:left="1077" w:header="851" w:footer="992" w:gutter="0"/>
          <w:cols w:space="720" w:num="1"/>
          <w:docGrid w:type="lines" w:linePitch="312" w:charSpace="0"/>
        </w:sectPr>
      </w:pPr>
      <w:r>
        <w:rPr>
          <w:rFonts w:hint="eastAsia" w:ascii="仿宋_GB2312" w:hAnsi="宋体" w:eastAsia="仿宋_GB2312"/>
          <w:color w:val="auto"/>
          <w:sz w:val="28"/>
          <w:szCs w:val="28"/>
          <w:highlight w:val="none"/>
        </w:rPr>
        <w:t>日期：</w:t>
      </w:r>
    </w:p>
    <w:p w14:paraId="6B3E45F1">
      <w:pPr>
        <w:spacing w:line="56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附表如下：</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16"/>
        <w:gridCol w:w="1233"/>
        <w:gridCol w:w="1460"/>
        <w:gridCol w:w="4215"/>
        <w:gridCol w:w="2231"/>
        <w:gridCol w:w="1338"/>
        <w:gridCol w:w="1474"/>
        <w:gridCol w:w="1407"/>
      </w:tblGrid>
      <w:tr w14:paraId="723FDD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288" w:type="pct"/>
            <w:tcBorders>
              <w:top w:val="single" w:color="auto" w:sz="4" w:space="0"/>
            </w:tcBorders>
            <w:vAlign w:val="center"/>
          </w:tcPr>
          <w:p w14:paraId="725D6035">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序号</w:t>
            </w:r>
          </w:p>
        </w:tc>
        <w:tc>
          <w:tcPr>
            <w:tcW w:w="435" w:type="pct"/>
            <w:tcBorders>
              <w:top w:val="single" w:color="auto" w:sz="4" w:space="0"/>
            </w:tcBorders>
            <w:vAlign w:val="center"/>
          </w:tcPr>
          <w:p w14:paraId="5A5E2868">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货物内容</w:t>
            </w:r>
          </w:p>
        </w:tc>
        <w:tc>
          <w:tcPr>
            <w:tcW w:w="515" w:type="pct"/>
            <w:tcBorders>
              <w:top w:val="single" w:color="auto" w:sz="4" w:space="0"/>
              <w:right w:val="single" w:color="auto" w:sz="4" w:space="0"/>
            </w:tcBorders>
            <w:vAlign w:val="center"/>
          </w:tcPr>
          <w:p w14:paraId="25CA83F1">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品牌型号</w:t>
            </w:r>
          </w:p>
        </w:tc>
        <w:tc>
          <w:tcPr>
            <w:tcW w:w="1487" w:type="pct"/>
            <w:tcBorders>
              <w:top w:val="single" w:color="auto" w:sz="4" w:space="0"/>
            </w:tcBorders>
            <w:vAlign w:val="center"/>
          </w:tcPr>
          <w:p w14:paraId="7DBB3588">
            <w:pPr>
              <w:spacing w:line="560" w:lineRule="exact"/>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详细配置</w:t>
            </w:r>
          </w:p>
        </w:tc>
        <w:tc>
          <w:tcPr>
            <w:tcW w:w="787" w:type="pct"/>
            <w:tcBorders>
              <w:top w:val="single" w:color="auto" w:sz="4" w:space="0"/>
            </w:tcBorders>
            <w:vAlign w:val="center"/>
          </w:tcPr>
          <w:p w14:paraId="633B0550">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生产厂家</w:t>
            </w:r>
          </w:p>
        </w:tc>
        <w:tc>
          <w:tcPr>
            <w:tcW w:w="472" w:type="pct"/>
            <w:tcBorders>
              <w:top w:val="single" w:color="auto" w:sz="4" w:space="0"/>
              <w:right w:val="single" w:color="auto" w:sz="4" w:space="0"/>
            </w:tcBorders>
            <w:vAlign w:val="center"/>
          </w:tcPr>
          <w:p w14:paraId="591C83C5">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数量</w:t>
            </w:r>
          </w:p>
        </w:tc>
        <w:tc>
          <w:tcPr>
            <w:tcW w:w="520" w:type="pct"/>
            <w:tcBorders>
              <w:top w:val="single" w:color="auto" w:sz="4" w:space="0"/>
              <w:left w:val="single" w:color="auto" w:sz="4" w:space="0"/>
              <w:right w:val="single" w:color="auto" w:sz="4" w:space="0"/>
            </w:tcBorders>
            <w:vAlign w:val="center"/>
          </w:tcPr>
          <w:p w14:paraId="06E619CD">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单价（元）</w:t>
            </w:r>
          </w:p>
        </w:tc>
        <w:tc>
          <w:tcPr>
            <w:tcW w:w="496" w:type="pct"/>
            <w:tcBorders>
              <w:top w:val="single" w:color="auto" w:sz="4" w:space="0"/>
              <w:left w:val="single" w:color="auto" w:sz="4" w:space="0"/>
            </w:tcBorders>
            <w:vAlign w:val="center"/>
          </w:tcPr>
          <w:p w14:paraId="41AB63DD">
            <w:pPr>
              <w:spacing w:line="560" w:lineRule="exact"/>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总价（元）</w:t>
            </w:r>
          </w:p>
        </w:tc>
      </w:tr>
      <w:tr w14:paraId="020B48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288" w:type="pct"/>
            <w:vAlign w:val="center"/>
          </w:tcPr>
          <w:p w14:paraId="05BCABA6">
            <w:pPr>
              <w:rPr>
                <w:rFonts w:ascii="仿宋_GB2312" w:hAnsi="宋体" w:eastAsia="仿宋_GB2312"/>
                <w:color w:val="auto"/>
                <w:sz w:val="24"/>
                <w:szCs w:val="24"/>
                <w:highlight w:val="none"/>
              </w:rPr>
            </w:pPr>
            <w:r>
              <w:rPr>
                <w:rFonts w:hint="eastAsia" w:ascii="仿宋_GB2312" w:hAnsi="宋体" w:eastAsia="仿宋_GB2312"/>
                <w:bCs/>
                <w:color w:val="auto"/>
                <w:sz w:val="24"/>
                <w:szCs w:val="24"/>
                <w:highlight w:val="none"/>
              </w:rPr>
              <w:t>0</w:t>
            </w:r>
          </w:p>
        </w:tc>
        <w:tc>
          <w:tcPr>
            <w:tcW w:w="435" w:type="pct"/>
            <w:vAlign w:val="center"/>
          </w:tcPr>
          <w:p w14:paraId="322E85A2">
            <w:pPr>
              <w:rPr>
                <w:rFonts w:ascii="仿宋_GB2312" w:hAnsi="宋体" w:eastAsia="仿宋_GB2312"/>
                <w:color w:val="auto"/>
                <w:sz w:val="24"/>
                <w:szCs w:val="24"/>
                <w:highlight w:val="none"/>
              </w:rPr>
            </w:pPr>
          </w:p>
        </w:tc>
        <w:tc>
          <w:tcPr>
            <w:tcW w:w="515" w:type="pct"/>
            <w:tcBorders>
              <w:right w:val="single" w:color="auto" w:sz="4" w:space="0"/>
            </w:tcBorders>
            <w:vAlign w:val="center"/>
          </w:tcPr>
          <w:p w14:paraId="788E41BA">
            <w:pPr>
              <w:rPr>
                <w:rFonts w:ascii="仿宋_GB2312" w:hAnsi="宋体" w:eastAsia="仿宋_GB2312"/>
                <w:color w:val="auto"/>
                <w:sz w:val="24"/>
                <w:szCs w:val="24"/>
                <w:highlight w:val="none"/>
              </w:rPr>
            </w:pPr>
          </w:p>
        </w:tc>
        <w:tc>
          <w:tcPr>
            <w:tcW w:w="1487" w:type="pct"/>
            <w:vAlign w:val="center"/>
          </w:tcPr>
          <w:p w14:paraId="2BE7E39E">
            <w:pPr>
              <w:jc w:val="center"/>
              <w:rPr>
                <w:rFonts w:ascii="仿宋_GB2312" w:hAnsi="宋体" w:eastAsia="仿宋_GB2312"/>
                <w:bCs/>
                <w:color w:val="auto"/>
                <w:sz w:val="24"/>
                <w:szCs w:val="24"/>
                <w:highlight w:val="none"/>
              </w:rPr>
            </w:pPr>
          </w:p>
        </w:tc>
        <w:tc>
          <w:tcPr>
            <w:tcW w:w="787" w:type="pct"/>
            <w:vAlign w:val="center"/>
          </w:tcPr>
          <w:p w14:paraId="342C9305">
            <w:pPr>
              <w:rPr>
                <w:rFonts w:ascii="仿宋_GB2312" w:hAnsi="宋体" w:eastAsia="仿宋_GB2312"/>
                <w:color w:val="auto"/>
                <w:sz w:val="24"/>
                <w:szCs w:val="24"/>
                <w:highlight w:val="none"/>
              </w:rPr>
            </w:pPr>
          </w:p>
        </w:tc>
        <w:tc>
          <w:tcPr>
            <w:tcW w:w="472" w:type="pct"/>
            <w:tcBorders>
              <w:right w:val="single" w:color="auto" w:sz="4" w:space="0"/>
            </w:tcBorders>
            <w:vAlign w:val="center"/>
          </w:tcPr>
          <w:p w14:paraId="6B735E7B">
            <w:pPr>
              <w:rPr>
                <w:rFonts w:ascii="仿宋_GB2312" w:hAnsi="宋体" w:eastAsia="仿宋_GB2312"/>
                <w:color w:val="auto"/>
                <w:sz w:val="24"/>
                <w:szCs w:val="24"/>
                <w:highlight w:val="none"/>
              </w:rPr>
            </w:pPr>
          </w:p>
        </w:tc>
        <w:tc>
          <w:tcPr>
            <w:tcW w:w="520" w:type="pct"/>
            <w:tcBorders>
              <w:left w:val="single" w:color="auto" w:sz="4" w:space="0"/>
              <w:right w:val="single" w:color="auto" w:sz="4" w:space="0"/>
            </w:tcBorders>
            <w:vAlign w:val="center"/>
          </w:tcPr>
          <w:p w14:paraId="6BF68F0B">
            <w:pPr>
              <w:rPr>
                <w:rFonts w:ascii="仿宋_GB2312" w:hAnsi="宋体" w:eastAsia="仿宋_GB2312"/>
                <w:color w:val="auto"/>
                <w:sz w:val="24"/>
                <w:szCs w:val="24"/>
                <w:highlight w:val="none"/>
              </w:rPr>
            </w:pPr>
          </w:p>
        </w:tc>
        <w:tc>
          <w:tcPr>
            <w:tcW w:w="496" w:type="pct"/>
            <w:tcBorders>
              <w:left w:val="single" w:color="auto" w:sz="4" w:space="0"/>
            </w:tcBorders>
            <w:vAlign w:val="center"/>
          </w:tcPr>
          <w:p w14:paraId="48A8F849">
            <w:pPr>
              <w:rPr>
                <w:rFonts w:ascii="仿宋_GB2312" w:hAnsi="宋体" w:eastAsia="仿宋_GB2312"/>
                <w:color w:val="auto"/>
                <w:sz w:val="24"/>
                <w:szCs w:val="24"/>
                <w:highlight w:val="none"/>
              </w:rPr>
            </w:pPr>
          </w:p>
        </w:tc>
      </w:tr>
      <w:tr w14:paraId="20493A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4504" w:type="pct"/>
            <w:gridSpan w:val="7"/>
            <w:vAlign w:val="center"/>
          </w:tcPr>
          <w:p w14:paraId="78649FE2">
            <w:pPr>
              <w:rPr>
                <w:rFonts w:ascii="仿宋_GB2312" w:hAnsi="宋体" w:eastAsia="仿宋_GB2312"/>
                <w:color w:val="auto"/>
                <w:sz w:val="24"/>
                <w:szCs w:val="24"/>
                <w:highlight w:val="none"/>
              </w:rPr>
            </w:pPr>
            <w:r>
              <w:rPr>
                <w:rFonts w:hint="eastAsia" w:ascii="仿宋_GB2312" w:hAnsi="宋体" w:eastAsia="仿宋_GB2312"/>
                <w:b/>
                <w:bCs/>
                <w:color w:val="auto"/>
                <w:sz w:val="24"/>
                <w:szCs w:val="24"/>
                <w:highlight w:val="none"/>
              </w:rPr>
              <w:t>本表总计</w:t>
            </w:r>
          </w:p>
        </w:tc>
        <w:tc>
          <w:tcPr>
            <w:tcW w:w="496" w:type="pct"/>
            <w:tcBorders>
              <w:left w:val="single" w:color="auto" w:sz="4" w:space="0"/>
            </w:tcBorders>
            <w:vAlign w:val="center"/>
          </w:tcPr>
          <w:p w14:paraId="2F135B5F">
            <w:pPr>
              <w:rPr>
                <w:rFonts w:ascii="仿宋_GB2312" w:hAnsi="宋体" w:eastAsia="仿宋_GB2312"/>
                <w:color w:val="auto"/>
                <w:sz w:val="24"/>
                <w:szCs w:val="24"/>
                <w:highlight w:val="none"/>
              </w:rPr>
            </w:pPr>
            <w:r>
              <w:rPr>
                <w:rFonts w:hint="eastAsia" w:ascii="仿宋_GB2312" w:hAnsi="宋体" w:eastAsia="仿宋_GB2312"/>
                <w:b/>
                <w:bCs/>
                <w:color w:val="auto"/>
                <w:sz w:val="24"/>
                <w:szCs w:val="24"/>
                <w:highlight w:val="none"/>
              </w:rPr>
              <w:t>0</w:t>
            </w:r>
          </w:p>
        </w:tc>
      </w:tr>
    </w:tbl>
    <w:p w14:paraId="04C030DE">
      <w:pPr>
        <w:spacing w:line="560" w:lineRule="exact"/>
        <w:rPr>
          <w:rFonts w:ascii="仿宋_GB2312" w:hAnsi="宋体" w:eastAsia="仿宋_GB2312"/>
          <w:bCs/>
          <w:color w:val="auto"/>
          <w:sz w:val="28"/>
          <w:szCs w:val="28"/>
          <w:highlight w:val="none"/>
        </w:rPr>
      </w:pPr>
      <w:r>
        <w:rPr>
          <w:rFonts w:hint="eastAsia" w:ascii="仿宋_GB2312" w:hAnsi="宋体" w:eastAsia="仿宋_GB2312"/>
          <w:bCs/>
          <w:color w:val="auto"/>
          <w:sz w:val="28"/>
          <w:szCs w:val="28"/>
          <w:highlight w:val="none"/>
        </w:rPr>
        <w:t xml:space="preserve"> </w:t>
      </w:r>
    </w:p>
    <w:p w14:paraId="6FAF1153">
      <w:pPr>
        <w:rPr>
          <w:color w:val="auto"/>
          <w:highlight w:val="none"/>
        </w:rPr>
      </w:pPr>
    </w:p>
    <w:p w14:paraId="05BA5C98">
      <w:pPr>
        <w:rPr>
          <w:color w:val="auto"/>
          <w:highlight w:val="none"/>
        </w:rPr>
      </w:pPr>
    </w:p>
    <w:p w14:paraId="6CA7C444">
      <w:pPr>
        <w:rPr>
          <w:color w:val="auto"/>
          <w:highlight w:val="none"/>
        </w:rPr>
        <w:sectPr>
          <w:pgSz w:w="16838" w:h="11906" w:orient="landscape"/>
          <w:pgMar w:top="1077" w:right="1440" w:bottom="1077" w:left="1440" w:header="851" w:footer="992" w:gutter="0"/>
          <w:cols w:space="720" w:num="1"/>
          <w:docGrid w:type="lines" w:linePitch="312" w:charSpace="0"/>
        </w:sectPr>
      </w:pPr>
    </w:p>
    <w:p w14:paraId="417162DC">
      <w:pPr>
        <w:rPr>
          <w:color w:val="auto"/>
          <w:highlight w:val="none"/>
        </w:rPr>
      </w:pPr>
    </w:p>
    <w:bookmarkEnd w:id="0"/>
    <w:sectPr>
      <w:type w:val="continuous"/>
      <w:pgSz w:w="16838" w:h="11906" w:orient="landscape"/>
      <w:pgMar w:top="1077" w:right="1440" w:bottom="107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Noto Sans Mono CJK JP Regular">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7BD2">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2E5DD">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F15F5">
    <w:pPr>
      <w:pStyle w:val="25"/>
      <w:ind w:left="420" w:hanging="420"/>
      <w:jc w:val="center"/>
    </w:pPr>
    <w:r>
      <w:fldChar w:fldCharType="begin"/>
    </w:r>
    <w:r>
      <w:instrText xml:space="preserve">PAGE   \* MERGEFORMAT</w:instrText>
    </w:r>
    <w:r>
      <w:fldChar w:fldCharType="separate"/>
    </w:r>
    <w:r>
      <w:rPr>
        <w:lang w:val="zh-CN"/>
      </w:rPr>
      <w:t>2</w:t>
    </w:r>
    <w:r>
      <w:fldChar w:fldCharType="end"/>
    </w:r>
  </w:p>
  <w:p w14:paraId="42D6FF9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E87C8">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2395">
    <w:pPr>
      <w:pStyle w:val="25"/>
      <w:jc w:val="center"/>
    </w:pPr>
    <w:r>
      <w:fldChar w:fldCharType="begin"/>
    </w:r>
    <w:r>
      <w:instrText xml:space="preserve">PAGE   \* MERGEFORMAT</w:instrText>
    </w:r>
    <w:r>
      <w:fldChar w:fldCharType="separate"/>
    </w:r>
    <w:r>
      <w:rPr>
        <w:lang w:val="zh-CN"/>
      </w:rPr>
      <w:t>2</w:t>
    </w:r>
    <w:r>
      <w:fldChar w:fldCharType="end"/>
    </w:r>
  </w:p>
  <w:p w14:paraId="59E4FE37">
    <w:pPr>
      <w:pStyle w:val="25"/>
      <w:tabs>
        <w:tab w:val="clear" w:pos="4153"/>
        <w:tab w:val="clear" w:pos="8306"/>
      </w:tabs>
      <w:rPr>
        <w:rFonts w:ascii="宋体" w:hAnsi="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88F3F">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98D7A"/>
  <w:p w14:paraId="704443F5">
    <w:pP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F98ED">
    <w:pPr>
      <w:pStyle w:val="25"/>
      <w:jc w:val="center"/>
    </w:pPr>
    <w:r>
      <w:fldChar w:fldCharType="begin"/>
    </w:r>
    <w:r>
      <w:instrText xml:space="preserve">PAGE   \* MERGEFORMAT</w:instrText>
    </w:r>
    <w:r>
      <w:fldChar w:fldCharType="separate"/>
    </w:r>
    <w:r>
      <w:rPr>
        <w:rFonts w:hint="eastAsia"/>
        <w:lang w:val="zh-CN"/>
      </w:rPr>
      <w:t>7</w:t>
    </w:r>
    <w:r>
      <w:rPr>
        <w:lang w:val="zh-CN"/>
      </w:rPr>
      <w:fldChar w:fldCharType="end"/>
    </w:r>
  </w:p>
  <w:p w14:paraId="5C1AC726">
    <w:pPr>
      <w:pStyle w:val="12"/>
      <w:spacing w:line="14" w:lineRule="auto"/>
      <w:jc w:val="center"/>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2398">
    <w:pPr>
      <w:spacing w:after="120" w:afterLines="50" w:line="360" w:lineRule="auto"/>
      <w:jc w:val="left"/>
      <w:rPr>
        <w:rFonts w:ascii="方正小标宋简体" w:hAnsi="黑体" w:eastAsia="方正小标宋简体"/>
        <w:color w:val="80808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4EF4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07549">
    <w:pPr>
      <w:tabs>
        <w:tab w:val="left" w:pos="3135"/>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E42B">
    <w:pPr>
      <w:pStyle w:val="2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5DC2C">
    <w:pPr>
      <w:pStyle w:val="2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24D21">
    <w:pPr>
      <w:pStyle w:val="2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1BD45">
    <w:pPr>
      <w:pStyle w:val="26"/>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E192C">
    <w:pPr>
      <w:pStyle w:val="2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0A7D1">
    <w:pPr>
      <w:pStyle w:val="2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3B80A">
    <w:pPr>
      <w:pStyle w:val="2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2CC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B61D5"/>
    <w:multiLevelType w:val="multilevel"/>
    <w:tmpl w:val="1E3B61D5"/>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iMWI5ZGJjYzMxMjc5NmMwM2ZkNzM1M2UyZTg3MmEifQ=="/>
  </w:docVars>
  <w:rsids>
    <w:rsidRoot w:val="00806E29"/>
    <w:rsid w:val="00143ABF"/>
    <w:rsid w:val="002B3D2B"/>
    <w:rsid w:val="003153F9"/>
    <w:rsid w:val="0039511D"/>
    <w:rsid w:val="003D16FC"/>
    <w:rsid w:val="0041475A"/>
    <w:rsid w:val="004478DB"/>
    <w:rsid w:val="00454B0B"/>
    <w:rsid w:val="00512FCB"/>
    <w:rsid w:val="00545005"/>
    <w:rsid w:val="006157A0"/>
    <w:rsid w:val="00687BA7"/>
    <w:rsid w:val="006B3379"/>
    <w:rsid w:val="00706744"/>
    <w:rsid w:val="007160E8"/>
    <w:rsid w:val="007216A4"/>
    <w:rsid w:val="00783B05"/>
    <w:rsid w:val="00806E29"/>
    <w:rsid w:val="00825D95"/>
    <w:rsid w:val="008A3FB3"/>
    <w:rsid w:val="009736E3"/>
    <w:rsid w:val="00A41ED7"/>
    <w:rsid w:val="00A60F14"/>
    <w:rsid w:val="00A6537E"/>
    <w:rsid w:val="00AB3F99"/>
    <w:rsid w:val="00AC449B"/>
    <w:rsid w:val="00C86946"/>
    <w:rsid w:val="00CE18D1"/>
    <w:rsid w:val="00CE5086"/>
    <w:rsid w:val="00D17815"/>
    <w:rsid w:val="00D220B8"/>
    <w:rsid w:val="00E34AED"/>
    <w:rsid w:val="00E62291"/>
    <w:rsid w:val="01CD7017"/>
    <w:rsid w:val="06906F63"/>
    <w:rsid w:val="0A5A7DE5"/>
    <w:rsid w:val="145E6A3C"/>
    <w:rsid w:val="1A4834BE"/>
    <w:rsid w:val="1AB82756"/>
    <w:rsid w:val="1E5F37DE"/>
    <w:rsid w:val="24292DFF"/>
    <w:rsid w:val="2AE01F34"/>
    <w:rsid w:val="2D5409B8"/>
    <w:rsid w:val="2D806DC4"/>
    <w:rsid w:val="2E017F55"/>
    <w:rsid w:val="2EBE3ABA"/>
    <w:rsid w:val="320A365E"/>
    <w:rsid w:val="3BDF486D"/>
    <w:rsid w:val="4A4B40CD"/>
    <w:rsid w:val="4D5048A0"/>
    <w:rsid w:val="54E83610"/>
    <w:rsid w:val="5FB26D9E"/>
    <w:rsid w:val="62444A13"/>
    <w:rsid w:val="6D4B0788"/>
    <w:rsid w:val="751D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4"/>
    <w:qFormat/>
    <w:uiPriority w:val="0"/>
    <w:pPr>
      <w:keepNext/>
      <w:keepLines/>
      <w:spacing w:before="260" w:after="260" w:line="416" w:lineRule="auto"/>
      <w:outlineLvl w:val="1"/>
    </w:pPr>
    <w:rPr>
      <w:rFonts w:ascii="Cambria" w:hAnsi="Cambria"/>
      <w:b/>
      <w:bCs/>
      <w:kern w:val="0"/>
      <w:sz w:val="28"/>
      <w:szCs w:val="28"/>
    </w:rPr>
  </w:style>
  <w:style w:type="paragraph" w:styleId="5">
    <w:name w:val="heading 3"/>
    <w:basedOn w:val="1"/>
    <w:next w:val="1"/>
    <w:link w:val="45"/>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paragraph" w:styleId="7">
    <w:name w:val="heading 5"/>
    <w:basedOn w:val="1"/>
    <w:next w:val="1"/>
    <w:link w:val="47"/>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8">
    <w:name w:val="heading 6"/>
    <w:basedOn w:val="1"/>
    <w:next w:val="1"/>
    <w:link w:val="48"/>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9">
    <w:name w:val="heading 7"/>
    <w:basedOn w:val="1"/>
    <w:next w:val="1"/>
    <w:link w:val="49"/>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10">
    <w:name w:val="heading 8"/>
    <w:basedOn w:val="1"/>
    <w:next w:val="1"/>
    <w:link w:val="50"/>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1">
    <w:name w:val="heading 9"/>
    <w:basedOn w:val="1"/>
    <w:next w:val="1"/>
    <w:link w:val="5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djustRightInd/>
      <w:spacing w:before="120" w:line="240" w:lineRule="auto"/>
      <w:textAlignment w:val="auto"/>
    </w:pPr>
    <w:rPr>
      <w:rFonts w:ascii="Arial" w:hAnsi="Arial" w:eastAsia="宋体" w:cs="Arial"/>
      <w:kern w:val="2"/>
      <w:sz w:val="24"/>
      <w:szCs w:val="24"/>
    </w:rPr>
  </w:style>
  <w:style w:type="paragraph" w:styleId="12">
    <w:name w:val="Normal Indent"/>
    <w:basedOn w:val="1"/>
    <w:link w:val="52"/>
    <w:qFormat/>
    <w:uiPriority w:val="0"/>
    <w:pPr>
      <w:ind w:firstLine="420"/>
    </w:pPr>
    <w:rPr>
      <w:szCs w:val="21"/>
    </w:rPr>
  </w:style>
  <w:style w:type="paragraph" w:styleId="13">
    <w:name w:val="List Bullet"/>
    <w:basedOn w:val="1"/>
    <w:qFormat/>
    <w:uiPriority w:val="0"/>
    <w:pPr>
      <w:tabs>
        <w:tab w:val="left" w:pos="360"/>
      </w:tabs>
      <w:ind w:left="360" w:hanging="200" w:hangingChars="200"/>
    </w:pPr>
    <w:rPr>
      <w:szCs w:val="21"/>
    </w:rPr>
  </w:style>
  <w:style w:type="paragraph" w:styleId="14">
    <w:name w:val="Document Map"/>
    <w:basedOn w:val="1"/>
    <w:link w:val="53"/>
    <w:qFormat/>
    <w:uiPriority w:val="0"/>
    <w:rPr>
      <w:rFonts w:ascii="宋体"/>
      <w:sz w:val="18"/>
      <w:szCs w:val="18"/>
    </w:rPr>
  </w:style>
  <w:style w:type="paragraph" w:styleId="15">
    <w:name w:val="annotation text"/>
    <w:basedOn w:val="1"/>
    <w:link w:val="54"/>
    <w:qFormat/>
    <w:uiPriority w:val="0"/>
    <w:pPr>
      <w:jc w:val="left"/>
    </w:pPr>
    <w:rPr>
      <w:kern w:val="0"/>
      <w:sz w:val="28"/>
      <w:szCs w:val="28"/>
    </w:rPr>
  </w:style>
  <w:style w:type="paragraph" w:styleId="16">
    <w:name w:val="Body Text"/>
    <w:basedOn w:val="1"/>
    <w:link w:val="55"/>
    <w:qFormat/>
    <w:uiPriority w:val="0"/>
    <w:pPr>
      <w:spacing w:line="420" w:lineRule="auto"/>
    </w:pPr>
    <w:rPr>
      <w:kern w:val="0"/>
      <w:sz w:val="24"/>
      <w:szCs w:val="24"/>
    </w:rPr>
  </w:style>
  <w:style w:type="paragraph" w:styleId="17">
    <w:name w:val="Body Text Indent"/>
    <w:basedOn w:val="1"/>
    <w:next w:val="18"/>
    <w:link w:val="56"/>
    <w:qFormat/>
    <w:uiPriority w:val="99"/>
    <w:pPr>
      <w:ind w:firstLine="600"/>
    </w:pPr>
    <w:rPr>
      <w:kern w:val="0"/>
      <w:sz w:val="20"/>
      <w:szCs w:val="20"/>
    </w:rPr>
  </w:style>
  <w:style w:type="paragraph" w:styleId="18">
    <w:name w:val="Body Text First Indent 2"/>
    <w:basedOn w:val="17"/>
    <w:unhideWhenUsed/>
    <w:qFormat/>
    <w:uiPriority w:val="99"/>
    <w:pPr>
      <w:spacing w:after="120"/>
      <w:ind w:left="420" w:leftChars="200" w:firstLine="420" w:firstLineChars="200"/>
    </w:pPr>
    <w:rPr>
      <w:kern w:val="2"/>
      <w:sz w:val="21"/>
      <w:szCs w:val="22"/>
    </w:rPr>
  </w:style>
  <w:style w:type="paragraph" w:styleId="19">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szCs w:val="24"/>
    </w:rPr>
  </w:style>
  <w:style w:type="paragraph" w:styleId="20">
    <w:name w:val="toc 3"/>
    <w:basedOn w:val="1"/>
    <w:next w:val="1"/>
    <w:qFormat/>
    <w:uiPriority w:val="0"/>
    <w:pPr>
      <w:ind w:left="840" w:leftChars="400"/>
    </w:pPr>
    <w:rPr>
      <w:szCs w:val="21"/>
    </w:rPr>
  </w:style>
  <w:style w:type="paragraph" w:styleId="21">
    <w:name w:val="Plain Text"/>
    <w:basedOn w:val="1"/>
    <w:link w:val="57"/>
    <w:qFormat/>
    <w:uiPriority w:val="0"/>
    <w:rPr>
      <w:rFonts w:ascii="宋体" w:hAnsi="Courier New"/>
      <w:kern w:val="0"/>
      <w:szCs w:val="21"/>
    </w:rPr>
  </w:style>
  <w:style w:type="paragraph" w:styleId="22">
    <w:name w:val="Date"/>
    <w:basedOn w:val="1"/>
    <w:next w:val="1"/>
    <w:link w:val="58"/>
    <w:qFormat/>
    <w:uiPriority w:val="0"/>
    <w:pPr>
      <w:ind w:left="100" w:leftChars="2500"/>
    </w:pPr>
    <w:rPr>
      <w:rFonts w:eastAsia="等线"/>
      <w:szCs w:val="21"/>
    </w:rPr>
  </w:style>
  <w:style w:type="paragraph" w:styleId="23">
    <w:name w:val="Body Text Indent 2"/>
    <w:basedOn w:val="1"/>
    <w:link w:val="59"/>
    <w:qFormat/>
    <w:uiPriority w:val="0"/>
    <w:pPr>
      <w:spacing w:after="120" w:line="480" w:lineRule="auto"/>
      <w:ind w:left="420" w:leftChars="200"/>
    </w:pPr>
    <w:rPr>
      <w:rFonts w:eastAsia="等线"/>
      <w:szCs w:val="21"/>
    </w:rPr>
  </w:style>
  <w:style w:type="paragraph" w:styleId="24">
    <w:name w:val="Balloon Text"/>
    <w:basedOn w:val="1"/>
    <w:link w:val="60"/>
    <w:qFormat/>
    <w:uiPriority w:val="0"/>
    <w:rPr>
      <w:kern w:val="0"/>
      <w:sz w:val="18"/>
      <w:szCs w:val="18"/>
    </w:rPr>
  </w:style>
  <w:style w:type="paragraph" w:styleId="25">
    <w:name w:val="footer"/>
    <w:basedOn w:val="1"/>
    <w:link w:val="61"/>
    <w:qFormat/>
    <w:uiPriority w:val="99"/>
    <w:pPr>
      <w:tabs>
        <w:tab w:val="center" w:pos="4153"/>
        <w:tab w:val="right" w:pos="8306"/>
      </w:tabs>
      <w:snapToGrid w:val="0"/>
      <w:jc w:val="left"/>
    </w:pPr>
    <w:rPr>
      <w:kern w:val="0"/>
      <w:sz w:val="18"/>
      <w:szCs w:val="18"/>
    </w:rPr>
  </w:style>
  <w:style w:type="paragraph" w:styleId="26">
    <w:name w:val="header"/>
    <w:basedOn w:val="1"/>
    <w:link w:val="62"/>
    <w:qFormat/>
    <w:uiPriority w:val="0"/>
    <w:pPr>
      <w:pBdr>
        <w:bottom w:val="single" w:color="auto" w:sz="6" w:space="1"/>
      </w:pBdr>
      <w:tabs>
        <w:tab w:val="center" w:pos="4153"/>
        <w:tab w:val="right" w:pos="8306"/>
      </w:tabs>
      <w:snapToGrid w:val="0"/>
      <w:jc w:val="center"/>
    </w:pPr>
    <w:rPr>
      <w:kern w:val="0"/>
      <w:sz w:val="18"/>
      <w:szCs w:val="18"/>
    </w:rPr>
  </w:style>
  <w:style w:type="paragraph" w:styleId="27">
    <w:name w:val="toc 1"/>
    <w:basedOn w:val="1"/>
    <w:next w:val="1"/>
    <w:qFormat/>
    <w:uiPriority w:val="0"/>
    <w:rPr>
      <w:szCs w:val="21"/>
    </w:rPr>
  </w:style>
  <w:style w:type="paragraph" w:styleId="28">
    <w:name w:val="index heading"/>
    <w:basedOn w:val="1"/>
    <w:next w:val="29"/>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9">
    <w:name w:val="index 1"/>
    <w:basedOn w:val="1"/>
    <w:next w:val="1"/>
    <w:unhideWhenUsed/>
    <w:qFormat/>
    <w:uiPriority w:val="99"/>
  </w:style>
  <w:style w:type="paragraph" w:styleId="30">
    <w:name w:val="Body Text Indent 3"/>
    <w:basedOn w:val="1"/>
    <w:link w:val="63"/>
    <w:qFormat/>
    <w:uiPriority w:val="0"/>
    <w:pPr>
      <w:spacing w:after="120"/>
      <w:ind w:left="420" w:leftChars="200"/>
    </w:pPr>
    <w:rPr>
      <w:kern w:val="0"/>
      <w:sz w:val="16"/>
      <w:szCs w:val="16"/>
    </w:rPr>
  </w:style>
  <w:style w:type="paragraph" w:styleId="31">
    <w:name w:val="Body Text 2"/>
    <w:basedOn w:val="1"/>
    <w:link w:val="64"/>
    <w:qFormat/>
    <w:uiPriority w:val="0"/>
    <w:pPr>
      <w:spacing w:after="120" w:line="480" w:lineRule="auto"/>
    </w:pPr>
    <w:rPr>
      <w:kern w:val="0"/>
      <w:sz w:val="24"/>
      <w:szCs w:val="24"/>
    </w:rPr>
  </w:style>
  <w:style w:type="paragraph" w:styleId="32">
    <w:name w:val="Normal (Web)"/>
    <w:basedOn w:val="1"/>
    <w:qFormat/>
    <w:uiPriority w:val="0"/>
    <w:rPr>
      <w:sz w:val="24"/>
      <w:szCs w:val="24"/>
    </w:rPr>
  </w:style>
  <w:style w:type="paragraph" w:styleId="33">
    <w:name w:val="Title"/>
    <w:basedOn w:val="1"/>
    <w:next w:val="1"/>
    <w:link w:val="65"/>
    <w:qFormat/>
    <w:uiPriority w:val="0"/>
    <w:pPr>
      <w:spacing w:before="240" w:after="60"/>
      <w:jc w:val="center"/>
      <w:outlineLvl w:val="0"/>
    </w:pPr>
    <w:rPr>
      <w:rFonts w:ascii="Cambria" w:hAnsi="Cambria"/>
      <w:b/>
      <w:bCs/>
      <w:kern w:val="0"/>
      <w:sz w:val="32"/>
      <w:szCs w:val="32"/>
    </w:rPr>
  </w:style>
  <w:style w:type="paragraph" w:styleId="34">
    <w:name w:val="annotation subject"/>
    <w:basedOn w:val="15"/>
    <w:next w:val="15"/>
    <w:link w:val="66"/>
    <w:qFormat/>
    <w:uiPriority w:val="0"/>
    <w:rPr>
      <w:rFonts w:eastAsia="等线"/>
      <w:b/>
      <w:bCs/>
      <w:kern w:val="2"/>
      <w:sz w:val="24"/>
      <w:szCs w:val="24"/>
    </w:rPr>
  </w:style>
  <w:style w:type="table" w:styleId="36">
    <w:name w:val="Table Grid"/>
    <w:basedOn w:val="35"/>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qFormat/>
    <w:uiPriority w:val="0"/>
    <w:rPr>
      <w:b/>
      <w:bCs/>
    </w:rPr>
  </w:style>
  <w:style w:type="character" w:styleId="39">
    <w:name w:val="page number"/>
    <w:qFormat/>
    <w:uiPriority w:val="0"/>
  </w:style>
  <w:style w:type="character" w:styleId="40">
    <w:name w:val="FollowedHyperlink"/>
    <w:qFormat/>
    <w:uiPriority w:val="99"/>
    <w:rPr>
      <w:color w:val="800080"/>
      <w:u w:val="single"/>
    </w:rPr>
  </w:style>
  <w:style w:type="character" w:styleId="41">
    <w:name w:val="Hyperlink"/>
    <w:qFormat/>
    <w:uiPriority w:val="99"/>
    <w:rPr>
      <w:color w:val="0000FF"/>
      <w:u w:val="single"/>
    </w:rPr>
  </w:style>
  <w:style w:type="character" w:styleId="42">
    <w:name w:val="annotation reference"/>
    <w:qFormat/>
    <w:uiPriority w:val="0"/>
    <w:rPr>
      <w:sz w:val="21"/>
      <w:szCs w:val="21"/>
    </w:rPr>
  </w:style>
  <w:style w:type="character" w:customStyle="1" w:styleId="43">
    <w:name w:val="标题 1 字符"/>
    <w:link w:val="3"/>
    <w:qFormat/>
    <w:uiPriority w:val="0"/>
    <w:rPr>
      <w:rFonts w:ascii="Times New Roman" w:hAnsi="Times New Roman" w:eastAsia="宋体" w:cs="Times New Roman"/>
      <w:b/>
      <w:bCs/>
      <w:kern w:val="44"/>
      <w:sz w:val="44"/>
      <w:szCs w:val="44"/>
    </w:rPr>
  </w:style>
  <w:style w:type="character" w:customStyle="1" w:styleId="44">
    <w:name w:val="标题 2 字符"/>
    <w:link w:val="4"/>
    <w:qFormat/>
    <w:uiPriority w:val="0"/>
    <w:rPr>
      <w:rFonts w:ascii="Cambria" w:hAnsi="Cambria" w:eastAsia="宋体" w:cs="Times New Roman"/>
      <w:b/>
      <w:bCs/>
      <w:kern w:val="0"/>
      <w:sz w:val="28"/>
      <w:szCs w:val="28"/>
    </w:rPr>
  </w:style>
  <w:style w:type="character" w:customStyle="1" w:styleId="45">
    <w:name w:val="标题 3 字符"/>
    <w:link w:val="5"/>
    <w:qFormat/>
    <w:uiPriority w:val="0"/>
    <w:rPr>
      <w:rFonts w:ascii="Times New Roman" w:hAnsi="Times New Roman" w:eastAsia="宋体" w:cs="Times New Roman"/>
      <w:b/>
      <w:bCs/>
      <w:kern w:val="0"/>
      <w:sz w:val="32"/>
      <w:szCs w:val="32"/>
    </w:rPr>
  </w:style>
  <w:style w:type="character" w:customStyle="1" w:styleId="46">
    <w:name w:val="标题 4 字符"/>
    <w:link w:val="6"/>
    <w:qFormat/>
    <w:uiPriority w:val="0"/>
    <w:rPr>
      <w:rFonts w:ascii="Cambria" w:hAnsi="Cambria" w:eastAsia="宋体" w:cs="Times New Roman"/>
      <w:b/>
      <w:bCs/>
      <w:kern w:val="0"/>
      <w:sz w:val="28"/>
      <w:szCs w:val="28"/>
    </w:rPr>
  </w:style>
  <w:style w:type="character" w:customStyle="1" w:styleId="47">
    <w:name w:val="标题 5 字符"/>
    <w:link w:val="7"/>
    <w:qFormat/>
    <w:uiPriority w:val="0"/>
    <w:rPr>
      <w:rFonts w:ascii="Times New Roman" w:hAnsi="Times New Roman" w:eastAsia="宋体" w:cs="Times New Roman"/>
      <w:b/>
      <w:bCs/>
      <w:kern w:val="0"/>
      <w:sz w:val="28"/>
      <w:szCs w:val="28"/>
    </w:rPr>
  </w:style>
  <w:style w:type="character" w:customStyle="1" w:styleId="48">
    <w:name w:val="标题 6 字符"/>
    <w:link w:val="8"/>
    <w:qFormat/>
    <w:uiPriority w:val="9"/>
    <w:rPr>
      <w:rFonts w:ascii="Arial" w:hAnsi="Arial" w:eastAsia="黑体" w:cs="Times New Roman"/>
      <w:b/>
      <w:bCs/>
      <w:kern w:val="0"/>
      <w:sz w:val="24"/>
      <w:szCs w:val="24"/>
    </w:rPr>
  </w:style>
  <w:style w:type="character" w:customStyle="1" w:styleId="49">
    <w:name w:val="标题 7 字符"/>
    <w:link w:val="9"/>
    <w:qFormat/>
    <w:uiPriority w:val="0"/>
    <w:rPr>
      <w:rFonts w:ascii="Times New Roman" w:hAnsi="Times New Roman" w:eastAsia="宋体" w:cs="Times New Roman"/>
      <w:b/>
      <w:bCs/>
      <w:kern w:val="0"/>
      <w:sz w:val="24"/>
      <w:szCs w:val="24"/>
    </w:rPr>
  </w:style>
  <w:style w:type="character" w:customStyle="1" w:styleId="50">
    <w:name w:val="标题 8 字符"/>
    <w:link w:val="10"/>
    <w:qFormat/>
    <w:uiPriority w:val="0"/>
    <w:rPr>
      <w:rFonts w:ascii="Arial" w:hAnsi="Arial" w:eastAsia="黑体" w:cs="Times New Roman"/>
      <w:kern w:val="0"/>
      <w:sz w:val="24"/>
      <w:szCs w:val="24"/>
    </w:rPr>
  </w:style>
  <w:style w:type="character" w:customStyle="1" w:styleId="51">
    <w:name w:val="标题 9 字符"/>
    <w:link w:val="11"/>
    <w:qFormat/>
    <w:uiPriority w:val="0"/>
    <w:rPr>
      <w:rFonts w:ascii="Arial" w:hAnsi="Arial" w:eastAsia="黑体" w:cs="Times New Roman"/>
      <w:kern w:val="0"/>
      <w:sz w:val="20"/>
      <w:szCs w:val="20"/>
    </w:rPr>
  </w:style>
  <w:style w:type="character" w:customStyle="1" w:styleId="52">
    <w:name w:val="正文缩进 字符"/>
    <w:link w:val="12"/>
    <w:qFormat/>
    <w:locked/>
    <w:uiPriority w:val="0"/>
    <w:rPr>
      <w:rFonts w:ascii="Times New Roman" w:hAnsi="Times New Roman" w:eastAsia="宋体" w:cs="Times New Roman"/>
      <w:szCs w:val="21"/>
    </w:rPr>
  </w:style>
  <w:style w:type="character" w:customStyle="1" w:styleId="53">
    <w:name w:val="文档结构图 字符"/>
    <w:link w:val="14"/>
    <w:qFormat/>
    <w:uiPriority w:val="0"/>
    <w:rPr>
      <w:rFonts w:ascii="宋体" w:hAnsi="Times New Roman" w:eastAsia="宋体" w:cs="Times New Roman"/>
      <w:sz w:val="18"/>
      <w:szCs w:val="18"/>
    </w:rPr>
  </w:style>
  <w:style w:type="character" w:customStyle="1" w:styleId="54">
    <w:name w:val="批注文字 字符"/>
    <w:link w:val="15"/>
    <w:qFormat/>
    <w:uiPriority w:val="0"/>
    <w:rPr>
      <w:rFonts w:ascii="Times New Roman" w:hAnsi="Times New Roman" w:eastAsia="宋体" w:cs="Times New Roman"/>
      <w:kern w:val="0"/>
      <w:sz w:val="28"/>
      <w:szCs w:val="28"/>
    </w:rPr>
  </w:style>
  <w:style w:type="character" w:customStyle="1" w:styleId="55">
    <w:name w:val="正文文本 字符"/>
    <w:link w:val="16"/>
    <w:qFormat/>
    <w:uiPriority w:val="0"/>
    <w:rPr>
      <w:rFonts w:ascii="Times New Roman" w:hAnsi="Times New Roman" w:eastAsia="宋体" w:cs="Times New Roman"/>
      <w:kern w:val="0"/>
      <w:sz w:val="24"/>
      <w:szCs w:val="24"/>
    </w:rPr>
  </w:style>
  <w:style w:type="character" w:customStyle="1" w:styleId="56">
    <w:name w:val="正文文本缩进 字符"/>
    <w:link w:val="17"/>
    <w:qFormat/>
    <w:uiPriority w:val="99"/>
    <w:rPr>
      <w:rFonts w:ascii="Times New Roman" w:hAnsi="Times New Roman" w:eastAsia="宋体" w:cs="Times New Roman"/>
      <w:kern w:val="0"/>
      <w:sz w:val="20"/>
      <w:szCs w:val="20"/>
    </w:rPr>
  </w:style>
  <w:style w:type="character" w:customStyle="1" w:styleId="57">
    <w:name w:val="纯文本 字符"/>
    <w:link w:val="21"/>
    <w:qFormat/>
    <w:uiPriority w:val="0"/>
    <w:rPr>
      <w:rFonts w:ascii="宋体" w:hAnsi="Courier New" w:eastAsia="宋体" w:cs="Times New Roman"/>
      <w:kern w:val="0"/>
      <w:szCs w:val="21"/>
    </w:rPr>
  </w:style>
  <w:style w:type="character" w:customStyle="1" w:styleId="58">
    <w:name w:val="日期 字符"/>
    <w:link w:val="22"/>
    <w:qFormat/>
    <w:locked/>
    <w:uiPriority w:val="0"/>
    <w:rPr>
      <w:rFonts w:ascii="Times New Roman" w:hAnsi="Times New Roman"/>
      <w:szCs w:val="21"/>
    </w:rPr>
  </w:style>
  <w:style w:type="character" w:customStyle="1" w:styleId="59">
    <w:name w:val="正文文本缩进 2 字符"/>
    <w:link w:val="23"/>
    <w:qFormat/>
    <w:locked/>
    <w:uiPriority w:val="0"/>
    <w:rPr>
      <w:rFonts w:ascii="Times New Roman" w:hAnsi="Times New Roman"/>
      <w:szCs w:val="21"/>
    </w:rPr>
  </w:style>
  <w:style w:type="character" w:customStyle="1" w:styleId="60">
    <w:name w:val="批注框文本 字符"/>
    <w:link w:val="24"/>
    <w:qFormat/>
    <w:uiPriority w:val="0"/>
    <w:rPr>
      <w:rFonts w:ascii="Times New Roman" w:hAnsi="Times New Roman" w:eastAsia="宋体" w:cs="Times New Roman"/>
      <w:kern w:val="0"/>
      <w:sz w:val="18"/>
      <w:szCs w:val="18"/>
    </w:rPr>
  </w:style>
  <w:style w:type="character" w:customStyle="1" w:styleId="61">
    <w:name w:val="页脚 字符"/>
    <w:link w:val="25"/>
    <w:qFormat/>
    <w:uiPriority w:val="99"/>
    <w:rPr>
      <w:rFonts w:ascii="Times New Roman" w:hAnsi="Times New Roman" w:eastAsia="宋体" w:cs="Times New Roman"/>
      <w:kern w:val="0"/>
      <w:sz w:val="18"/>
      <w:szCs w:val="18"/>
    </w:rPr>
  </w:style>
  <w:style w:type="character" w:customStyle="1" w:styleId="62">
    <w:name w:val="页眉 字符"/>
    <w:link w:val="26"/>
    <w:qFormat/>
    <w:uiPriority w:val="0"/>
    <w:rPr>
      <w:rFonts w:ascii="Times New Roman" w:hAnsi="Times New Roman" w:eastAsia="宋体" w:cs="Times New Roman"/>
      <w:kern w:val="0"/>
      <w:sz w:val="18"/>
      <w:szCs w:val="18"/>
    </w:rPr>
  </w:style>
  <w:style w:type="character" w:customStyle="1" w:styleId="63">
    <w:name w:val="正文文本缩进 3 字符"/>
    <w:link w:val="30"/>
    <w:qFormat/>
    <w:uiPriority w:val="0"/>
    <w:rPr>
      <w:rFonts w:ascii="Times New Roman" w:hAnsi="Times New Roman" w:eastAsia="宋体" w:cs="Times New Roman"/>
      <w:kern w:val="0"/>
      <w:sz w:val="16"/>
      <w:szCs w:val="16"/>
    </w:rPr>
  </w:style>
  <w:style w:type="character" w:customStyle="1" w:styleId="64">
    <w:name w:val="正文文本 2 字符"/>
    <w:link w:val="31"/>
    <w:qFormat/>
    <w:uiPriority w:val="0"/>
    <w:rPr>
      <w:rFonts w:ascii="Times New Roman" w:hAnsi="Times New Roman" w:eastAsia="宋体" w:cs="Times New Roman"/>
      <w:kern w:val="0"/>
      <w:sz w:val="24"/>
      <w:szCs w:val="24"/>
    </w:rPr>
  </w:style>
  <w:style w:type="character" w:customStyle="1" w:styleId="65">
    <w:name w:val="标题 字符"/>
    <w:link w:val="33"/>
    <w:qFormat/>
    <w:uiPriority w:val="0"/>
    <w:rPr>
      <w:rFonts w:ascii="Cambria" w:hAnsi="Cambria" w:eastAsia="宋体" w:cs="Times New Roman"/>
      <w:b/>
      <w:bCs/>
      <w:kern w:val="0"/>
      <w:sz w:val="32"/>
      <w:szCs w:val="32"/>
    </w:rPr>
  </w:style>
  <w:style w:type="character" w:customStyle="1" w:styleId="66">
    <w:name w:val="批注主题 字符"/>
    <w:link w:val="34"/>
    <w:qFormat/>
    <w:locked/>
    <w:uiPriority w:val="0"/>
    <w:rPr>
      <w:rFonts w:ascii="Times New Roman" w:hAnsi="Times New Roman"/>
      <w:b/>
      <w:bCs/>
      <w:sz w:val="24"/>
      <w:szCs w:val="24"/>
    </w:rPr>
  </w:style>
  <w:style w:type="paragraph" w:styleId="67">
    <w:name w:val="List Paragraph"/>
    <w:basedOn w:val="1"/>
    <w:qFormat/>
    <w:uiPriority w:val="0"/>
    <w:pPr>
      <w:ind w:firstLine="420" w:firstLineChars="200"/>
    </w:pPr>
    <w:rPr>
      <w:sz w:val="28"/>
      <w:szCs w:val="28"/>
    </w:rPr>
  </w:style>
  <w:style w:type="character" w:customStyle="1" w:styleId="68">
    <w:name w:val="标题 4 Char"/>
    <w:qFormat/>
    <w:uiPriority w:val="0"/>
    <w:rPr>
      <w:rFonts w:ascii="Cambria" w:hAnsi="Cambria" w:cs="宋体"/>
      <w:b/>
      <w:bCs/>
      <w:kern w:val="2"/>
      <w:sz w:val="28"/>
      <w:szCs w:val="28"/>
    </w:rPr>
  </w:style>
  <w:style w:type="table" w:customStyle="1" w:styleId="69">
    <w:name w:val="网格型1"/>
    <w:basedOn w:val="35"/>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
    <w:name w:val="列出段落1"/>
    <w:basedOn w:val="1"/>
    <w:qFormat/>
    <w:uiPriority w:val="0"/>
    <w:pPr>
      <w:ind w:firstLine="420" w:firstLineChars="200"/>
    </w:pPr>
    <w:rPr>
      <w:rFonts w:cs="Calibri"/>
      <w:szCs w:val="21"/>
    </w:rPr>
  </w:style>
  <w:style w:type="paragraph" w:customStyle="1" w:styleId="71">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72">
    <w:name w:val="Char Char"/>
    <w:basedOn w:val="1"/>
    <w:qFormat/>
    <w:uiPriority w:val="0"/>
    <w:rPr>
      <w:rFonts w:ascii="Tahoma" w:hAnsi="Tahoma" w:cs="Tahoma"/>
      <w:sz w:val="24"/>
      <w:szCs w:val="24"/>
    </w:rPr>
  </w:style>
  <w:style w:type="paragraph" w:customStyle="1" w:styleId="73">
    <w:name w:val="大汉方案正文"/>
    <w:basedOn w:val="1"/>
    <w:qFormat/>
    <w:uiPriority w:val="0"/>
    <w:pPr>
      <w:spacing w:line="360" w:lineRule="auto"/>
      <w:ind w:firstLine="200" w:firstLineChars="200"/>
    </w:pPr>
    <w:rPr>
      <w:rFonts w:ascii="Arial" w:hAnsi="Arial" w:cs="Arial"/>
      <w:sz w:val="24"/>
      <w:szCs w:val="24"/>
    </w:rPr>
  </w:style>
  <w:style w:type="character" w:customStyle="1" w:styleId="74">
    <w:name w:val="纯文本 Char1"/>
    <w:qFormat/>
    <w:uiPriority w:val="0"/>
    <w:rPr>
      <w:rFonts w:ascii="宋体" w:hAnsi="Courier New" w:cs="宋体"/>
      <w:kern w:val="2"/>
      <w:sz w:val="21"/>
      <w:szCs w:val="21"/>
    </w:rPr>
  </w:style>
  <w:style w:type="character" w:customStyle="1" w:styleId="75">
    <w:name w:val="批注文字 Char1"/>
    <w:qFormat/>
    <w:uiPriority w:val="0"/>
    <w:rPr>
      <w:rFonts w:ascii="Times New Roman" w:hAnsi="Times New Roman" w:eastAsia="宋体" w:cs="Times New Roman"/>
      <w:sz w:val="24"/>
      <w:szCs w:val="24"/>
    </w:rPr>
  </w:style>
  <w:style w:type="paragraph" w:customStyle="1" w:styleId="76">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77">
    <w:name w:val="apple-converted-space"/>
    <w:qFormat/>
    <w:uiPriority w:val="0"/>
  </w:style>
  <w:style w:type="paragraph" w:customStyle="1" w:styleId="7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0">
    <w:name w:val="列出段落2"/>
    <w:basedOn w:val="1"/>
    <w:qFormat/>
    <w:uiPriority w:val="0"/>
    <w:pPr>
      <w:ind w:firstLine="420" w:firstLineChars="200"/>
    </w:pPr>
    <w:rPr>
      <w:rFonts w:cs="Calibri"/>
      <w:szCs w:val="21"/>
    </w:rPr>
  </w:style>
  <w:style w:type="paragraph" w:customStyle="1" w:styleId="81">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82">
    <w:name w:val="标题 3 Char1"/>
    <w:qFormat/>
    <w:uiPriority w:val="0"/>
    <w:rPr>
      <w:rFonts w:ascii="Times New Roman" w:hAnsi="Times New Roman" w:eastAsia="宋体" w:cs="Times New Roman"/>
      <w:sz w:val="20"/>
      <w:szCs w:val="20"/>
    </w:rPr>
  </w:style>
  <w:style w:type="paragraph" w:customStyle="1" w:styleId="83">
    <w:name w:val="Char Char11 Char Char Char Char"/>
    <w:basedOn w:val="1"/>
    <w:qFormat/>
    <w:uiPriority w:val="0"/>
    <w:pPr>
      <w:tabs>
        <w:tab w:val="left" w:pos="360"/>
      </w:tabs>
    </w:pPr>
    <w:rPr>
      <w:szCs w:val="21"/>
    </w:rPr>
  </w:style>
  <w:style w:type="paragraph" w:customStyle="1" w:styleId="84">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5">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6">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7">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0">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1">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2">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3">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4">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5">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6">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7">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8">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9">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100">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1">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2">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3">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5">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6">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7">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8">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9">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0">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1">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2">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4">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5">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6">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7">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8">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9">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20">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21">
    <w:name w:val="Table Normal1"/>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22">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23">
    <w:name w:val="纯文本 Char3"/>
    <w:qFormat/>
    <w:uiPriority w:val="0"/>
    <w:rPr>
      <w:rFonts w:ascii="宋体" w:hAnsi="Courier New"/>
      <w:sz w:val="21"/>
      <w:szCs w:val="21"/>
    </w:rPr>
  </w:style>
  <w:style w:type="character" w:customStyle="1" w:styleId="124">
    <w:name w:val="正文文本缩进 2 字符1"/>
    <w:semiHidden/>
    <w:qFormat/>
    <w:uiPriority w:val="99"/>
    <w:rPr>
      <w:rFonts w:ascii="Times New Roman" w:hAnsi="Times New Roman" w:eastAsia="宋体" w:cs="Times New Roman"/>
    </w:rPr>
  </w:style>
  <w:style w:type="character" w:customStyle="1" w:styleId="125">
    <w:name w:val="正文文本缩进 2 Char1"/>
    <w:qFormat/>
    <w:uiPriority w:val="0"/>
    <w:rPr>
      <w:kern w:val="2"/>
      <w:sz w:val="21"/>
      <w:szCs w:val="22"/>
    </w:rPr>
  </w:style>
  <w:style w:type="character" w:customStyle="1" w:styleId="126">
    <w:name w:val="日期 字符1"/>
    <w:semiHidden/>
    <w:qFormat/>
    <w:uiPriority w:val="99"/>
    <w:rPr>
      <w:rFonts w:ascii="Times New Roman" w:hAnsi="Times New Roman" w:eastAsia="宋体" w:cs="Times New Roman"/>
    </w:rPr>
  </w:style>
  <w:style w:type="character" w:customStyle="1" w:styleId="127">
    <w:name w:val="日期 Char1"/>
    <w:qFormat/>
    <w:uiPriority w:val="0"/>
    <w:rPr>
      <w:kern w:val="2"/>
      <w:sz w:val="21"/>
      <w:szCs w:val="22"/>
    </w:rPr>
  </w:style>
  <w:style w:type="character" w:customStyle="1" w:styleId="128">
    <w:name w:val="标题 Char1"/>
    <w:qFormat/>
    <w:uiPriority w:val="0"/>
    <w:rPr>
      <w:rFonts w:ascii="Cambria" w:hAnsi="Cambria" w:cs="Times New Roman"/>
      <w:b/>
      <w:bCs/>
      <w:kern w:val="2"/>
      <w:sz w:val="32"/>
      <w:szCs w:val="32"/>
    </w:rPr>
  </w:style>
  <w:style w:type="character" w:customStyle="1" w:styleId="129">
    <w:name w:val="纯文本 字符1"/>
    <w:semiHidden/>
    <w:qFormat/>
    <w:uiPriority w:val="99"/>
    <w:rPr>
      <w:rFonts w:ascii="等线" w:hAnsi="Courier New" w:eastAsia="等线" w:cs="Courier New"/>
      <w:kern w:val="2"/>
      <w:sz w:val="21"/>
      <w:szCs w:val="22"/>
    </w:rPr>
  </w:style>
  <w:style w:type="character" w:customStyle="1" w:styleId="130">
    <w:name w:val="批注主题 字符1"/>
    <w:semiHidden/>
    <w:qFormat/>
    <w:uiPriority w:val="99"/>
    <w:rPr>
      <w:rFonts w:ascii="Times New Roman" w:hAnsi="Times New Roman" w:eastAsia="宋体" w:cs="Times New Roman"/>
      <w:b/>
      <w:bCs/>
      <w:kern w:val="0"/>
      <w:sz w:val="28"/>
      <w:szCs w:val="28"/>
    </w:rPr>
  </w:style>
  <w:style w:type="character" w:customStyle="1" w:styleId="131">
    <w:name w:val="批注主题 Char1"/>
    <w:qFormat/>
    <w:uiPriority w:val="0"/>
    <w:rPr>
      <w:b/>
      <w:bCs/>
      <w:kern w:val="2"/>
      <w:sz w:val="21"/>
      <w:szCs w:val="22"/>
    </w:rPr>
  </w:style>
  <w:style w:type="character" w:customStyle="1" w:styleId="132">
    <w:name w:val="纯文本 Char2"/>
    <w:qFormat/>
    <w:uiPriority w:val="0"/>
    <w:rPr>
      <w:rFonts w:ascii="宋体" w:hAnsi="Courier New"/>
      <w:sz w:val="21"/>
      <w:szCs w:val="21"/>
    </w:rPr>
  </w:style>
  <w:style w:type="character" w:customStyle="1" w:styleId="133">
    <w:name w:val="Unresolved Mention"/>
    <w:unhideWhenUsed/>
    <w:qFormat/>
    <w:uiPriority w:val="99"/>
    <w:rPr>
      <w:color w:val="605E5C"/>
      <w:shd w:val="clear" w:color="auto" w:fill="E1DFDD"/>
    </w:rPr>
  </w:style>
  <w:style w:type="paragraph" w:customStyle="1" w:styleId="134">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styleId="135">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image" Target="media/image8.png"/><Relationship Id="rId3" Type="http://schemas.openxmlformats.org/officeDocument/2006/relationships/header" Target="header1.xml"/><Relationship Id="rId29" Type="http://schemas.openxmlformats.org/officeDocument/2006/relationships/image" Target="media/image7.png"/><Relationship Id="rId28" Type="http://schemas.openxmlformats.org/officeDocument/2006/relationships/image" Target="media/image6.png"/><Relationship Id="rId27" Type="http://schemas.openxmlformats.org/officeDocument/2006/relationships/image" Target="media/image5.jpeg"/><Relationship Id="rId26" Type="http://schemas.openxmlformats.org/officeDocument/2006/relationships/image" Target="media/image4.jpeg"/><Relationship Id="rId25" Type="http://schemas.openxmlformats.org/officeDocument/2006/relationships/image" Target="media/image3.png"/><Relationship Id="rId24" Type="http://schemas.openxmlformats.org/officeDocument/2006/relationships/image" Target="media/image2.jpeg"/><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102</Pages>
  <Words>37835</Words>
  <Characters>40076</Characters>
  <Lines>310</Lines>
  <Paragraphs>87</Paragraphs>
  <TotalTime>242</TotalTime>
  <ScaleCrop>false</ScaleCrop>
  <LinksUpToDate>false</LinksUpToDate>
  <CharactersWithSpaces>40833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2022-11-21T07:51:00Z</dcterms:created>
  <dc:creator>柯 耀辉</dc:creator>
  <cp:lastModifiedBy>任辉</cp:lastModifiedBy>
  <dcterms:modified xsi:type="dcterms:W3CDTF">2024-12-13T07:29:24Z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79E0F8A508134C7FB2B84E20E9CF92A5</vt:lpwstr>
  </property>
</Properties>
</file>