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2521E02">
      <w:pPr>
        <w:ind w:firstLine="565" w:firstLineChars="201"/>
        <w:jc w:val="center"/>
        <w:rPr>
          <w:rFonts w:ascii="宋体" w:hAnsi="宋体"/>
          <w:b/>
          <w:bCs/>
          <w:color w:val="auto"/>
          <w:kern w:val="0"/>
          <w:szCs w:val="28"/>
        </w:rPr>
      </w:pPr>
    </w:p>
    <w:p w14:paraId="3CD84EF3">
      <w:pPr>
        <w:snapToGrid w:val="0"/>
        <w:ind w:firstLine="1120"/>
        <w:jc w:val="center"/>
        <w:rPr>
          <w:rFonts w:ascii="方正小标宋简体" w:hAnsi="黑体" w:eastAsia="方正小标宋简体" w:cs="方正小标宋简体"/>
          <w:color w:val="auto"/>
          <w:kern w:val="0"/>
          <w:sz w:val="56"/>
          <w:szCs w:val="52"/>
        </w:rPr>
      </w:pPr>
      <w:r>
        <w:rPr>
          <w:rFonts w:ascii="方正小标宋简体" w:hAnsi="黑体" w:eastAsia="方正小标宋简体" w:cs="方正小标宋简体"/>
          <w:color w:val="auto"/>
          <w:kern w:val="0"/>
          <w:sz w:val="56"/>
          <w:szCs w:val="52"/>
        </w:rPr>
        <w:t>乳山市水利事务服务中心</w:t>
      </w:r>
    </w:p>
    <w:p w14:paraId="52222889">
      <w:pPr>
        <w:spacing w:before="624" w:beforeLines="200"/>
        <w:ind w:firstLine="1440"/>
        <w:jc w:val="center"/>
        <w:rPr>
          <w:rFonts w:ascii="方正小标宋简体" w:hAnsi="黑体" w:eastAsia="方正小标宋简体"/>
          <w:color w:val="auto"/>
          <w:kern w:val="0"/>
          <w:sz w:val="72"/>
          <w:szCs w:val="52"/>
        </w:rPr>
      </w:pPr>
      <w:r>
        <w:rPr>
          <w:rFonts w:hint="eastAsia" w:ascii="方正小标宋简体" w:hAnsi="黑体" w:eastAsia="方正小标宋简体" w:cs="方正小标宋简体"/>
          <w:color w:val="auto"/>
          <w:kern w:val="0"/>
          <w:sz w:val="72"/>
          <w:szCs w:val="52"/>
        </w:rPr>
        <w:t>竞争性磋商文件</w:t>
      </w:r>
    </w:p>
    <w:p w14:paraId="5230319D">
      <w:pPr>
        <w:ind w:firstLine="723" w:firstLineChars="201"/>
        <w:jc w:val="left"/>
        <w:rPr>
          <w:rFonts w:ascii="宋体" w:hAnsi="宋体"/>
          <w:color w:val="auto"/>
          <w:sz w:val="36"/>
          <w:szCs w:val="36"/>
        </w:rPr>
      </w:pPr>
    </w:p>
    <w:p w14:paraId="745CB381">
      <w:pPr>
        <w:ind w:firstLine="720"/>
        <w:jc w:val="left"/>
        <w:rPr>
          <w:rFonts w:ascii="宋体" w:hAnsi="宋体"/>
          <w:color w:val="auto"/>
          <w:sz w:val="36"/>
          <w:szCs w:val="36"/>
        </w:rPr>
      </w:pPr>
    </w:p>
    <w:p w14:paraId="708DFCBE">
      <w:pPr>
        <w:spacing w:after="156" w:afterLines="50"/>
        <w:ind w:firstLine="726" w:firstLineChars="201"/>
        <w:jc w:val="left"/>
        <w:rPr>
          <w:rFonts w:ascii="仿宋_GB2312" w:hAnsi="仿宋" w:cs="方正楷体简体"/>
          <w:b/>
          <w:color w:val="auto"/>
          <w:sz w:val="36"/>
          <w:szCs w:val="36"/>
        </w:rPr>
      </w:pPr>
      <w:r>
        <w:rPr>
          <w:rFonts w:hint="eastAsia" w:ascii="仿宋_GB2312" w:hAnsi="仿宋" w:cs="方正楷体简体"/>
          <w:b/>
          <w:color w:val="auto"/>
          <w:sz w:val="36"/>
          <w:szCs w:val="36"/>
        </w:rPr>
        <w:t>项目名称：</w:t>
      </w:r>
      <w:r>
        <w:rPr>
          <w:rFonts w:ascii="仿宋_GB2312" w:hAnsi="仿宋" w:cs="方正楷体简体"/>
          <w:color w:val="auto"/>
          <w:sz w:val="36"/>
          <w:szCs w:val="36"/>
        </w:rPr>
        <w:t xml:space="preserve"> 乳山市2024年水库移民扶持基金项目和大中型水库移民后期扶持人口自然变化结余资金项目</w:t>
      </w:r>
    </w:p>
    <w:p w14:paraId="4894E240">
      <w:pPr>
        <w:spacing w:after="156" w:afterLines="50"/>
        <w:ind w:firstLine="726" w:firstLineChars="201"/>
        <w:jc w:val="left"/>
        <w:rPr>
          <w:rFonts w:hint="eastAsia" w:ascii="仿宋_GB2312" w:hAnsi="仿宋" w:eastAsia="仿宋_GB2312" w:cs="方正楷体简体"/>
          <w:b/>
          <w:color w:val="auto"/>
          <w:sz w:val="36"/>
          <w:szCs w:val="36"/>
          <w:lang w:eastAsia="zh-CN"/>
        </w:rPr>
      </w:pPr>
      <w:r>
        <w:rPr>
          <w:rFonts w:hint="eastAsia" w:ascii="仿宋_GB2312" w:hAnsi="仿宋" w:cs="方正楷体简体"/>
          <w:b/>
          <w:color w:val="auto"/>
          <w:sz w:val="36"/>
          <w:szCs w:val="36"/>
        </w:rPr>
        <w:t>项目编号：</w:t>
      </w:r>
      <w:r>
        <w:rPr>
          <w:rFonts w:hint="eastAsia" w:ascii="仿宋_GB2312" w:hAnsi="仿宋" w:cs="方正楷体简体"/>
          <w:color w:val="auto"/>
          <w:sz w:val="36"/>
          <w:szCs w:val="36"/>
          <w:lang w:eastAsia="zh-CN"/>
        </w:rPr>
        <w:t>SDGP371083000202402000114</w:t>
      </w:r>
    </w:p>
    <w:p w14:paraId="51890911">
      <w:pPr>
        <w:spacing w:after="156" w:afterLines="50"/>
        <w:ind w:firstLine="726" w:firstLineChars="201"/>
        <w:jc w:val="left"/>
        <w:rPr>
          <w:rFonts w:ascii="仿宋_GB2312" w:hAnsi="仿宋" w:cs="方正楷体简体"/>
          <w:color w:val="auto"/>
          <w:sz w:val="36"/>
          <w:szCs w:val="36"/>
        </w:rPr>
      </w:pPr>
      <w:r>
        <w:rPr>
          <w:rFonts w:hint="eastAsia" w:ascii="仿宋_GB2312" w:hAnsi="仿宋" w:cs="方正楷体简体"/>
          <w:b/>
          <w:color w:val="auto"/>
          <w:sz w:val="36"/>
          <w:szCs w:val="36"/>
        </w:rPr>
        <w:t>包段名称：</w:t>
      </w:r>
      <w:r>
        <w:rPr>
          <w:rFonts w:ascii="仿宋_GB2312" w:hAnsi="仿宋" w:cs="方正楷体简体"/>
          <w:color w:val="auto"/>
          <w:sz w:val="36"/>
          <w:szCs w:val="36"/>
        </w:rPr>
        <w:t xml:space="preserve"> 乳山市2024年水库移民扶持基金项目和大中型水库移民后期扶持人口自然变化结余资金项目施工</w:t>
      </w:r>
      <w:r>
        <w:rPr>
          <w:rFonts w:hint="eastAsia" w:ascii="仿宋_GB2312" w:hAnsi="仿宋" w:cs="方正楷体简体"/>
          <w:color w:val="auto"/>
          <w:sz w:val="36"/>
          <w:szCs w:val="36"/>
        </w:rPr>
        <w:t xml:space="preserve"> (第</w:t>
      </w:r>
      <w:r>
        <w:rPr>
          <w:rFonts w:ascii="仿宋_GB2312" w:hAnsi="仿宋" w:cs="方正楷体简体"/>
          <w:color w:val="auto"/>
          <w:sz w:val="36"/>
          <w:szCs w:val="36"/>
        </w:rPr>
        <w:t>A</w:t>
      </w:r>
      <w:r>
        <w:rPr>
          <w:rFonts w:hint="eastAsia" w:ascii="仿宋_GB2312" w:hAnsi="仿宋" w:cs="方正楷体简体"/>
          <w:color w:val="auto"/>
          <w:sz w:val="36"/>
          <w:szCs w:val="36"/>
        </w:rPr>
        <w:t>包，共</w:t>
      </w:r>
      <w:r>
        <w:rPr>
          <w:rFonts w:ascii="仿宋_GB2312" w:hAnsi="仿宋" w:cs="方正楷体简体"/>
          <w:color w:val="auto"/>
          <w:sz w:val="36"/>
          <w:szCs w:val="36"/>
        </w:rPr>
        <w:t>2</w:t>
      </w:r>
      <w:r>
        <w:rPr>
          <w:rFonts w:hint="eastAsia" w:ascii="仿宋_GB2312" w:hAnsi="仿宋" w:cs="方正楷体简体"/>
          <w:color w:val="auto"/>
          <w:sz w:val="36"/>
          <w:szCs w:val="36"/>
        </w:rPr>
        <w:t xml:space="preserve">包) </w:t>
      </w:r>
    </w:p>
    <w:p w14:paraId="7C54D35B">
      <w:pPr>
        <w:spacing w:after="156" w:afterLines="50"/>
        <w:ind w:firstLine="726" w:firstLineChars="201"/>
        <w:jc w:val="left"/>
        <w:rPr>
          <w:rFonts w:ascii="仿宋_GB2312" w:hAnsi="仿宋" w:cs="方正楷体简体"/>
          <w:b/>
          <w:color w:val="auto"/>
          <w:sz w:val="36"/>
          <w:szCs w:val="36"/>
        </w:rPr>
      </w:pPr>
      <w:r>
        <w:rPr>
          <w:rFonts w:hint="eastAsia" w:ascii="仿宋_GB2312" w:hAnsi="仿宋" w:cs="方正楷体简体"/>
          <w:b/>
          <w:color w:val="auto"/>
          <w:sz w:val="36"/>
          <w:szCs w:val="36"/>
        </w:rPr>
        <w:t>采购方式：</w:t>
      </w:r>
      <w:r>
        <w:rPr>
          <w:rFonts w:hint="eastAsia" w:ascii="仿宋_GB2312" w:hAnsi="仿宋" w:cs="方正楷体简体"/>
          <w:color w:val="auto"/>
          <w:sz w:val="36"/>
          <w:szCs w:val="36"/>
        </w:rPr>
        <w:t>竞争性磋商</w:t>
      </w:r>
    </w:p>
    <w:p w14:paraId="5D845129">
      <w:pPr>
        <w:spacing w:before="156" w:beforeLines="50"/>
        <w:ind w:firstLine="726" w:firstLineChars="201"/>
        <w:jc w:val="center"/>
        <w:rPr>
          <w:rFonts w:ascii="仿宋_GB2312" w:hAnsi="仿宋"/>
          <w:b/>
          <w:bCs/>
          <w:color w:val="auto"/>
          <w:kern w:val="0"/>
          <w:sz w:val="36"/>
          <w:szCs w:val="36"/>
        </w:rPr>
      </w:pPr>
      <w:r>
        <w:rPr>
          <w:rFonts w:hint="eastAsia" w:ascii="仿宋_GB2312" w:hAnsi="仿宋" w:cs="方正楷体简体"/>
          <w:b/>
          <w:color w:val="auto"/>
          <w:sz w:val="36"/>
          <w:szCs w:val="36"/>
        </w:rPr>
        <w:t>代理机构：</w:t>
      </w:r>
      <w:r>
        <w:rPr>
          <w:rFonts w:hint="eastAsia" w:ascii="仿宋_GB2312" w:hAnsi="仿宋" w:cs="方正楷体简体"/>
          <w:color w:val="auto"/>
          <w:sz w:val="36"/>
          <w:szCs w:val="36"/>
        </w:rPr>
        <w:t xml:space="preserve"> 乳山市方正房地产测绘中心</w:t>
      </w:r>
    </w:p>
    <w:p w14:paraId="040B145A">
      <w:pPr>
        <w:spacing w:before="156" w:beforeLines="50"/>
        <w:ind w:firstLine="726" w:firstLineChars="201"/>
        <w:jc w:val="center"/>
        <w:rPr>
          <w:rFonts w:hint="eastAsia" w:ascii="仿宋_GB2312" w:hAnsi="仿宋" w:eastAsia="仿宋_GB2312" w:cs="方正楷体简体"/>
          <w:color w:val="auto"/>
          <w:sz w:val="36"/>
          <w:szCs w:val="36"/>
          <w:lang w:eastAsia="zh-CN"/>
        </w:rPr>
      </w:pPr>
      <w:r>
        <w:rPr>
          <w:rFonts w:hint="eastAsia" w:ascii="仿宋_GB2312" w:hAnsi="仿宋" w:cs="方正楷体简体"/>
          <w:b/>
          <w:color w:val="auto"/>
          <w:sz w:val="36"/>
          <w:szCs w:val="36"/>
        </w:rPr>
        <w:t>编制时间：</w:t>
      </w:r>
      <w:r>
        <w:rPr>
          <w:rFonts w:hint="eastAsia" w:ascii="仿宋_GB2312" w:hAnsi="仿宋" w:cs="方正楷体简体"/>
          <w:color w:val="auto"/>
          <w:sz w:val="36"/>
          <w:szCs w:val="36"/>
          <w:lang w:eastAsia="zh-CN"/>
        </w:rPr>
        <w:t>2024年12月20日</w:t>
      </w:r>
    </w:p>
    <w:p w14:paraId="48B924A2">
      <w:pPr>
        <w:spacing w:before="156" w:beforeLines="50"/>
        <w:ind w:firstLine="726" w:firstLineChars="201"/>
        <w:jc w:val="center"/>
        <w:rPr>
          <w:rFonts w:ascii="仿宋_GB2312" w:hAnsi="仿宋" w:cs="方正楷体简体"/>
          <w:b/>
          <w:color w:val="auto"/>
          <w:sz w:val="36"/>
          <w:szCs w:val="36"/>
        </w:rPr>
      </w:pPr>
    </w:p>
    <w:p w14:paraId="4C557554">
      <w:pPr>
        <w:ind w:firstLine="1045" w:firstLineChars="201"/>
        <w:jc w:val="center"/>
        <w:rPr>
          <w:rFonts w:ascii="黑体" w:hAnsi="黑体" w:eastAsia="黑体" w:cs="方正小标宋简体"/>
          <w:color w:val="auto"/>
          <w:kern w:val="0"/>
          <w:sz w:val="52"/>
          <w:szCs w:val="52"/>
        </w:rPr>
        <w:sectPr>
          <w:headerReference r:id="rId7" w:type="first"/>
          <w:footerReference r:id="rId10" w:type="first"/>
          <w:headerReference r:id="rId5" w:type="default"/>
          <w:footerReference r:id="rId8" w:type="default"/>
          <w:headerReference r:id="rId6" w:type="even"/>
          <w:footerReference r:id="rId9" w:type="even"/>
          <w:pgSz w:w="11906" w:h="16838"/>
          <w:pgMar w:top="1440" w:right="1080" w:bottom="1440" w:left="1080" w:header="851" w:footer="992" w:gutter="0"/>
          <w:pgNumType w:start="1"/>
          <w:cols w:space="720" w:num="1"/>
          <w:docGrid w:type="lines" w:linePitch="312" w:charSpace="0"/>
        </w:sectPr>
      </w:pPr>
    </w:p>
    <w:p w14:paraId="6CEDA980">
      <w:pPr>
        <w:ind w:firstLine="1045" w:firstLineChars="201"/>
        <w:jc w:val="center"/>
        <w:rPr>
          <w:rFonts w:ascii="黑体" w:hAnsi="黑体" w:eastAsia="黑体"/>
          <w:b/>
          <w:color w:val="auto"/>
          <w:sz w:val="44"/>
          <w:szCs w:val="44"/>
        </w:rPr>
      </w:pPr>
      <w:r>
        <w:rPr>
          <w:rFonts w:hint="eastAsia" w:ascii="黑体" w:hAnsi="黑体" w:eastAsia="黑体" w:cs="方正小标宋简体"/>
          <w:color w:val="auto"/>
          <w:kern w:val="0"/>
          <w:sz w:val="52"/>
          <w:szCs w:val="52"/>
        </w:rPr>
        <w:t>目  录</w:t>
      </w:r>
    </w:p>
    <w:p w14:paraId="089BF4FE">
      <w:pPr>
        <w:spacing w:line="560" w:lineRule="exact"/>
        <w:ind w:firstLine="562" w:firstLineChars="201"/>
        <w:jc w:val="left"/>
        <w:rPr>
          <w:rFonts w:ascii="宋体" w:hAnsi="宋体" w:cs="方正楷体简体"/>
          <w:color w:val="auto"/>
          <w:szCs w:val="28"/>
        </w:rPr>
      </w:pPr>
    </w:p>
    <w:p w14:paraId="24564D1E">
      <w:pPr>
        <w:spacing w:line="560" w:lineRule="exact"/>
        <w:ind w:firstLine="565" w:firstLineChars="201"/>
        <w:jc w:val="left"/>
        <w:rPr>
          <w:rFonts w:ascii="仿宋_GB2312" w:hAnsi="宋体" w:cs="宋体"/>
          <w:b/>
          <w:bCs/>
          <w:caps/>
          <w:color w:val="auto"/>
          <w:szCs w:val="28"/>
        </w:rPr>
      </w:pPr>
    </w:p>
    <w:p w14:paraId="4E015446">
      <w:pPr>
        <w:ind w:firstLine="562"/>
        <w:rPr>
          <w:rFonts w:ascii="仿宋_GB2312" w:hAnsi="宋体"/>
          <w:b/>
          <w:color w:val="auto"/>
        </w:rPr>
      </w:pPr>
    </w:p>
    <w:p w14:paraId="64F0EA0E">
      <w:pPr>
        <w:spacing w:line="560" w:lineRule="exact"/>
        <w:ind w:firstLine="565" w:firstLineChars="201"/>
        <w:jc w:val="left"/>
        <w:rPr>
          <w:rFonts w:ascii="仿宋_GB2312" w:hAnsi="宋体"/>
          <w:b/>
          <w:bCs/>
          <w:caps/>
          <w:color w:val="auto"/>
          <w:szCs w:val="28"/>
        </w:rPr>
      </w:pPr>
    </w:p>
    <w:p w14:paraId="5469409E">
      <w:pPr>
        <w:spacing w:line="560" w:lineRule="exact"/>
        <w:ind w:firstLine="565" w:firstLineChars="201"/>
        <w:jc w:val="left"/>
        <w:rPr>
          <w:rFonts w:ascii="仿宋_GB2312" w:hAnsi="宋体" w:cs="方正楷体简体"/>
          <w:b/>
          <w:color w:val="auto"/>
          <w:szCs w:val="28"/>
        </w:rPr>
      </w:pPr>
    </w:p>
    <w:p w14:paraId="672F1EEE">
      <w:pPr>
        <w:spacing w:line="720" w:lineRule="exact"/>
        <w:ind w:firstLine="565" w:firstLineChars="201"/>
        <w:jc w:val="left"/>
        <w:rPr>
          <w:rFonts w:ascii="仿宋_GB2312" w:hAnsi="黑体" w:cs="宋体"/>
          <w:b/>
          <w:bCs/>
          <w:caps/>
          <w:color w:val="auto"/>
          <w:szCs w:val="28"/>
        </w:rPr>
      </w:pPr>
      <w:r>
        <w:rPr>
          <w:rFonts w:hint="eastAsia" w:ascii="仿宋_GB2312" w:hAnsi="黑体" w:cs="宋体"/>
          <w:b/>
          <w:bCs/>
          <w:caps/>
          <w:color w:val="auto"/>
          <w:szCs w:val="28"/>
        </w:rPr>
        <w:t xml:space="preserve">第一章   竞争性磋商公告 </w:t>
      </w:r>
    </w:p>
    <w:p w14:paraId="144B2775">
      <w:pPr>
        <w:spacing w:line="720" w:lineRule="exact"/>
        <w:ind w:firstLine="565" w:firstLineChars="201"/>
        <w:jc w:val="left"/>
        <w:rPr>
          <w:rFonts w:ascii="仿宋_GB2312" w:hAnsi="黑体" w:cs="宋体"/>
          <w:b/>
          <w:bCs/>
          <w:caps/>
          <w:color w:val="auto"/>
          <w:szCs w:val="28"/>
        </w:rPr>
      </w:pPr>
      <w:r>
        <w:rPr>
          <w:rFonts w:hint="eastAsia" w:ascii="仿宋_GB2312" w:hAnsi="黑体" w:cs="宋体"/>
          <w:b/>
          <w:bCs/>
          <w:caps/>
          <w:color w:val="auto"/>
          <w:szCs w:val="28"/>
        </w:rPr>
        <w:t>第二章   磋商须知</w:t>
      </w:r>
    </w:p>
    <w:p w14:paraId="66FCA10A">
      <w:pPr>
        <w:spacing w:line="720" w:lineRule="exact"/>
        <w:ind w:firstLine="565" w:firstLineChars="201"/>
        <w:jc w:val="left"/>
        <w:rPr>
          <w:rFonts w:ascii="仿宋_GB2312" w:hAnsi="黑体" w:cs="宋体"/>
          <w:b/>
          <w:bCs/>
          <w:caps/>
          <w:color w:val="auto"/>
          <w:szCs w:val="28"/>
        </w:rPr>
      </w:pPr>
      <w:r>
        <w:rPr>
          <w:rFonts w:hint="eastAsia" w:ascii="仿宋_GB2312" w:hAnsi="黑体" w:cs="宋体"/>
          <w:b/>
          <w:bCs/>
          <w:caps/>
          <w:color w:val="auto"/>
          <w:szCs w:val="28"/>
        </w:rPr>
        <w:t>第三章   采购内容与要求</w:t>
      </w:r>
    </w:p>
    <w:p w14:paraId="61339671">
      <w:pPr>
        <w:spacing w:line="720" w:lineRule="exact"/>
        <w:ind w:firstLine="565" w:firstLineChars="201"/>
        <w:jc w:val="left"/>
        <w:rPr>
          <w:rFonts w:ascii="仿宋_GB2312" w:hAnsi="黑体" w:cs="宋体"/>
          <w:b/>
          <w:bCs/>
          <w:caps/>
          <w:color w:val="auto"/>
          <w:szCs w:val="28"/>
        </w:rPr>
      </w:pPr>
      <w:r>
        <w:rPr>
          <w:rFonts w:hint="eastAsia" w:ascii="仿宋_GB2312" w:hAnsi="黑体" w:cs="宋体"/>
          <w:b/>
          <w:bCs/>
          <w:caps/>
          <w:color w:val="auto"/>
          <w:szCs w:val="28"/>
        </w:rPr>
        <w:t>第四章   磋商原则、程序与方法</w:t>
      </w:r>
    </w:p>
    <w:p w14:paraId="71A29823">
      <w:pPr>
        <w:spacing w:line="720" w:lineRule="exact"/>
        <w:ind w:firstLine="565" w:firstLineChars="201"/>
        <w:jc w:val="left"/>
        <w:rPr>
          <w:rFonts w:ascii="仿宋_GB2312" w:hAnsi="黑体" w:cs="宋体"/>
          <w:b/>
          <w:bCs/>
          <w:caps/>
          <w:color w:val="auto"/>
          <w:szCs w:val="28"/>
        </w:rPr>
      </w:pPr>
      <w:r>
        <w:rPr>
          <w:rFonts w:hint="eastAsia" w:ascii="仿宋_GB2312" w:hAnsi="黑体" w:cs="宋体"/>
          <w:b/>
          <w:bCs/>
          <w:caps/>
          <w:color w:val="auto"/>
          <w:szCs w:val="28"/>
        </w:rPr>
        <w:t>第五章   响应文件格式与要求</w:t>
      </w:r>
    </w:p>
    <w:p w14:paraId="508A5B4A">
      <w:pPr>
        <w:spacing w:line="720" w:lineRule="exact"/>
        <w:ind w:firstLine="565" w:firstLineChars="201"/>
        <w:jc w:val="left"/>
        <w:rPr>
          <w:rFonts w:ascii="仿宋_GB2312" w:hAnsi="黑体" w:cs="宋体"/>
          <w:b/>
          <w:bCs/>
          <w:caps/>
          <w:color w:val="auto"/>
          <w:szCs w:val="28"/>
        </w:rPr>
      </w:pPr>
      <w:r>
        <w:rPr>
          <w:rFonts w:hint="eastAsia" w:ascii="仿宋_GB2312" w:hAnsi="黑体" w:cs="宋体"/>
          <w:b/>
          <w:bCs/>
          <w:caps/>
          <w:color w:val="auto"/>
          <w:szCs w:val="28"/>
        </w:rPr>
        <w:t>第六章   政府采购合同（范本）</w:t>
      </w:r>
    </w:p>
    <w:p w14:paraId="7C73D66A">
      <w:pPr>
        <w:spacing w:line="560" w:lineRule="exact"/>
        <w:ind w:firstLine="424" w:firstLineChars="151"/>
        <w:jc w:val="left"/>
        <w:rPr>
          <w:rFonts w:ascii="仿宋_GB2312" w:hAnsi="宋体" w:cs="宋体"/>
          <w:b/>
          <w:bCs/>
          <w:caps/>
          <w:color w:val="auto"/>
          <w:szCs w:val="28"/>
        </w:rPr>
      </w:pPr>
    </w:p>
    <w:p w14:paraId="10307DDF">
      <w:pPr>
        <w:spacing w:line="560" w:lineRule="exact"/>
        <w:ind w:firstLine="424" w:firstLineChars="151"/>
        <w:jc w:val="left"/>
        <w:rPr>
          <w:rFonts w:ascii="仿宋_GB2312" w:hAnsi="宋体"/>
          <w:b/>
          <w:bCs/>
          <w:caps/>
          <w:color w:val="auto"/>
          <w:szCs w:val="28"/>
        </w:rPr>
      </w:pPr>
    </w:p>
    <w:p w14:paraId="01666D37">
      <w:pPr>
        <w:ind w:firstLine="560"/>
        <w:rPr>
          <w:rFonts w:ascii="宋体" w:hAnsi="宋体"/>
          <w:color w:val="auto"/>
          <w:kern w:val="0"/>
        </w:rPr>
        <w:sectPr>
          <w:headerReference r:id="rId11" w:type="default"/>
          <w:pgSz w:w="11906" w:h="16838"/>
          <w:pgMar w:top="1440" w:right="1080" w:bottom="1440" w:left="1080" w:header="851" w:footer="992" w:gutter="0"/>
          <w:pgNumType w:start="1"/>
          <w:cols w:space="720" w:num="1"/>
          <w:docGrid w:type="lines" w:linePitch="312" w:charSpace="0"/>
        </w:sectPr>
      </w:pPr>
    </w:p>
    <w:p w14:paraId="5325BF2A">
      <w:pPr>
        <w:pStyle w:val="43"/>
        <w:numPr>
          <w:ilvl w:val="0"/>
          <w:numId w:val="1"/>
        </w:numPr>
        <w:spacing w:before="100" w:beforeAutospacing="1" w:after="100" w:afterAutospacing="1" w:line="415" w:lineRule="auto"/>
        <w:ind w:left="1" w:leftChars="-159" w:hanging="446" w:hangingChars="101"/>
        <w:rPr>
          <w:rFonts w:ascii="宋体" w:hAnsi="宋体" w:cs="宋体"/>
          <w:color w:val="auto"/>
          <w:sz w:val="24"/>
          <w:szCs w:val="44"/>
        </w:rPr>
      </w:pPr>
      <w:r>
        <w:rPr>
          <w:rFonts w:hint="eastAsia" w:ascii="楷体_GB2312" w:hAnsi="宋体" w:eastAsia="楷体_GB2312" w:cs="宋体"/>
          <w:color w:val="auto"/>
          <w:sz w:val="44"/>
          <w:szCs w:val="44"/>
        </w:rPr>
        <w:t>采购公告</w:t>
      </w:r>
    </w:p>
    <w:p w14:paraId="4A8DD4F4">
      <w:pPr>
        <w:ind w:firstLine="560"/>
        <w:rPr>
          <w:color w:val="auto"/>
        </w:rPr>
      </w:pPr>
    </w:p>
    <w:p w14:paraId="399A0E05">
      <w:pPr>
        <w:ind w:firstLine="560"/>
        <w:rPr>
          <w:color w:val="auto"/>
        </w:rPr>
        <w:sectPr>
          <w:headerReference r:id="rId13" w:type="first"/>
          <w:footerReference r:id="rId14" w:type="default"/>
          <w:headerReference r:id="rId12" w:type="even"/>
          <w:pgSz w:w="11906" w:h="16838"/>
          <w:pgMar w:top="1440" w:right="1077" w:bottom="1440" w:left="1077" w:header="851" w:footer="992" w:gutter="0"/>
          <w:cols w:space="720" w:num="1"/>
          <w:docGrid w:type="lines" w:linePitch="312" w:charSpace="0"/>
        </w:sectPr>
      </w:pPr>
    </w:p>
    <w:p w14:paraId="2BFF1080">
      <w:pPr>
        <w:spacing w:after="240"/>
        <w:ind w:firstLine="600"/>
        <w:jc w:val="center"/>
        <w:rPr>
          <w:rFonts w:ascii="方正小标宋简体" w:eastAsia="方正小标宋简体"/>
          <w:b/>
          <w:color w:val="auto"/>
          <w:sz w:val="30"/>
          <w:szCs w:val="30"/>
        </w:rPr>
      </w:pPr>
      <w:r>
        <w:rPr>
          <w:rFonts w:ascii="方正小标宋简体" w:eastAsia="方正小标宋简体"/>
          <w:b/>
          <w:color w:val="auto"/>
          <w:sz w:val="30"/>
          <w:szCs w:val="30"/>
        </w:rPr>
        <w:t xml:space="preserve"> 乳山市2024年水库移民扶持基金项目和大中型水库移民后期扶持人口自然变化结余资金项目</w:t>
      </w:r>
      <w:r>
        <w:rPr>
          <w:rFonts w:hint="eastAsia" w:ascii="方正小标宋简体" w:eastAsia="方正小标宋简体"/>
          <w:b/>
          <w:color w:val="auto"/>
          <w:sz w:val="30"/>
          <w:szCs w:val="30"/>
        </w:rPr>
        <w:t>竞争性磋商公告</w:t>
      </w:r>
    </w:p>
    <w:p w14:paraId="683DB64A">
      <w:pPr>
        <w:pBdr>
          <w:top w:val="single" w:color="auto" w:sz="4" w:space="1"/>
          <w:left w:val="single" w:color="auto" w:sz="4" w:space="4"/>
          <w:bottom w:val="single" w:color="auto" w:sz="4" w:space="1"/>
          <w:right w:val="single" w:color="auto" w:sz="4" w:space="4"/>
        </w:pBdr>
        <w:ind w:firstLine="560"/>
        <w:rPr>
          <w:rFonts w:ascii="黑体" w:hAnsi="黑体" w:eastAsia="黑体" w:cs="宋体"/>
          <w:color w:val="auto"/>
          <w:szCs w:val="28"/>
        </w:rPr>
      </w:pPr>
      <w:r>
        <w:rPr>
          <w:rFonts w:hint="eastAsia" w:ascii="黑体" w:hAnsi="黑体" w:eastAsia="黑体" w:cs="宋体"/>
          <w:color w:val="auto"/>
          <w:szCs w:val="28"/>
        </w:rPr>
        <w:t>项目概况</w:t>
      </w:r>
    </w:p>
    <w:p w14:paraId="3C845FCA">
      <w:pPr>
        <w:widowControl/>
        <w:pBdr>
          <w:top w:val="single" w:color="auto" w:sz="4" w:space="1"/>
          <w:left w:val="single" w:color="auto" w:sz="4" w:space="4"/>
          <w:bottom w:val="single" w:color="auto" w:sz="4" w:space="1"/>
          <w:right w:val="single" w:color="auto" w:sz="4" w:space="4"/>
        </w:pBdr>
        <w:adjustRightInd w:val="0"/>
        <w:ind w:firstLine="592"/>
        <w:jc w:val="left"/>
        <w:rPr>
          <w:rFonts w:ascii="仿宋_GB2312" w:hAnsi="仿宋" w:cs="宋体"/>
          <w:color w:val="auto"/>
          <w:spacing w:val="8"/>
          <w:szCs w:val="28"/>
        </w:rPr>
      </w:pPr>
      <w:r>
        <w:rPr>
          <w:rFonts w:ascii="仿宋_GB2312" w:hAnsi="仿宋" w:cs="宋体"/>
          <w:color w:val="auto"/>
          <w:spacing w:val="8"/>
          <w:szCs w:val="28"/>
        </w:rPr>
        <w:t xml:space="preserve"> 乳山市2024年水库移民扶持基金项目和大中型水库移民后期扶持人口自然变化结余资金项目</w:t>
      </w:r>
      <w:r>
        <w:rPr>
          <w:rFonts w:hint="eastAsia" w:ascii="仿宋_GB2312" w:hAnsi="仿宋" w:cs="宋体"/>
          <w:color w:val="auto"/>
          <w:spacing w:val="8"/>
          <w:szCs w:val="28"/>
        </w:rPr>
        <w:t>采购项目的潜在供应商应在</w:t>
      </w:r>
      <w:r>
        <w:rPr>
          <w:rFonts w:hint="eastAsia" w:ascii="仿宋_GB2312" w:hAnsi="仿宋" w:cs="宋体"/>
          <w:color w:val="auto"/>
          <w:spacing w:val="8"/>
          <w:szCs w:val="28"/>
          <w:u w:val="single"/>
        </w:rPr>
        <w:t xml:space="preserve"> 威海市政府采购电子交易系统威海市公共资源交易网（乳山分中心）右侧“交易服务一网通办”登录后选择“政府采购”按钮</w:t>
      </w:r>
      <w:r>
        <w:rPr>
          <w:rFonts w:hint="eastAsia" w:ascii="仿宋_GB2312" w:hAnsi="仿宋" w:cs="宋体"/>
          <w:color w:val="auto"/>
          <w:spacing w:val="8"/>
          <w:szCs w:val="28"/>
        </w:rPr>
        <w:t>获取采购文件，并于</w:t>
      </w:r>
      <w:r>
        <w:rPr>
          <w:rFonts w:hint="eastAsia" w:ascii="仿宋_GB2312" w:hAnsi="仿宋" w:cs="宋体"/>
          <w:color w:val="auto"/>
          <w:spacing w:val="8"/>
          <w:szCs w:val="28"/>
          <w:u w:val="single"/>
          <w:lang w:eastAsia="zh-CN"/>
        </w:rPr>
        <w:t>2024年12月31日09时00分</w:t>
      </w:r>
      <w:r>
        <w:rPr>
          <w:rFonts w:hint="eastAsia" w:ascii="仿宋_GB2312" w:hAnsi="仿宋" w:cs="宋体"/>
          <w:color w:val="auto"/>
          <w:spacing w:val="8"/>
          <w:szCs w:val="28"/>
          <w:u w:val="single"/>
        </w:rPr>
        <w:t>（北京时间）</w:t>
      </w:r>
      <w:r>
        <w:rPr>
          <w:rFonts w:hint="eastAsia" w:ascii="仿宋_GB2312" w:hAnsi="仿宋" w:cs="宋体"/>
          <w:color w:val="auto"/>
          <w:spacing w:val="8"/>
          <w:szCs w:val="28"/>
        </w:rPr>
        <w:t>前递交响应文件。</w:t>
      </w:r>
    </w:p>
    <w:p w14:paraId="31C9D2CB">
      <w:pPr>
        <w:ind w:firstLine="560"/>
        <w:outlineLvl w:val="0"/>
        <w:rPr>
          <w:rFonts w:ascii="黑体" w:hAnsi="黑体" w:eastAsia="黑体" w:cs="宋体"/>
          <w:color w:val="auto"/>
          <w:szCs w:val="28"/>
        </w:rPr>
      </w:pPr>
      <w:r>
        <w:rPr>
          <w:rFonts w:hint="eastAsia" w:ascii="黑体" w:hAnsi="黑体" w:eastAsia="黑体" w:cs="宋体"/>
          <w:color w:val="auto"/>
          <w:szCs w:val="28"/>
        </w:rPr>
        <w:t>一、项目基本情况</w:t>
      </w:r>
    </w:p>
    <w:p w14:paraId="64E22885">
      <w:pPr>
        <w:widowControl/>
        <w:adjustRightInd w:val="0"/>
        <w:ind w:firstLine="592"/>
        <w:jc w:val="left"/>
        <w:rPr>
          <w:rFonts w:hint="eastAsia" w:ascii="仿宋_GB2312" w:hAnsi="仿宋" w:eastAsia="仿宋_GB2312" w:cs="宋体"/>
          <w:color w:val="auto"/>
          <w:spacing w:val="8"/>
          <w:szCs w:val="28"/>
          <w:lang w:eastAsia="zh-CN"/>
        </w:rPr>
      </w:pPr>
      <w:r>
        <w:rPr>
          <w:rFonts w:hint="eastAsia" w:ascii="仿宋_GB2312" w:hAnsi="仿宋" w:cs="宋体"/>
          <w:color w:val="auto"/>
          <w:spacing w:val="8"/>
          <w:szCs w:val="28"/>
        </w:rPr>
        <w:t>项目编号：</w:t>
      </w:r>
      <w:r>
        <w:rPr>
          <w:rFonts w:hint="eastAsia" w:ascii="仿宋_GB2312" w:hAnsi="仿宋" w:cs="宋体"/>
          <w:color w:val="auto"/>
          <w:spacing w:val="8"/>
          <w:szCs w:val="28"/>
          <w:lang w:eastAsia="zh-CN"/>
        </w:rPr>
        <w:t>SDGP371083000202402000114</w:t>
      </w:r>
    </w:p>
    <w:p w14:paraId="01EDCC21">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项目名称：</w:t>
      </w:r>
      <w:r>
        <w:rPr>
          <w:rFonts w:ascii="仿宋_GB2312" w:hAnsi="仿宋" w:cs="宋体"/>
          <w:color w:val="auto"/>
          <w:spacing w:val="8"/>
          <w:szCs w:val="28"/>
        </w:rPr>
        <w:t xml:space="preserve"> 乳山市2024年水库移民扶持基金项目和大中型水库移民后期扶持人口自然变化结余资金项目</w:t>
      </w:r>
    </w:p>
    <w:p w14:paraId="58CB2150">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采购方式：竞争性磋商</w:t>
      </w:r>
    </w:p>
    <w:p w14:paraId="5407CAD6">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采购项目分包情况：</w:t>
      </w:r>
    </w:p>
    <w:tbl>
      <w:tblPr>
        <w:tblStyle w:val="45"/>
        <w:tblW w:w="99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851"/>
        <w:gridCol w:w="2268"/>
        <w:gridCol w:w="709"/>
        <w:gridCol w:w="1818"/>
        <w:gridCol w:w="1559"/>
        <w:gridCol w:w="1417"/>
        <w:gridCol w:w="1357"/>
      </w:tblGrid>
      <w:tr w14:paraId="779A73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bottom w:val="single" w:color="auto" w:sz="4" w:space="0"/>
            </w:tcBorders>
            <w:vAlign w:val="center"/>
          </w:tcPr>
          <w:p w14:paraId="1E9B94F6">
            <w:pPr>
              <w:widowControl/>
              <w:adjustRightInd w:val="0"/>
              <w:snapToGrid w:val="0"/>
              <w:ind w:firstLine="0" w:firstLineChars="0"/>
              <w:jc w:val="center"/>
              <w:rPr>
                <w:rFonts w:ascii="仿宋_GB2312" w:hAnsi="宋体" w:cs="宋体"/>
                <w:b/>
                <w:color w:val="auto"/>
              </w:rPr>
            </w:pPr>
            <w:r>
              <w:rPr>
                <w:rFonts w:hint="eastAsia" w:ascii="仿宋_GB2312" w:hAnsi="宋体" w:cs="宋体"/>
                <w:b/>
                <w:color w:val="auto"/>
              </w:rPr>
              <w:t>标包</w:t>
            </w:r>
          </w:p>
        </w:tc>
        <w:tc>
          <w:tcPr>
            <w:tcW w:w="2268" w:type="dxa"/>
            <w:vAlign w:val="center"/>
          </w:tcPr>
          <w:p w14:paraId="65116D37">
            <w:pPr>
              <w:widowControl/>
              <w:adjustRightInd w:val="0"/>
              <w:snapToGrid w:val="0"/>
              <w:ind w:firstLine="0" w:firstLineChars="0"/>
              <w:jc w:val="center"/>
              <w:rPr>
                <w:rFonts w:ascii="仿宋_GB2312" w:hAnsi="宋体" w:cs="宋体"/>
                <w:b/>
                <w:color w:val="auto"/>
              </w:rPr>
            </w:pPr>
            <w:r>
              <w:rPr>
                <w:rFonts w:hint="eastAsia" w:ascii="仿宋_GB2312" w:hAnsi="宋体" w:cs="宋体"/>
                <w:b/>
                <w:color w:val="auto"/>
              </w:rPr>
              <w:t>名称</w:t>
            </w:r>
          </w:p>
        </w:tc>
        <w:tc>
          <w:tcPr>
            <w:tcW w:w="709" w:type="dxa"/>
            <w:vAlign w:val="center"/>
          </w:tcPr>
          <w:p w14:paraId="2E017199">
            <w:pPr>
              <w:widowControl/>
              <w:adjustRightInd w:val="0"/>
              <w:snapToGrid w:val="0"/>
              <w:ind w:firstLine="0" w:firstLineChars="0"/>
              <w:jc w:val="center"/>
              <w:rPr>
                <w:rFonts w:ascii="仿宋_GB2312" w:hAnsi="宋体" w:cs="宋体"/>
                <w:b/>
                <w:color w:val="auto"/>
              </w:rPr>
            </w:pPr>
            <w:r>
              <w:rPr>
                <w:rFonts w:hint="eastAsia" w:ascii="仿宋_GB2312" w:hAnsi="宋体" w:cs="宋体"/>
                <w:b/>
                <w:color w:val="auto"/>
              </w:rPr>
              <w:t>数量</w:t>
            </w:r>
          </w:p>
        </w:tc>
        <w:tc>
          <w:tcPr>
            <w:tcW w:w="1818" w:type="dxa"/>
            <w:tcBorders>
              <w:right w:val="single" w:color="auto" w:sz="4" w:space="0"/>
            </w:tcBorders>
            <w:vAlign w:val="center"/>
          </w:tcPr>
          <w:p w14:paraId="4B668352">
            <w:pPr>
              <w:widowControl/>
              <w:adjustRightInd w:val="0"/>
              <w:snapToGrid w:val="0"/>
              <w:ind w:firstLine="0" w:firstLineChars="0"/>
              <w:jc w:val="center"/>
              <w:rPr>
                <w:rFonts w:ascii="仿宋_GB2312" w:hAnsi="宋体" w:cs="宋体"/>
                <w:b/>
                <w:color w:val="auto"/>
              </w:rPr>
            </w:pPr>
            <w:r>
              <w:rPr>
                <w:rFonts w:hint="eastAsia" w:ascii="仿宋_GB2312" w:hAnsi="宋体" w:cs="宋体"/>
                <w:b/>
                <w:color w:val="auto"/>
              </w:rPr>
              <w:t>包预算金额</w:t>
            </w:r>
          </w:p>
          <w:p w14:paraId="3A7C1F39">
            <w:pPr>
              <w:widowControl/>
              <w:adjustRightInd w:val="0"/>
              <w:snapToGrid w:val="0"/>
              <w:ind w:firstLine="0" w:firstLineChars="0"/>
              <w:jc w:val="center"/>
              <w:rPr>
                <w:rFonts w:ascii="仿宋_GB2312" w:hAnsi="宋体" w:cs="宋体"/>
                <w:b/>
                <w:color w:val="auto"/>
              </w:rPr>
            </w:pPr>
            <w:r>
              <w:rPr>
                <w:rFonts w:hint="eastAsia" w:ascii="仿宋_GB2312" w:hAnsi="宋体" w:cs="宋体"/>
                <w:b/>
                <w:color w:val="auto"/>
              </w:rPr>
              <w:t>（元）</w:t>
            </w:r>
          </w:p>
        </w:tc>
        <w:tc>
          <w:tcPr>
            <w:tcW w:w="1559" w:type="dxa"/>
            <w:vAlign w:val="center"/>
          </w:tcPr>
          <w:p w14:paraId="70DF2225">
            <w:pPr>
              <w:widowControl/>
              <w:adjustRightInd w:val="0"/>
              <w:snapToGrid w:val="0"/>
              <w:ind w:firstLine="0" w:firstLineChars="0"/>
              <w:jc w:val="center"/>
              <w:rPr>
                <w:rFonts w:ascii="仿宋_GB2312" w:hAnsi="宋体" w:cs="宋体"/>
                <w:b/>
                <w:color w:val="auto"/>
              </w:rPr>
            </w:pPr>
            <w:r>
              <w:rPr>
                <w:rFonts w:hint="eastAsia" w:ascii="仿宋_GB2312" w:hAnsi="宋体" w:cs="宋体"/>
                <w:b/>
                <w:color w:val="auto"/>
              </w:rPr>
              <w:t>最高限价（元）</w:t>
            </w:r>
          </w:p>
        </w:tc>
        <w:tc>
          <w:tcPr>
            <w:tcW w:w="1417" w:type="dxa"/>
            <w:tcBorders>
              <w:right w:val="single" w:color="auto" w:sz="4" w:space="0"/>
            </w:tcBorders>
            <w:vAlign w:val="center"/>
          </w:tcPr>
          <w:p w14:paraId="2C8A35E4">
            <w:pPr>
              <w:widowControl/>
              <w:adjustRightInd w:val="0"/>
              <w:snapToGrid w:val="0"/>
              <w:ind w:firstLine="0" w:firstLineChars="0"/>
              <w:jc w:val="center"/>
              <w:rPr>
                <w:rFonts w:ascii="仿宋_GB2312" w:hAnsi="宋体" w:cs="宋体"/>
                <w:b/>
                <w:color w:val="auto"/>
              </w:rPr>
            </w:pPr>
            <w:r>
              <w:rPr>
                <w:rFonts w:hint="eastAsia" w:ascii="仿宋_GB2312" w:hAnsi="宋体" w:cs="宋体"/>
                <w:b/>
                <w:color w:val="auto"/>
              </w:rPr>
              <w:t>采购需求</w:t>
            </w:r>
          </w:p>
        </w:tc>
        <w:tc>
          <w:tcPr>
            <w:tcW w:w="1357" w:type="dxa"/>
            <w:tcBorders>
              <w:right w:val="single" w:color="auto" w:sz="4" w:space="0"/>
            </w:tcBorders>
            <w:vAlign w:val="center"/>
          </w:tcPr>
          <w:p w14:paraId="0FAB62CD">
            <w:pPr>
              <w:widowControl/>
              <w:adjustRightInd w:val="0"/>
              <w:snapToGrid w:val="0"/>
              <w:ind w:firstLine="0" w:firstLineChars="0"/>
              <w:jc w:val="center"/>
              <w:rPr>
                <w:rFonts w:ascii="仿宋_GB2312" w:hAnsi="宋体" w:cs="宋体"/>
                <w:b/>
                <w:color w:val="auto"/>
              </w:rPr>
            </w:pPr>
            <w:r>
              <w:rPr>
                <w:rFonts w:hint="eastAsia" w:ascii="仿宋_GB2312" w:hAnsi="宋体" w:cs="宋体"/>
                <w:b/>
                <w:color w:val="auto"/>
              </w:rPr>
              <w:t>合同履行期限</w:t>
            </w:r>
          </w:p>
        </w:tc>
      </w:tr>
      <w:tr w14:paraId="7F37C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top w:val="single" w:color="auto" w:sz="4" w:space="0"/>
              <w:bottom w:val="single" w:color="auto" w:sz="4" w:space="0"/>
            </w:tcBorders>
            <w:vAlign w:val="center"/>
          </w:tcPr>
          <w:p w14:paraId="2B4F0B39">
            <w:pPr>
              <w:widowControl/>
              <w:adjustRightInd w:val="0"/>
              <w:snapToGrid w:val="0"/>
              <w:ind w:firstLine="0" w:firstLineChars="0"/>
              <w:jc w:val="center"/>
              <w:rPr>
                <w:rFonts w:ascii="仿宋_GB2312" w:hAnsi="宋体" w:cs="宋体"/>
                <w:color w:val="auto"/>
              </w:rPr>
            </w:pPr>
            <w:r>
              <w:rPr>
                <w:rFonts w:ascii="仿宋_GB2312" w:hAnsi="宋体" w:cs="宋体"/>
                <w:color w:val="auto"/>
              </w:rPr>
              <w:t>A</w:t>
            </w:r>
          </w:p>
        </w:tc>
        <w:tc>
          <w:tcPr>
            <w:tcW w:w="2268" w:type="dxa"/>
            <w:vAlign w:val="center"/>
          </w:tcPr>
          <w:p w14:paraId="004A9B17">
            <w:pPr>
              <w:widowControl/>
              <w:adjustRightInd w:val="0"/>
              <w:snapToGrid w:val="0"/>
              <w:ind w:firstLine="0" w:firstLineChars="0"/>
              <w:jc w:val="center"/>
              <w:rPr>
                <w:rFonts w:ascii="仿宋_GB2312" w:hAnsi="宋体" w:cs="宋体"/>
                <w:color w:val="auto"/>
              </w:rPr>
            </w:pPr>
            <w:r>
              <w:rPr>
                <w:rFonts w:hint="eastAsia" w:ascii="仿宋_GB2312" w:hAnsi="宋体" w:cs="宋体"/>
                <w:color w:val="auto"/>
              </w:rPr>
              <w:t xml:space="preserve"> 乳山市2024年水库移民扶持基金项目和大中型水库移民后期扶持人口自然变化结余资金项目</w:t>
            </w:r>
            <w:r>
              <w:rPr>
                <w:rFonts w:ascii="仿宋_GB2312" w:hAnsi="宋体" w:cs="宋体"/>
                <w:color w:val="auto"/>
              </w:rPr>
              <w:t>施工</w:t>
            </w:r>
          </w:p>
        </w:tc>
        <w:tc>
          <w:tcPr>
            <w:tcW w:w="709" w:type="dxa"/>
            <w:vAlign w:val="center"/>
          </w:tcPr>
          <w:p w14:paraId="3D4542E7">
            <w:pPr>
              <w:widowControl/>
              <w:adjustRightInd w:val="0"/>
              <w:snapToGrid w:val="0"/>
              <w:ind w:firstLine="0" w:firstLineChars="0"/>
              <w:jc w:val="center"/>
              <w:rPr>
                <w:rFonts w:ascii="仿宋_GB2312" w:hAnsi="宋体" w:cs="宋体"/>
                <w:color w:val="auto"/>
              </w:rPr>
            </w:pPr>
            <w:r>
              <w:rPr>
                <w:rFonts w:ascii="仿宋_GB2312" w:hAnsi="宋体" w:cs="宋体"/>
                <w:color w:val="auto"/>
              </w:rPr>
              <w:t>1宗</w:t>
            </w:r>
          </w:p>
        </w:tc>
        <w:tc>
          <w:tcPr>
            <w:tcW w:w="1818" w:type="dxa"/>
            <w:tcBorders>
              <w:right w:val="single" w:color="auto" w:sz="4" w:space="0"/>
            </w:tcBorders>
            <w:vAlign w:val="center"/>
          </w:tcPr>
          <w:p w14:paraId="69490E72">
            <w:pPr>
              <w:widowControl/>
              <w:adjustRightInd w:val="0"/>
              <w:snapToGrid w:val="0"/>
              <w:ind w:firstLine="0" w:firstLineChars="0"/>
              <w:jc w:val="center"/>
              <w:rPr>
                <w:rFonts w:ascii="仿宋_GB2312" w:hAnsi="宋体" w:cs="宋体"/>
                <w:color w:val="auto"/>
              </w:rPr>
            </w:pPr>
            <w:r>
              <w:rPr>
                <w:rFonts w:ascii="仿宋_GB2312" w:hAnsi="宋体" w:cs="宋体"/>
                <w:color w:val="auto"/>
              </w:rPr>
              <w:t>1730000.00</w:t>
            </w:r>
          </w:p>
        </w:tc>
        <w:tc>
          <w:tcPr>
            <w:tcW w:w="1559" w:type="dxa"/>
            <w:vAlign w:val="center"/>
          </w:tcPr>
          <w:p w14:paraId="3093B30F">
            <w:pPr>
              <w:widowControl/>
              <w:adjustRightInd w:val="0"/>
              <w:snapToGrid w:val="0"/>
              <w:ind w:firstLine="0" w:firstLineChars="0"/>
              <w:jc w:val="center"/>
              <w:rPr>
                <w:rFonts w:ascii="仿宋_GB2312" w:hAnsi="宋体" w:cs="宋体"/>
                <w:color w:val="auto"/>
              </w:rPr>
            </w:pPr>
            <w:r>
              <w:rPr>
                <w:rFonts w:ascii="仿宋_GB2312" w:hAnsi="宋体" w:cs="宋体"/>
                <w:color w:val="auto"/>
              </w:rPr>
              <w:t>1730000.00</w:t>
            </w:r>
          </w:p>
        </w:tc>
        <w:tc>
          <w:tcPr>
            <w:tcW w:w="1417" w:type="dxa"/>
            <w:tcBorders>
              <w:right w:val="single" w:color="auto" w:sz="4" w:space="0"/>
            </w:tcBorders>
            <w:vAlign w:val="center"/>
          </w:tcPr>
          <w:p w14:paraId="3CD5AB28">
            <w:pPr>
              <w:widowControl/>
              <w:adjustRightInd w:val="0"/>
              <w:snapToGrid w:val="0"/>
              <w:ind w:firstLine="0" w:firstLineChars="0"/>
              <w:jc w:val="center"/>
              <w:rPr>
                <w:rFonts w:ascii="仿宋_GB2312" w:hAnsi="宋体" w:cs="宋体"/>
                <w:color w:val="auto"/>
              </w:rPr>
            </w:pPr>
            <w:r>
              <w:rPr>
                <w:rFonts w:hint="eastAsia" w:ascii="仿宋_GB2312" w:hAnsi="宋体" w:cs="宋体"/>
                <w:color w:val="auto"/>
              </w:rPr>
              <w:t>详见采购文件</w:t>
            </w:r>
          </w:p>
        </w:tc>
        <w:tc>
          <w:tcPr>
            <w:tcW w:w="1357" w:type="dxa"/>
            <w:tcBorders>
              <w:right w:val="single" w:color="auto" w:sz="4" w:space="0"/>
            </w:tcBorders>
            <w:vAlign w:val="center"/>
          </w:tcPr>
          <w:p w14:paraId="2AE1B8DF">
            <w:pPr>
              <w:widowControl/>
              <w:adjustRightInd w:val="0"/>
              <w:snapToGrid w:val="0"/>
              <w:ind w:firstLine="0" w:firstLineChars="0"/>
              <w:jc w:val="center"/>
              <w:rPr>
                <w:rFonts w:ascii="仿宋_GB2312" w:hAnsi="宋体" w:cs="宋体"/>
                <w:color w:val="auto"/>
              </w:rPr>
            </w:pPr>
            <w:r>
              <w:rPr>
                <w:rFonts w:hint="eastAsia" w:ascii="仿宋_GB2312" w:hAnsi="宋体" w:cs="宋体"/>
                <w:color w:val="auto"/>
              </w:rPr>
              <w:t>详见采购文件</w:t>
            </w:r>
          </w:p>
        </w:tc>
      </w:tr>
      <w:tr w14:paraId="24030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top w:val="single" w:color="auto" w:sz="4" w:space="0"/>
              <w:bottom w:val="single" w:color="auto" w:sz="4" w:space="0"/>
            </w:tcBorders>
            <w:vAlign w:val="center"/>
          </w:tcPr>
          <w:p w14:paraId="44AF38BA">
            <w:pPr>
              <w:widowControl/>
              <w:adjustRightInd w:val="0"/>
              <w:snapToGrid w:val="0"/>
              <w:ind w:firstLine="0" w:firstLineChars="0"/>
              <w:jc w:val="center"/>
              <w:rPr>
                <w:rFonts w:ascii="仿宋_GB2312" w:hAnsi="宋体" w:cs="宋体"/>
                <w:color w:val="auto"/>
              </w:rPr>
            </w:pPr>
            <w:r>
              <w:rPr>
                <w:rFonts w:ascii="仿宋_GB2312" w:hAnsi="宋体" w:cs="宋体"/>
                <w:color w:val="auto"/>
              </w:rPr>
              <w:t>B</w:t>
            </w:r>
          </w:p>
        </w:tc>
        <w:tc>
          <w:tcPr>
            <w:tcW w:w="2268" w:type="dxa"/>
            <w:vAlign w:val="center"/>
          </w:tcPr>
          <w:p w14:paraId="20B80E11">
            <w:pPr>
              <w:widowControl/>
              <w:adjustRightInd w:val="0"/>
              <w:snapToGrid w:val="0"/>
              <w:ind w:firstLine="0" w:firstLineChars="0"/>
              <w:jc w:val="center"/>
              <w:rPr>
                <w:rFonts w:ascii="仿宋_GB2312" w:hAnsi="宋体" w:cs="宋体"/>
                <w:color w:val="auto"/>
              </w:rPr>
            </w:pPr>
            <w:r>
              <w:rPr>
                <w:rFonts w:hint="eastAsia" w:ascii="仿宋_GB2312" w:hAnsi="宋体" w:cs="宋体"/>
                <w:color w:val="auto"/>
              </w:rPr>
              <w:t xml:space="preserve"> 乳山市2024年水库移民扶持基金项目和大中型水库移民后期扶持人口自然变化结余资金项目</w:t>
            </w:r>
            <w:r>
              <w:rPr>
                <w:rFonts w:ascii="仿宋_GB2312" w:hAnsi="宋体" w:cs="宋体"/>
                <w:color w:val="auto"/>
              </w:rPr>
              <w:t>监理</w:t>
            </w:r>
          </w:p>
        </w:tc>
        <w:tc>
          <w:tcPr>
            <w:tcW w:w="709" w:type="dxa"/>
            <w:vAlign w:val="center"/>
          </w:tcPr>
          <w:p w14:paraId="0FED8A4E">
            <w:pPr>
              <w:widowControl/>
              <w:adjustRightInd w:val="0"/>
              <w:snapToGrid w:val="0"/>
              <w:ind w:firstLine="0" w:firstLineChars="0"/>
              <w:jc w:val="center"/>
              <w:rPr>
                <w:rFonts w:ascii="仿宋_GB2312" w:hAnsi="宋体" w:cs="宋体"/>
                <w:color w:val="auto"/>
              </w:rPr>
            </w:pPr>
            <w:r>
              <w:rPr>
                <w:rFonts w:ascii="仿宋_GB2312" w:hAnsi="宋体" w:cs="宋体"/>
                <w:color w:val="auto"/>
              </w:rPr>
              <w:t>1宗</w:t>
            </w:r>
          </w:p>
        </w:tc>
        <w:tc>
          <w:tcPr>
            <w:tcW w:w="1818" w:type="dxa"/>
            <w:tcBorders>
              <w:right w:val="single" w:color="auto" w:sz="4" w:space="0"/>
            </w:tcBorders>
            <w:vAlign w:val="center"/>
          </w:tcPr>
          <w:p w14:paraId="7B748122">
            <w:pPr>
              <w:widowControl/>
              <w:adjustRightInd w:val="0"/>
              <w:snapToGrid w:val="0"/>
              <w:ind w:firstLine="0" w:firstLineChars="0"/>
              <w:jc w:val="center"/>
              <w:rPr>
                <w:rFonts w:ascii="仿宋_GB2312" w:hAnsi="宋体" w:cs="宋体"/>
                <w:color w:val="auto"/>
              </w:rPr>
            </w:pPr>
            <w:r>
              <w:rPr>
                <w:rFonts w:ascii="仿宋_GB2312" w:hAnsi="宋体" w:cs="宋体"/>
                <w:color w:val="auto"/>
              </w:rPr>
              <w:t>17000.00</w:t>
            </w:r>
          </w:p>
        </w:tc>
        <w:tc>
          <w:tcPr>
            <w:tcW w:w="1559" w:type="dxa"/>
            <w:vAlign w:val="center"/>
          </w:tcPr>
          <w:p w14:paraId="025C4A39">
            <w:pPr>
              <w:widowControl/>
              <w:adjustRightInd w:val="0"/>
              <w:snapToGrid w:val="0"/>
              <w:ind w:firstLine="0" w:firstLineChars="0"/>
              <w:jc w:val="center"/>
              <w:rPr>
                <w:rFonts w:ascii="仿宋_GB2312" w:hAnsi="宋体" w:cs="宋体"/>
                <w:color w:val="auto"/>
              </w:rPr>
            </w:pPr>
            <w:r>
              <w:rPr>
                <w:rFonts w:ascii="仿宋_GB2312" w:hAnsi="宋体" w:cs="宋体"/>
                <w:color w:val="auto"/>
              </w:rPr>
              <w:t>17000.00</w:t>
            </w:r>
          </w:p>
        </w:tc>
        <w:tc>
          <w:tcPr>
            <w:tcW w:w="1417" w:type="dxa"/>
            <w:tcBorders>
              <w:right w:val="single" w:color="auto" w:sz="4" w:space="0"/>
            </w:tcBorders>
            <w:vAlign w:val="center"/>
          </w:tcPr>
          <w:p w14:paraId="1F7217E2">
            <w:pPr>
              <w:widowControl/>
              <w:adjustRightInd w:val="0"/>
              <w:snapToGrid w:val="0"/>
              <w:ind w:firstLine="0" w:firstLineChars="0"/>
              <w:jc w:val="center"/>
              <w:rPr>
                <w:rFonts w:ascii="仿宋_GB2312" w:hAnsi="宋体" w:cs="宋体"/>
                <w:color w:val="auto"/>
              </w:rPr>
            </w:pPr>
            <w:r>
              <w:rPr>
                <w:rFonts w:hint="eastAsia" w:ascii="仿宋_GB2312" w:hAnsi="宋体" w:cs="宋体"/>
                <w:color w:val="auto"/>
              </w:rPr>
              <w:t>详见采购文件</w:t>
            </w:r>
          </w:p>
        </w:tc>
        <w:tc>
          <w:tcPr>
            <w:tcW w:w="1357" w:type="dxa"/>
            <w:tcBorders>
              <w:right w:val="single" w:color="auto" w:sz="4" w:space="0"/>
            </w:tcBorders>
            <w:vAlign w:val="center"/>
          </w:tcPr>
          <w:p w14:paraId="4DF7E9F9">
            <w:pPr>
              <w:widowControl/>
              <w:adjustRightInd w:val="0"/>
              <w:snapToGrid w:val="0"/>
              <w:ind w:firstLine="0" w:firstLineChars="0"/>
              <w:jc w:val="center"/>
              <w:rPr>
                <w:rFonts w:ascii="仿宋_GB2312" w:hAnsi="宋体" w:cs="宋体"/>
                <w:color w:val="auto"/>
              </w:rPr>
            </w:pPr>
            <w:r>
              <w:rPr>
                <w:rFonts w:hint="eastAsia" w:ascii="仿宋_GB2312" w:hAnsi="宋体" w:cs="宋体"/>
                <w:color w:val="auto"/>
              </w:rPr>
              <w:t>详见采购文件</w:t>
            </w:r>
          </w:p>
        </w:tc>
      </w:tr>
    </w:tbl>
    <w:p w14:paraId="4B0700F9">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本项目不接受联合体响应</w:t>
      </w:r>
    </w:p>
    <w:p w14:paraId="76340022">
      <w:pPr>
        <w:ind w:firstLine="560"/>
        <w:outlineLvl w:val="0"/>
        <w:rPr>
          <w:rFonts w:ascii="黑体" w:hAnsi="黑体" w:eastAsia="黑体" w:cs="宋体"/>
          <w:color w:val="auto"/>
          <w:szCs w:val="28"/>
        </w:rPr>
      </w:pPr>
      <w:r>
        <w:rPr>
          <w:rFonts w:hint="eastAsia" w:ascii="黑体" w:hAnsi="黑体" w:eastAsia="黑体" w:cs="宋体"/>
          <w:color w:val="auto"/>
          <w:szCs w:val="28"/>
        </w:rPr>
        <w:t>二、申请人的资格要求：</w:t>
      </w:r>
    </w:p>
    <w:p w14:paraId="21BD1D4E">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1.供应商应符合《中华人民共和国政府采购法》第二十二条规定(第一款 银行、保险、石油石化、电力、电信等特殊行业除外)且应为未被列入信用中国网站（www.creditchina.gov.cn）、中国政府采购网(www.ccgp.gov.cn)、信用山东（credit.shandong.gov.cn）等渠道信用记录失信被执行人、重大税收违法案件当事人名单、政府采购严重违法失信行为记录名单；</w:t>
      </w:r>
    </w:p>
    <w:p w14:paraId="732204A3">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2.法律、法规其他规定要求；</w:t>
      </w:r>
    </w:p>
    <w:p w14:paraId="25C5CF0A">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3.落实政府采购政策需满足的资格要求：</w:t>
      </w:r>
      <w:r>
        <w:rPr>
          <w:rFonts w:ascii="仿宋_GB2312" w:hAnsi="仿宋" w:cs="宋体"/>
          <w:color w:val="auto"/>
          <w:spacing w:val="8"/>
          <w:szCs w:val="28"/>
        </w:rPr>
        <w:t>面向中小企业采购</w:t>
      </w:r>
    </w:p>
    <w:p w14:paraId="1DB80538">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4.本项目的特定资格要求：</w:t>
      </w:r>
    </w:p>
    <w:p w14:paraId="70BD8986">
      <w:pPr>
        <w:widowControl/>
        <w:adjustRightInd w:val="0"/>
        <w:ind w:firstLine="139" w:firstLineChars="47"/>
        <w:jc w:val="left"/>
        <w:rPr>
          <w:rFonts w:ascii="仿宋_GB2312" w:hAnsi="仿宋" w:cs="宋体"/>
          <w:color w:val="auto"/>
          <w:spacing w:val="8"/>
          <w:szCs w:val="28"/>
        </w:rPr>
      </w:pPr>
      <w:r>
        <w:rPr>
          <w:rFonts w:hint="eastAsia" w:ascii="仿宋_GB2312" w:hAnsi="仿宋" w:cs="宋体"/>
          <w:color w:val="auto"/>
          <w:spacing w:val="8"/>
          <w:szCs w:val="28"/>
        </w:rPr>
        <w:t>（1）A包具有行政主管部门颁发的水利水电施工总承包三级及以上资质证书并具有安全生产许可证</w:t>
      </w:r>
    </w:p>
    <w:p w14:paraId="73B8EEA5">
      <w:pPr>
        <w:widowControl/>
        <w:adjustRightInd w:val="0"/>
        <w:ind w:firstLine="139" w:firstLineChars="47"/>
        <w:jc w:val="left"/>
        <w:rPr>
          <w:rFonts w:ascii="仿宋_GB2312" w:hAnsi="仿宋" w:cs="宋体"/>
          <w:color w:val="auto"/>
          <w:spacing w:val="8"/>
          <w:szCs w:val="28"/>
        </w:rPr>
      </w:pPr>
      <w:r>
        <w:rPr>
          <w:rFonts w:hint="eastAsia" w:ascii="仿宋_GB2312" w:hAnsi="仿宋" w:cs="宋体"/>
          <w:color w:val="auto"/>
          <w:spacing w:val="8"/>
          <w:szCs w:val="28"/>
        </w:rPr>
        <w:t>（2）B包具有行政主管部门颁发的水利工程施工监理乙级及以上资质证书，项目总监具备全国水利工程建设监理工程师资格证书</w:t>
      </w:r>
    </w:p>
    <w:p w14:paraId="0FBA6F19">
      <w:pPr>
        <w:ind w:firstLine="560"/>
        <w:outlineLvl w:val="0"/>
        <w:rPr>
          <w:rFonts w:ascii="黑体" w:hAnsi="黑体" w:eastAsia="黑体" w:cs="宋体"/>
          <w:color w:val="auto"/>
          <w:szCs w:val="28"/>
        </w:rPr>
      </w:pPr>
      <w:r>
        <w:rPr>
          <w:rFonts w:hint="eastAsia" w:ascii="黑体" w:hAnsi="黑体" w:eastAsia="黑体" w:cs="宋体"/>
          <w:color w:val="auto"/>
          <w:szCs w:val="28"/>
        </w:rPr>
        <w:t>三、获取采购文件</w:t>
      </w:r>
    </w:p>
    <w:p w14:paraId="7709DB12">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1.时间：</w:t>
      </w:r>
      <w:r>
        <w:rPr>
          <w:rFonts w:hint="eastAsia" w:ascii="仿宋_GB2312" w:hAnsi="仿宋" w:cs="宋体"/>
          <w:color w:val="auto"/>
          <w:spacing w:val="8"/>
          <w:szCs w:val="28"/>
          <w:lang w:eastAsia="zh-CN"/>
        </w:rPr>
        <w:t>2024年12月20日</w:t>
      </w:r>
      <w:r>
        <w:rPr>
          <w:rFonts w:ascii="仿宋_GB2312" w:hAnsi="仿宋" w:cs="宋体"/>
          <w:color w:val="auto"/>
          <w:spacing w:val="8"/>
          <w:szCs w:val="28"/>
        </w:rPr>
        <w:t>17时00分</w:t>
      </w:r>
      <w:r>
        <w:rPr>
          <w:rFonts w:hint="eastAsia" w:ascii="仿宋_GB2312" w:hAnsi="仿宋" w:cs="宋体"/>
          <w:color w:val="auto"/>
          <w:spacing w:val="8"/>
          <w:szCs w:val="28"/>
        </w:rPr>
        <w:t>至</w:t>
      </w:r>
      <w:r>
        <w:rPr>
          <w:rFonts w:hint="eastAsia" w:ascii="仿宋_GB2312" w:hAnsi="仿宋" w:cs="宋体"/>
          <w:color w:val="auto"/>
          <w:spacing w:val="8"/>
          <w:szCs w:val="28"/>
          <w:lang w:eastAsia="zh-CN"/>
        </w:rPr>
        <w:t>2024年12月27日</w:t>
      </w:r>
      <w:r>
        <w:rPr>
          <w:rFonts w:ascii="仿宋_GB2312" w:hAnsi="仿宋" w:cs="宋体"/>
          <w:color w:val="auto"/>
          <w:spacing w:val="8"/>
          <w:szCs w:val="28"/>
        </w:rPr>
        <w:t>17时00分</w:t>
      </w:r>
      <w:r>
        <w:rPr>
          <w:rFonts w:hint="eastAsia" w:ascii="仿宋_GB2312" w:hAnsi="仿宋" w:cs="宋体"/>
          <w:color w:val="auto"/>
          <w:spacing w:val="8"/>
          <w:szCs w:val="28"/>
        </w:rPr>
        <w:t>（北京时间）</w:t>
      </w:r>
    </w:p>
    <w:p w14:paraId="7E2A99C2">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2.地点：登录“威海市政府采购电子交易系统”（威海市公共资源交易网（乳山分中心）右侧“交易服务一网通办”登录后选择“政府采购”按钮）获取文件。逾期无法从威海市政府采购电子交易系统中获取文件，未在规定时间内从系统中获取文件的供应商将无法递交电子投标（响应）文件。</w:t>
      </w:r>
    </w:p>
    <w:p w14:paraId="7700C768">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3.方式：本项目须网上获取文件。参加本项目供应商须首先在“中国山东政府采购网”完成注册入库（已注册入库无需重复注册），然后在“威海市交易服务一网通办系统”（威海市公共资源交易网（乳山分中心）右侧“交易服务一网通办”按钮）登录端口注册登记，并办理“安全证书（CA）”和“电子签章”进行获取文件。“安全证书（CA）”和“电子签章”办理详见“威海市公共资源交易网（乳山分中心）”（http://ggzyjy.weihai.cn/rushan/）“办事指南”-“政府采购专区”中“威海市政府采购交易系统供应商使用指南”。</w:t>
      </w:r>
    </w:p>
    <w:p w14:paraId="3C8D27E5">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4.售价：免费</w:t>
      </w:r>
    </w:p>
    <w:p w14:paraId="63A5E459">
      <w:pPr>
        <w:ind w:firstLine="560"/>
        <w:outlineLvl w:val="0"/>
        <w:rPr>
          <w:rFonts w:ascii="黑体" w:hAnsi="黑体" w:eastAsia="黑体" w:cs="宋体"/>
          <w:color w:val="auto"/>
          <w:szCs w:val="28"/>
        </w:rPr>
      </w:pPr>
      <w:r>
        <w:rPr>
          <w:rFonts w:hint="eastAsia" w:ascii="黑体" w:hAnsi="黑体" w:eastAsia="黑体" w:cs="宋体"/>
          <w:color w:val="auto"/>
          <w:szCs w:val="28"/>
        </w:rPr>
        <w:t>四、响应文件提交</w:t>
      </w:r>
    </w:p>
    <w:p w14:paraId="1FC71113">
      <w:pPr>
        <w:widowControl/>
        <w:adjustRightInd w:val="0"/>
        <w:ind w:firstLine="592"/>
        <w:jc w:val="left"/>
        <w:rPr>
          <w:rFonts w:hint="eastAsia" w:ascii="仿宋_GB2312" w:hAnsi="仿宋" w:eastAsia="仿宋_GB2312" w:cs="宋体"/>
          <w:color w:val="auto"/>
          <w:spacing w:val="8"/>
          <w:szCs w:val="28"/>
          <w:lang w:eastAsia="zh-CN"/>
        </w:rPr>
      </w:pPr>
      <w:r>
        <w:rPr>
          <w:rFonts w:hint="eastAsia" w:ascii="仿宋_GB2312" w:hAnsi="仿宋" w:cs="宋体"/>
          <w:color w:val="auto"/>
          <w:spacing w:val="8"/>
          <w:szCs w:val="28"/>
        </w:rPr>
        <w:t>时间：</w:t>
      </w:r>
      <w:r>
        <w:rPr>
          <w:rFonts w:hint="eastAsia" w:ascii="仿宋_GB2312" w:hAnsi="仿宋" w:cs="宋体"/>
          <w:color w:val="auto"/>
          <w:spacing w:val="8"/>
          <w:szCs w:val="28"/>
          <w:lang w:eastAsia="zh-CN"/>
        </w:rPr>
        <w:t>2024年12月20日</w:t>
      </w:r>
      <w:r>
        <w:rPr>
          <w:rFonts w:ascii="仿宋_GB2312" w:hAnsi="仿宋" w:cs="宋体"/>
          <w:color w:val="auto"/>
          <w:spacing w:val="8"/>
          <w:szCs w:val="28"/>
        </w:rPr>
        <w:t>18时00分</w:t>
      </w:r>
      <w:r>
        <w:rPr>
          <w:rFonts w:hint="eastAsia" w:ascii="仿宋_GB2312" w:hAnsi="仿宋" w:cs="宋体"/>
          <w:color w:val="auto"/>
          <w:spacing w:val="8"/>
          <w:szCs w:val="28"/>
        </w:rPr>
        <w:t>至</w:t>
      </w:r>
      <w:r>
        <w:rPr>
          <w:rFonts w:hint="eastAsia" w:ascii="仿宋_GB2312" w:hAnsi="仿宋" w:cs="宋体"/>
          <w:color w:val="auto"/>
          <w:spacing w:val="8"/>
          <w:szCs w:val="28"/>
          <w:lang w:eastAsia="zh-CN"/>
        </w:rPr>
        <w:t>2024年12月31日09时00分</w:t>
      </w:r>
    </w:p>
    <w:p w14:paraId="58FB25C7">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地点：</w:t>
      </w:r>
      <w:r>
        <w:rPr>
          <w:rFonts w:hint="eastAsia" w:ascii="仿宋_GB2312" w:hAnsi="黑体" w:cs="宋体"/>
          <w:color w:val="auto"/>
          <w:spacing w:val="8"/>
          <w:szCs w:val="28"/>
        </w:rPr>
        <w:t>登录“威海市政府采购电子交易系统”（威海市公共资源交易网（乳山分中心）右侧“交易服务一网通办”登录后选择“政府采购”</w:t>
      </w:r>
      <w:r>
        <w:rPr>
          <w:rFonts w:hint="eastAsia" w:ascii="仿宋_GB2312" w:hAnsi="仿宋" w:cs="宋体"/>
          <w:color w:val="auto"/>
          <w:spacing w:val="8"/>
          <w:szCs w:val="28"/>
        </w:rPr>
        <w:t>网上递交。已在威海市政府采购电子交易系统获取文件的供应商在规定时间内递交电子投标（响应）文件。</w:t>
      </w:r>
    </w:p>
    <w:p w14:paraId="1B0304B6">
      <w:pPr>
        <w:widowControl/>
        <w:adjustRightInd w:val="0"/>
        <w:ind w:firstLine="560"/>
        <w:jc w:val="left"/>
        <w:outlineLvl w:val="0"/>
        <w:rPr>
          <w:rFonts w:ascii="仿宋_GB2312" w:hAnsi="仿宋" w:cs="宋体"/>
          <w:color w:val="auto"/>
          <w:spacing w:val="8"/>
          <w:szCs w:val="28"/>
        </w:rPr>
      </w:pPr>
      <w:r>
        <w:rPr>
          <w:rFonts w:hint="eastAsia" w:ascii="黑体" w:hAnsi="黑体" w:eastAsia="黑体" w:cs="宋体"/>
          <w:color w:val="auto"/>
          <w:szCs w:val="28"/>
        </w:rPr>
        <w:t>五、开启</w:t>
      </w:r>
    </w:p>
    <w:p w14:paraId="4F1A1947">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时间：</w:t>
      </w:r>
      <w:r>
        <w:rPr>
          <w:rFonts w:hint="eastAsia" w:ascii="仿宋_GB2312" w:hAnsi="仿宋" w:cs="宋体"/>
          <w:color w:val="auto"/>
          <w:spacing w:val="8"/>
          <w:szCs w:val="28"/>
          <w:lang w:eastAsia="zh-CN"/>
        </w:rPr>
        <w:t>2024年12月31日09时00分</w:t>
      </w:r>
      <w:r>
        <w:rPr>
          <w:rFonts w:hint="eastAsia" w:ascii="仿宋_GB2312" w:hAnsi="仿宋" w:cs="宋体"/>
          <w:color w:val="auto"/>
          <w:spacing w:val="8"/>
          <w:szCs w:val="28"/>
        </w:rPr>
        <w:t>（北京时间）</w:t>
      </w:r>
    </w:p>
    <w:p w14:paraId="6561CDAE">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地点：威海市乳山市深圳路108号市民服务中心三楼</w:t>
      </w:r>
    </w:p>
    <w:p w14:paraId="13C9B5E7">
      <w:pPr>
        <w:ind w:firstLine="560"/>
        <w:outlineLvl w:val="0"/>
        <w:rPr>
          <w:rFonts w:ascii="黑体" w:hAnsi="黑体" w:eastAsia="黑体" w:cs="宋体"/>
          <w:color w:val="auto"/>
          <w:szCs w:val="28"/>
        </w:rPr>
      </w:pPr>
      <w:r>
        <w:rPr>
          <w:rFonts w:hint="eastAsia" w:ascii="黑体" w:hAnsi="黑体" w:eastAsia="黑体" w:cs="宋体"/>
          <w:color w:val="auto"/>
          <w:szCs w:val="28"/>
        </w:rPr>
        <w:t>六、公告期限</w:t>
      </w:r>
    </w:p>
    <w:p w14:paraId="1F7CB56F">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自本公告发布之日起</w:t>
      </w:r>
      <w:r>
        <w:rPr>
          <w:rFonts w:ascii="仿宋_GB2312" w:hAnsi="仿宋" w:cs="宋体"/>
          <w:color w:val="auto"/>
          <w:spacing w:val="8"/>
          <w:szCs w:val="28"/>
        </w:rPr>
        <w:t>5</w:t>
      </w:r>
      <w:r>
        <w:rPr>
          <w:rFonts w:hint="eastAsia" w:ascii="仿宋_GB2312" w:hAnsi="仿宋" w:cs="宋体"/>
          <w:color w:val="auto"/>
          <w:spacing w:val="8"/>
          <w:szCs w:val="28"/>
        </w:rPr>
        <w:t>个工作日。</w:t>
      </w:r>
    </w:p>
    <w:p w14:paraId="3809C53F">
      <w:pPr>
        <w:ind w:firstLine="560"/>
        <w:rPr>
          <w:rFonts w:ascii="黑体" w:hAnsi="黑体" w:eastAsia="黑体" w:cs="宋体"/>
          <w:color w:val="auto"/>
          <w:szCs w:val="28"/>
        </w:rPr>
      </w:pPr>
      <w:r>
        <w:rPr>
          <w:rFonts w:hint="eastAsia" w:ascii="黑体" w:hAnsi="黑体" w:eastAsia="黑体" w:cs="宋体"/>
          <w:color w:val="auto"/>
          <w:szCs w:val="28"/>
        </w:rPr>
        <w:t>七、其他补充事宜</w:t>
      </w:r>
    </w:p>
    <w:p w14:paraId="7BD8E887">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1、同时发布公告的媒体：山东省政府采购信息公开平台、威海市公共资源交易网、威海市公共资源交易网（乳山分中心）。</w:t>
      </w:r>
    </w:p>
    <w:p w14:paraId="7EB88C57">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2、本项目实行全流程电子化，实行远程开标，报价供应商无需到现场，并保持通讯畅通，提前在个人电脑上进行测试确保音频、视频功能可正常使用，因通讯不畅造成的一切后果由供应商自行承担。</w:t>
      </w:r>
    </w:p>
    <w:p w14:paraId="11E8E381">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3、报价截止时间前，随时关注山东省政府采购信息公开平台、威海市公共资源交易网、威海市公共资源交易网（乳山分中心）及威海市乳山市政府采购电子交易系统内变更提醒。</w:t>
      </w:r>
    </w:p>
    <w:p w14:paraId="7C46AFC0">
      <w:pPr>
        <w:ind w:firstLine="560"/>
        <w:outlineLvl w:val="0"/>
        <w:rPr>
          <w:rFonts w:ascii="黑体" w:hAnsi="黑体" w:eastAsia="黑体" w:cs="宋体"/>
          <w:color w:val="auto"/>
          <w:szCs w:val="28"/>
        </w:rPr>
      </w:pPr>
      <w:r>
        <w:rPr>
          <w:rFonts w:hint="eastAsia" w:ascii="黑体" w:hAnsi="黑体" w:eastAsia="黑体" w:cs="宋体"/>
          <w:color w:val="auto"/>
          <w:szCs w:val="28"/>
        </w:rPr>
        <w:t>八、对本次采购提出询问，请按以下方式联系。</w:t>
      </w:r>
    </w:p>
    <w:p w14:paraId="30AECFA4">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1.采购人信息</w:t>
      </w:r>
    </w:p>
    <w:p w14:paraId="7CF642B4">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名  称：</w:t>
      </w:r>
      <w:r>
        <w:rPr>
          <w:rFonts w:ascii="仿宋_GB2312" w:hAnsi="仿宋" w:cs="宋体"/>
          <w:color w:val="auto"/>
          <w:spacing w:val="8"/>
          <w:szCs w:val="28"/>
        </w:rPr>
        <w:t>乳山市水利事务服务中心</w:t>
      </w:r>
    </w:p>
    <w:p w14:paraId="5EC87F68">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地  址：</w:t>
      </w:r>
      <w:r>
        <w:rPr>
          <w:rFonts w:ascii="仿宋_GB2312" w:hAnsi="仿宋" w:cs="宋体"/>
          <w:color w:val="auto"/>
          <w:spacing w:val="8"/>
          <w:szCs w:val="28"/>
        </w:rPr>
        <w:t>乳山市府前路7号</w:t>
      </w:r>
    </w:p>
    <w:p w14:paraId="2CF7146B">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联系方式：</w:t>
      </w:r>
      <w:r>
        <w:rPr>
          <w:rFonts w:ascii="仿宋_GB2312" w:hAnsi="仿宋" w:cs="宋体"/>
          <w:color w:val="auto"/>
          <w:spacing w:val="8"/>
          <w:szCs w:val="28"/>
        </w:rPr>
        <w:t xml:space="preserve">15753635867  </w:t>
      </w:r>
    </w:p>
    <w:p w14:paraId="4CB91EE6">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2.采购代理机构信息</w:t>
      </w:r>
    </w:p>
    <w:p w14:paraId="31CF3969">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名  称：乳山市方正房地产测绘中心</w:t>
      </w:r>
    </w:p>
    <w:p w14:paraId="0CC2126E">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地  址：</w:t>
      </w:r>
      <w:r>
        <w:rPr>
          <w:rFonts w:hint="eastAsia"/>
          <w:color w:val="auto"/>
          <w:shd w:val="clear" w:color="auto" w:fill="FFFFFF"/>
        </w:rPr>
        <w:t>山东省威海市乳山市深圳路108-7</w:t>
      </w:r>
    </w:p>
    <w:p w14:paraId="55FEF934">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联系方式：</w:t>
      </w:r>
      <w:r>
        <w:rPr>
          <w:rFonts w:ascii="仿宋_GB2312" w:hAnsi="仿宋" w:cs="宋体"/>
          <w:color w:val="auto"/>
          <w:spacing w:val="8"/>
          <w:szCs w:val="28"/>
        </w:rPr>
        <w:t>0631-6651889</w:t>
      </w:r>
    </w:p>
    <w:p w14:paraId="3D546974">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3.项目联系方式</w:t>
      </w:r>
    </w:p>
    <w:p w14:paraId="30D913FE">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项目联系人：段云萌</w:t>
      </w:r>
    </w:p>
    <w:p w14:paraId="0A89AF79">
      <w:pPr>
        <w:widowControl/>
        <w:adjustRightInd w:val="0"/>
        <w:ind w:firstLine="592"/>
        <w:jc w:val="left"/>
        <w:rPr>
          <w:rFonts w:ascii="仿宋_GB2312" w:hAnsi="仿宋" w:cs="宋体"/>
          <w:color w:val="auto"/>
          <w:spacing w:val="8"/>
          <w:szCs w:val="28"/>
        </w:rPr>
      </w:pPr>
      <w:r>
        <w:rPr>
          <w:rFonts w:hint="eastAsia" w:ascii="仿宋_GB2312" w:hAnsi="仿宋" w:cs="宋体"/>
          <w:color w:val="auto"/>
          <w:spacing w:val="8"/>
          <w:szCs w:val="28"/>
        </w:rPr>
        <w:t>电  话：</w:t>
      </w:r>
      <w:r>
        <w:rPr>
          <w:rFonts w:ascii="仿宋_GB2312" w:hAnsi="仿宋" w:cs="宋体"/>
          <w:color w:val="auto"/>
          <w:spacing w:val="8"/>
          <w:szCs w:val="28"/>
        </w:rPr>
        <w:t>0631-6651889</w:t>
      </w:r>
    </w:p>
    <w:p w14:paraId="507AA55F">
      <w:pPr>
        <w:widowControl/>
        <w:adjustRightInd w:val="0"/>
        <w:ind w:firstLine="592"/>
        <w:jc w:val="left"/>
        <w:rPr>
          <w:rFonts w:ascii="仿宋_GB2312" w:hAnsi="仿宋" w:cs="宋体"/>
          <w:color w:val="auto"/>
          <w:spacing w:val="8"/>
          <w:szCs w:val="28"/>
        </w:rPr>
      </w:pPr>
    </w:p>
    <w:p w14:paraId="1967AE5B">
      <w:pPr>
        <w:ind w:firstLine="560"/>
        <w:jc w:val="right"/>
        <w:rPr>
          <w:rFonts w:ascii="仿宋_GB2312" w:hAnsi="宋体"/>
          <w:color w:val="auto"/>
          <w:szCs w:val="28"/>
        </w:rPr>
      </w:pPr>
      <w:r>
        <w:rPr>
          <w:rFonts w:hint="eastAsia" w:ascii="仿宋_GB2312" w:hAnsi="宋体" w:cs="宋体"/>
          <w:color w:val="auto"/>
          <w:szCs w:val="28"/>
        </w:rPr>
        <w:t>发布人： 乳山市方正房地产测绘中心</w:t>
      </w:r>
    </w:p>
    <w:p w14:paraId="23D4CB8A">
      <w:pPr>
        <w:widowControl/>
        <w:adjustRightInd w:val="0"/>
        <w:ind w:left="-240" w:firstLine="560"/>
        <w:jc w:val="right"/>
        <w:rPr>
          <w:rFonts w:hint="eastAsia" w:ascii="仿宋_GB2312" w:hAnsi="宋体" w:eastAsia="仿宋_GB2312" w:cs="宋体"/>
          <w:color w:val="auto"/>
          <w:szCs w:val="28"/>
          <w:lang w:eastAsia="zh-CN"/>
        </w:rPr>
      </w:pPr>
      <w:r>
        <w:rPr>
          <w:rFonts w:hint="eastAsia" w:ascii="仿宋_GB2312" w:hAnsi="宋体" w:cs="宋体"/>
          <w:color w:val="auto"/>
          <w:szCs w:val="28"/>
        </w:rPr>
        <w:t>发布时间：</w:t>
      </w:r>
      <w:r>
        <w:rPr>
          <w:rFonts w:hint="eastAsia" w:ascii="仿宋_GB2312" w:hAnsi="宋体" w:cs="宋体"/>
          <w:color w:val="auto"/>
          <w:szCs w:val="28"/>
          <w:lang w:eastAsia="zh-CN"/>
        </w:rPr>
        <w:t>2024年12月20日</w:t>
      </w:r>
    </w:p>
    <w:p w14:paraId="4800CAF3">
      <w:pPr>
        <w:widowControl/>
        <w:adjustRightInd w:val="0"/>
        <w:ind w:left="-240" w:firstLine="560"/>
        <w:jc w:val="right"/>
        <w:rPr>
          <w:rFonts w:ascii="仿宋_GB2312" w:hAnsi="宋体" w:cs="宋体"/>
          <w:color w:val="auto"/>
          <w:szCs w:val="28"/>
        </w:rPr>
      </w:pPr>
    </w:p>
    <w:p w14:paraId="6BBED3A7">
      <w:pPr>
        <w:widowControl/>
        <w:adjustRightInd w:val="0"/>
        <w:ind w:left="-398" w:leftChars="-142" w:right="280" w:firstLine="640"/>
        <w:jc w:val="left"/>
        <w:rPr>
          <w:rFonts w:ascii="黑体" w:hAnsi="黑体" w:eastAsia="黑体" w:cs="宋体"/>
          <w:color w:val="auto"/>
          <w:sz w:val="32"/>
          <w:szCs w:val="32"/>
        </w:rPr>
      </w:pPr>
      <w:r>
        <w:rPr>
          <w:rFonts w:ascii="黑体" w:hAnsi="黑体" w:eastAsia="黑体" w:cs="宋体"/>
          <w:color w:val="auto"/>
          <w:sz w:val="32"/>
          <w:szCs w:val="32"/>
        </w:rPr>
        <w:t>温馨提示</w:t>
      </w:r>
      <w:r>
        <w:rPr>
          <w:rFonts w:hint="eastAsia" w:ascii="黑体" w:hAnsi="黑体" w:eastAsia="黑体" w:cs="宋体"/>
          <w:color w:val="auto"/>
          <w:sz w:val="32"/>
          <w:szCs w:val="32"/>
        </w:rPr>
        <w:t>：</w:t>
      </w:r>
    </w:p>
    <w:p w14:paraId="7C45245F">
      <w:pPr>
        <w:widowControl/>
        <w:adjustRightInd w:val="0"/>
        <w:ind w:left="-238" w:firstLine="560"/>
        <w:jc w:val="left"/>
        <w:rPr>
          <w:rFonts w:ascii="仿宋_GB2312" w:hAnsi="宋体" w:cs="宋体"/>
          <w:color w:val="auto"/>
        </w:rPr>
      </w:pPr>
      <w:r>
        <w:rPr>
          <w:rFonts w:hint="eastAsia" w:ascii="仿宋_GB2312" w:hAnsi="宋体" w:cs="宋体"/>
          <w:color w:val="auto"/>
        </w:rPr>
        <w:t>为缓解中小企业融资困难，山东省财政厅、威海市财政局等部门出台了政府采购合同融资措施，贵单位如有融资需求，可登录“威海市公共资源交易网-企业融资服务平台专区”了解详情。</w:t>
      </w:r>
    </w:p>
    <w:p w14:paraId="298EA296">
      <w:pPr>
        <w:widowControl/>
        <w:adjustRightInd w:val="0"/>
        <w:ind w:left="-238" w:firstLine="560"/>
        <w:jc w:val="left"/>
        <w:rPr>
          <w:rFonts w:ascii="仿宋_GB2312" w:hAnsi="宋体" w:cs="宋体"/>
          <w:color w:val="auto"/>
        </w:rPr>
      </w:pPr>
      <w:r>
        <w:rPr>
          <w:rFonts w:hint="eastAsia" w:ascii="仿宋_GB2312" w:hAnsi="宋体" w:cs="宋体"/>
          <w:color w:val="auto"/>
        </w:rPr>
        <w:t>1.山东省政府采购 合同融资与履约保函服务平台</w:t>
      </w:r>
    </w:p>
    <w:p w14:paraId="16C36A3F">
      <w:pPr>
        <w:widowControl/>
        <w:adjustRightInd w:val="0"/>
        <w:ind w:left="480" w:right="280" w:firstLine="560"/>
        <w:rPr>
          <w:rFonts w:ascii="仿宋_GB2312" w:hAnsi="宋体" w:cs="宋体"/>
          <w:color w:val="auto"/>
        </w:rPr>
      </w:pPr>
      <w:r>
        <w:rPr>
          <w:color w:val="auto"/>
        </w:rPr>
        <w:drawing>
          <wp:anchor distT="0" distB="0" distL="114300" distR="114300" simplePos="0" relativeHeight="251659264" behindDoc="0" locked="0" layoutInCell="1" allowOverlap="1">
            <wp:simplePos x="0" y="0"/>
            <wp:positionH relativeFrom="column">
              <wp:posOffset>3992245</wp:posOffset>
            </wp:positionH>
            <wp:positionV relativeFrom="paragraph">
              <wp:posOffset>64135</wp:posOffset>
            </wp:positionV>
            <wp:extent cx="993775" cy="836295"/>
            <wp:effectExtent l="0" t="0" r="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993775" cy="836295"/>
                    </a:xfrm>
                    <a:prstGeom prst="rect">
                      <a:avLst/>
                    </a:prstGeom>
                    <a:noFill/>
                    <a:ln>
                      <a:noFill/>
                    </a:ln>
                  </pic:spPr>
                </pic:pic>
              </a:graphicData>
            </a:graphic>
          </wp:anchor>
        </w:drawing>
      </w:r>
    </w:p>
    <w:p w14:paraId="41B70242">
      <w:pPr>
        <w:widowControl/>
        <w:adjustRightInd w:val="0"/>
        <w:ind w:left="480" w:right="280" w:firstLine="560"/>
        <w:rPr>
          <w:rFonts w:ascii="仿宋_GB2312" w:hAnsi="宋体" w:cs="宋体"/>
          <w:color w:val="auto"/>
        </w:rPr>
      </w:pPr>
    </w:p>
    <w:p w14:paraId="13D704C6">
      <w:pPr>
        <w:widowControl/>
        <w:adjustRightInd w:val="0"/>
        <w:ind w:right="560" w:firstLine="280" w:firstLineChars="100"/>
        <w:rPr>
          <w:rFonts w:ascii="仿宋_GB2312" w:hAnsi="宋体" w:cs="宋体"/>
          <w:color w:val="auto"/>
        </w:rPr>
      </w:pPr>
      <w:r>
        <w:rPr>
          <w:rFonts w:hint="eastAsia" w:ascii="仿宋_GB2312" w:hAnsi="宋体" w:cs="宋体"/>
          <w:color w:val="auto"/>
        </w:rPr>
        <w:t>网址：</w:t>
      </w:r>
      <w:r>
        <w:rPr>
          <w:color w:val="auto"/>
        </w:rPr>
        <w:fldChar w:fldCharType="begin"/>
      </w:r>
      <w:r>
        <w:rPr>
          <w:color w:val="auto"/>
        </w:rPr>
        <w:instrText xml:space="preserve"> HYPERLINK "http://www.ccgp-shandong-rz.cn/" </w:instrText>
      </w:r>
      <w:r>
        <w:rPr>
          <w:color w:val="auto"/>
        </w:rPr>
        <w:fldChar w:fldCharType="separate"/>
      </w:r>
      <w:r>
        <w:rPr>
          <w:rFonts w:hint="eastAsia" w:ascii="仿宋_GB2312" w:hAnsi="宋体" w:cs="宋体"/>
          <w:color w:val="auto"/>
        </w:rPr>
        <w:t>http://www.ccgp-shandong-rz.cn/</w:t>
      </w:r>
      <w:r>
        <w:rPr>
          <w:rFonts w:hint="eastAsia" w:ascii="仿宋_GB2312" w:hAnsi="宋体" w:cs="宋体"/>
          <w:color w:val="auto"/>
        </w:rPr>
        <w:fldChar w:fldCharType="end"/>
      </w:r>
    </w:p>
    <w:p w14:paraId="1F649C09">
      <w:pPr>
        <w:widowControl/>
        <w:adjustRightInd w:val="0"/>
        <w:ind w:firstLine="280" w:firstLineChars="100"/>
        <w:jc w:val="left"/>
        <w:rPr>
          <w:rFonts w:ascii="仿宋_GB2312" w:hAnsi="宋体" w:cs="宋体"/>
          <w:color w:val="auto"/>
        </w:rPr>
      </w:pPr>
      <w:r>
        <w:rPr>
          <w:rFonts w:hint="eastAsia" w:ascii="仿宋_GB2312" w:hAnsi="宋体" w:cs="宋体"/>
          <w:color w:val="auto"/>
        </w:rPr>
        <w:t>2.信财银保 企业融资担保服务平台</w:t>
      </w:r>
    </w:p>
    <w:p w14:paraId="3C48621C">
      <w:pPr>
        <w:widowControl/>
        <w:adjustRightInd w:val="0"/>
        <w:ind w:firstLine="280" w:firstLineChars="100"/>
        <w:jc w:val="left"/>
        <w:rPr>
          <w:rFonts w:ascii="仿宋_GB2312" w:hAnsi="宋体" w:cs="宋体"/>
          <w:color w:val="auto"/>
        </w:rPr>
      </w:pPr>
      <w:r>
        <w:rPr>
          <w:rFonts w:hint="eastAsia" w:ascii="仿宋_GB2312" w:hAnsi="宋体" w:cs="宋体"/>
          <w:color w:val="auto"/>
        </w:rPr>
        <w:t>网址：</w:t>
      </w:r>
      <w:r>
        <w:rPr>
          <w:color w:val="auto"/>
        </w:rPr>
        <w:fldChar w:fldCharType="begin"/>
      </w:r>
      <w:r>
        <w:rPr>
          <w:color w:val="auto"/>
        </w:rPr>
        <w:instrText xml:space="preserve"> HYPERLINK "http://xcyb.weihai.cn/tz/financing-service" </w:instrText>
      </w:r>
      <w:r>
        <w:rPr>
          <w:color w:val="auto"/>
        </w:rPr>
        <w:fldChar w:fldCharType="separate"/>
      </w:r>
      <w:r>
        <w:rPr>
          <w:rFonts w:hint="eastAsia" w:ascii="仿宋_GB2312" w:hAnsi="宋体" w:cs="宋体"/>
          <w:color w:val="auto"/>
        </w:rPr>
        <w:t>http://xcyb.weihai.cn/tz/financing-service</w:t>
      </w:r>
      <w:r>
        <w:rPr>
          <w:rFonts w:hint="eastAsia" w:ascii="仿宋_GB2312" w:hAnsi="宋体" w:cs="宋体"/>
          <w:color w:val="auto"/>
        </w:rPr>
        <w:fldChar w:fldCharType="end"/>
      </w:r>
    </w:p>
    <w:p w14:paraId="6C66775B">
      <w:pPr>
        <w:widowControl/>
        <w:adjustRightInd w:val="0"/>
        <w:ind w:left="-240" w:firstLine="560"/>
        <w:jc w:val="right"/>
        <w:rPr>
          <w:rFonts w:ascii="仿宋_GB2312" w:hAnsi="宋体" w:cs="宋体"/>
          <w:color w:val="auto"/>
          <w:szCs w:val="28"/>
        </w:rPr>
      </w:pPr>
    </w:p>
    <w:p w14:paraId="00E9D135">
      <w:pPr>
        <w:widowControl/>
        <w:adjustRightInd w:val="0"/>
        <w:ind w:left="-240" w:firstLine="560"/>
        <w:jc w:val="right"/>
        <w:rPr>
          <w:rFonts w:ascii="仿宋_GB2312" w:hAnsi="宋体" w:cs="宋体"/>
          <w:color w:val="auto"/>
          <w:szCs w:val="28"/>
        </w:rPr>
      </w:pPr>
    </w:p>
    <w:p w14:paraId="154DDC33">
      <w:pPr>
        <w:pStyle w:val="43"/>
        <w:spacing w:before="100" w:beforeAutospacing="1" w:after="100" w:afterAutospacing="1" w:line="415" w:lineRule="auto"/>
        <w:ind w:firstLine="0" w:firstLineChars="0"/>
        <w:rPr>
          <w:rFonts w:ascii="楷体_GB2312" w:hAnsi="宋体" w:eastAsia="楷体_GB2312" w:cs="宋体"/>
          <w:color w:val="auto"/>
          <w:sz w:val="44"/>
          <w:szCs w:val="44"/>
        </w:rPr>
      </w:pPr>
      <w:r>
        <w:rPr>
          <w:rFonts w:ascii="楷体_GB2312" w:hAnsi="宋体" w:eastAsia="楷体_GB2312" w:cs="宋体"/>
          <w:color w:val="auto"/>
          <w:sz w:val="44"/>
          <w:szCs w:val="44"/>
        </w:rPr>
        <w:br w:type="page"/>
      </w:r>
      <w:r>
        <w:rPr>
          <w:rFonts w:hint="eastAsia" w:ascii="楷体_GB2312" w:hAnsi="宋体" w:eastAsia="楷体_GB2312" w:cs="宋体"/>
          <w:color w:val="auto"/>
          <w:sz w:val="44"/>
          <w:szCs w:val="44"/>
        </w:rPr>
        <w:t>第二章 投标（响应）须知</w:t>
      </w:r>
    </w:p>
    <w:p w14:paraId="4B69B78B">
      <w:pPr>
        <w:ind w:firstLine="560"/>
        <w:rPr>
          <w:color w:val="auto"/>
        </w:rPr>
        <w:sectPr>
          <w:headerReference r:id="rId15" w:type="default"/>
          <w:footerReference r:id="rId16" w:type="default"/>
          <w:pgSz w:w="11906" w:h="16838"/>
          <w:pgMar w:top="1440" w:right="1077" w:bottom="1440" w:left="1077" w:header="851" w:footer="992" w:gutter="0"/>
          <w:cols w:space="720" w:num="1"/>
          <w:docGrid w:type="lines" w:linePitch="312" w:charSpace="0"/>
        </w:sectPr>
      </w:pPr>
    </w:p>
    <w:p w14:paraId="0EAC1364">
      <w:pPr>
        <w:tabs>
          <w:tab w:val="left" w:pos="4111"/>
        </w:tabs>
        <w:spacing w:line="560" w:lineRule="exact"/>
        <w:ind w:firstLine="0" w:firstLineChars="0"/>
        <w:jc w:val="left"/>
        <w:rPr>
          <w:rFonts w:ascii="宋体" w:hAnsi="宋体"/>
          <w:color w:val="auto"/>
          <w:szCs w:val="21"/>
        </w:rPr>
      </w:pPr>
    </w:p>
    <w:p w14:paraId="0D945A1B">
      <w:pPr>
        <w:spacing w:line="560" w:lineRule="exact"/>
        <w:ind w:firstLine="640"/>
        <w:jc w:val="center"/>
        <w:rPr>
          <w:rFonts w:ascii="黑体" w:hAnsi="黑体" w:eastAsia="黑体"/>
          <w:color w:val="auto"/>
          <w:sz w:val="32"/>
          <w:szCs w:val="32"/>
        </w:rPr>
      </w:pPr>
      <w:r>
        <w:rPr>
          <w:rFonts w:hint="eastAsia" w:ascii="黑体" w:hAnsi="黑体" w:eastAsia="黑体"/>
          <w:color w:val="auto"/>
          <w:sz w:val="32"/>
          <w:szCs w:val="32"/>
        </w:rPr>
        <w:t>响应</w:t>
      </w:r>
      <w:r>
        <w:rPr>
          <w:rFonts w:ascii="黑体" w:hAnsi="黑体" w:eastAsia="黑体"/>
          <w:color w:val="auto"/>
          <w:sz w:val="32"/>
          <w:szCs w:val="32"/>
        </w:rPr>
        <w:t>须知前附表</w:t>
      </w:r>
    </w:p>
    <w:p w14:paraId="22FF593A">
      <w:pPr>
        <w:spacing w:line="560" w:lineRule="exact"/>
        <w:ind w:firstLine="560"/>
        <w:jc w:val="left"/>
        <w:rPr>
          <w:rFonts w:ascii="仿宋_GB2312" w:hAnsi="宋体"/>
          <w:color w:val="auto"/>
          <w:szCs w:val="28"/>
        </w:rPr>
      </w:pPr>
      <w:r>
        <w:rPr>
          <w:rFonts w:hint="eastAsia" w:ascii="仿宋_GB2312" w:hAnsi="宋体"/>
          <w:color w:val="auto"/>
          <w:szCs w:val="28"/>
        </w:rPr>
        <w:t>本表是本采购项目的具体资料，是对投标（响应）须知的汇总和补充，如有矛盾，应以本资料表为准。</w:t>
      </w:r>
    </w:p>
    <w:p w14:paraId="2195703F">
      <w:pPr>
        <w:spacing w:line="560" w:lineRule="exact"/>
        <w:ind w:firstLine="560"/>
        <w:jc w:val="left"/>
        <w:rPr>
          <w:rFonts w:ascii="仿宋_GB2312" w:hAnsi="宋体"/>
          <w:color w:val="auto"/>
          <w:szCs w:val="28"/>
        </w:rPr>
      </w:pPr>
    </w:p>
    <w:tbl>
      <w:tblPr>
        <w:tblStyle w:val="45"/>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 w:type="dxa"/>
          <w:bottom w:w="0" w:type="dxa"/>
          <w:right w:w="10" w:type="dxa"/>
        </w:tblCellMar>
      </w:tblPr>
      <w:tblGrid>
        <w:gridCol w:w="908"/>
        <w:gridCol w:w="8291"/>
      </w:tblGrid>
      <w:tr w14:paraId="5F8CEA0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08" w:type="dxa"/>
            <w:tcBorders>
              <w:top w:val="single" w:color="auto" w:sz="4" w:space="0"/>
              <w:bottom w:val="single" w:color="auto" w:sz="4" w:space="0"/>
              <w:right w:val="single" w:color="auto" w:sz="4" w:space="0"/>
            </w:tcBorders>
            <w:vAlign w:val="center"/>
          </w:tcPr>
          <w:p w14:paraId="5BCD08B1">
            <w:pPr>
              <w:spacing w:line="560" w:lineRule="exact"/>
              <w:ind w:firstLine="0" w:firstLineChars="0"/>
              <w:jc w:val="center"/>
              <w:rPr>
                <w:rFonts w:ascii="仿宋_GB2312" w:hAnsi="宋体"/>
                <w:color w:val="auto"/>
                <w:szCs w:val="28"/>
              </w:rPr>
            </w:pPr>
            <w:r>
              <w:rPr>
                <w:rFonts w:hint="eastAsia" w:ascii="仿宋_GB2312" w:hAnsi="宋体"/>
                <w:color w:val="auto"/>
                <w:szCs w:val="28"/>
              </w:rPr>
              <w:t>序号</w:t>
            </w:r>
          </w:p>
        </w:tc>
        <w:tc>
          <w:tcPr>
            <w:tcW w:w="8291" w:type="dxa"/>
            <w:tcBorders>
              <w:top w:val="single" w:color="auto" w:sz="4" w:space="0"/>
              <w:left w:val="single" w:color="auto" w:sz="4" w:space="0"/>
              <w:bottom w:val="single" w:color="auto" w:sz="4" w:space="0"/>
            </w:tcBorders>
            <w:vAlign w:val="center"/>
          </w:tcPr>
          <w:p w14:paraId="6E1F992C">
            <w:pPr>
              <w:spacing w:line="560" w:lineRule="exact"/>
              <w:ind w:firstLine="0" w:firstLineChars="0"/>
              <w:jc w:val="center"/>
              <w:rPr>
                <w:rFonts w:ascii="仿宋_GB2312" w:hAnsi="宋体"/>
                <w:color w:val="auto"/>
                <w:szCs w:val="28"/>
              </w:rPr>
            </w:pPr>
            <w:r>
              <w:rPr>
                <w:rFonts w:hint="eastAsia" w:ascii="仿宋_GB2312" w:hAnsi="宋体"/>
                <w:color w:val="auto"/>
                <w:szCs w:val="28"/>
              </w:rPr>
              <w:t>内           容</w:t>
            </w:r>
          </w:p>
        </w:tc>
      </w:tr>
      <w:tr w14:paraId="0E45ACB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08" w:type="dxa"/>
            <w:tcBorders>
              <w:top w:val="single" w:color="auto" w:sz="4" w:space="0"/>
              <w:bottom w:val="single" w:color="auto" w:sz="4" w:space="0"/>
              <w:right w:val="single" w:color="auto" w:sz="4" w:space="0"/>
            </w:tcBorders>
            <w:vAlign w:val="center"/>
          </w:tcPr>
          <w:p w14:paraId="22A0619B">
            <w:pPr>
              <w:spacing w:line="560" w:lineRule="exact"/>
              <w:ind w:firstLine="0" w:firstLineChars="0"/>
              <w:jc w:val="center"/>
              <w:rPr>
                <w:rFonts w:ascii="仿宋_GB2312" w:hAnsi="宋体"/>
                <w:color w:val="auto"/>
                <w:szCs w:val="28"/>
              </w:rPr>
            </w:pPr>
            <w:r>
              <w:rPr>
                <w:rFonts w:hint="eastAsia" w:ascii="仿宋_GB2312" w:hAnsi="宋体"/>
                <w:color w:val="auto"/>
                <w:szCs w:val="28"/>
              </w:rPr>
              <w:t>1</w:t>
            </w:r>
          </w:p>
        </w:tc>
        <w:tc>
          <w:tcPr>
            <w:tcW w:w="8291" w:type="dxa"/>
            <w:tcBorders>
              <w:top w:val="single" w:color="auto" w:sz="4" w:space="0"/>
              <w:left w:val="single" w:color="auto" w:sz="4" w:space="0"/>
              <w:bottom w:val="single" w:color="auto" w:sz="4" w:space="0"/>
            </w:tcBorders>
            <w:vAlign w:val="center"/>
          </w:tcPr>
          <w:p w14:paraId="473B5132">
            <w:pPr>
              <w:spacing w:line="560" w:lineRule="exact"/>
              <w:ind w:firstLine="0" w:firstLineChars="0"/>
              <w:rPr>
                <w:rFonts w:ascii="仿宋_GB2312" w:hAnsi="宋体"/>
                <w:color w:val="auto"/>
                <w:szCs w:val="28"/>
              </w:rPr>
            </w:pPr>
            <w:r>
              <w:rPr>
                <w:rFonts w:hint="eastAsia" w:ascii="仿宋_GB2312" w:hAnsi="宋体"/>
                <w:color w:val="auto"/>
                <w:szCs w:val="28"/>
              </w:rPr>
              <w:t>项目名称：</w:t>
            </w:r>
            <w:r>
              <w:rPr>
                <w:rFonts w:ascii="仿宋_GB2312" w:hAnsi="宋体"/>
                <w:color w:val="auto"/>
                <w:szCs w:val="28"/>
              </w:rPr>
              <w:t xml:space="preserve"> 乳山市2024年水库移民扶持基金项目和大中型水库移民后期扶持人口自然变化结余资金项目</w:t>
            </w:r>
          </w:p>
        </w:tc>
      </w:tr>
      <w:tr w14:paraId="63B9749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13" w:hRule="atLeast"/>
          <w:jc w:val="center"/>
        </w:trPr>
        <w:tc>
          <w:tcPr>
            <w:tcW w:w="908" w:type="dxa"/>
            <w:tcBorders>
              <w:top w:val="single" w:color="auto" w:sz="4" w:space="0"/>
              <w:bottom w:val="single" w:color="auto" w:sz="4" w:space="0"/>
              <w:right w:val="single" w:color="auto" w:sz="4" w:space="0"/>
            </w:tcBorders>
            <w:vAlign w:val="center"/>
          </w:tcPr>
          <w:p w14:paraId="1667572F">
            <w:pPr>
              <w:spacing w:line="560" w:lineRule="exact"/>
              <w:ind w:firstLine="0" w:firstLineChars="0"/>
              <w:jc w:val="center"/>
              <w:rPr>
                <w:rFonts w:ascii="仿宋_GB2312" w:hAnsi="宋体"/>
                <w:color w:val="auto"/>
                <w:szCs w:val="28"/>
              </w:rPr>
            </w:pPr>
            <w:r>
              <w:rPr>
                <w:rFonts w:hint="eastAsia" w:ascii="仿宋_GB2312" w:hAnsi="宋体"/>
                <w:color w:val="auto"/>
                <w:szCs w:val="28"/>
              </w:rPr>
              <w:t>2</w:t>
            </w:r>
          </w:p>
        </w:tc>
        <w:tc>
          <w:tcPr>
            <w:tcW w:w="8291" w:type="dxa"/>
            <w:tcBorders>
              <w:top w:val="single" w:color="auto" w:sz="4" w:space="0"/>
              <w:left w:val="single" w:color="auto" w:sz="4" w:space="0"/>
              <w:bottom w:val="single" w:color="auto" w:sz="4" w:space="0"/>
            </w:tcBorders>
            <w:vAlign w:val="center"/>
          </w:tcPr>
          <w:p w14:paraId="4DEB0261">
            <w:pPr>
              <w:spacing w:line="560" w:lineRule="exact"/>
              <w:ind w:firstLine="0" w:firstLineChars="0"/>
              <w:rPr>
                <w:rFonts w:hint="eastAsia" w:ascii="仿宋_GB2312" w:hAnsi="宋体" w:eastAsia="仿宋_GB2312"/>
                <w:color w:val="auto"/>
                <w:szCs w:val="28"/>
                <w:lang w:eastAsia="zh-CN"/>
              </w:rPr>
            </w:pPr>
            <w:r>
              <w:rPr>
                <w:rFonts w:hint="eastAsia" w:ascii="仿宋_GB2312" w:hAnsi="宋体"/>
                <w:color w:val="auto"/>
                <w:szCs w:val="28"/>
              </w:rPr>
              <w:t>项目编号：</w:t>
            </w:r>
            <w:r>
              <w:rPr>
                <w:rFonts w:hint="eastAsia" w:ascii="仿宋_GB2312" w:hAnsi="宋体"/>
                <w:color w:val="auto"/>
                <w:szCs w:val="28"/>
                <w:lang w:eastAsia="zh-CN"/>
              </w:rPr>
              <w:t>SDGP371083000202402000114</w:t>
            </w:r>
          </w:p>
        </w:tc>
      </w:tr>
      <w:tr w14:paraId="5E2D2B0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346" w:hRule="atLeast"/>
          <w:jc w:val="center"/>
        </w:trPr>
        <w:tc>
          <w:tcPr>
            <w:tcW w:w="908" w:type="dxa"/>
            <w:tcBorders>
              <w:top w:val="single" w:color="auto" w:sz="4" w:space="0"/>
              <w:bottom w:val="single" w:color="auto" w:sz="4" w:space="0"/>
              <w:right w:val="single" w:color="auto" w:sz="4" w:space="0"/>
            </w:tcBorders>
            <w:vAlign w:val="center"/>
          </w:tcPr>
          <w:p w14:paraId="1FA0D325">
            <w:pPr>
              <w:spacing w:line="560" w:lineRule="exact"/>
              <w:ind w:firstLine="0" w:firstLineChars="0"/>
              <w:jc w:val="center"/>
              <w:rPr>
                <w:rFonts w:ascii="仿宋_GB2312" w:hAnsi="宋体"/>
                <w:color w:val="auto"/>
                <w:szCs w:val="28"/>
              </w:rPr>
            </w:pPr>
            <w:r>
              <w:rPr>
                <w:rFonts w:hint="eastAsia" w:ascii="仿宋_GB2312" w:hAnsi="宋体"/>
                <w:color w:val="auto"/>
                <w:szCs w:val="28"/>
              </w:rPr>
              <w:t>3</w:t>
            </w:r>
          </w:p>
        </w:tc>
        <w:tc>
          <w:tcPr>
            <w:tcW w:w="8291" w:type="dxa"/>
            <w:tcBorders>
              <w:top w:val="single" w:color="auto" w:sz="4" w:space="0"/>
              <w:left w:val="single" w:color="auto" w:sz="4" w:space="0"/>
              <w:bottom w:val="single" w:color="auto" w:sz="4" w:space="0"/>
            </w:tcBorders>
            <w:vAlign w:val="center"/>
          </w:tcPr>
          <w:p w14:paraId="32C5BDE9">
            <w:pPr>
              <w:spacing w:line="560" w:lineRule="exact"/>
              <w:ind w:firstLine="0" w:firstLineChars="0"/>
              <w:rPr>
                <w:rFonts w:ascii="仿宋_GB2312" w:hAnsi="宋体"/>
                <w:color w:val="auto"/>
                <w:szCs w:val="28"/>
              </w:rPr>
            </w:pPr>
            <w:r>
              <w:rPr>
                <w:rFonts w:hint="eastAsia" w:ascii="仿宋_GB2312" w:hAnsi="宋体"/>
                <w:color w:val="auto"/>
                <w:szCs w:val="28"/>
              </w:rPr>
              <w:t>采购人名称：</w:t>
            </w:r>
            <w:r>
              <w:rPr>
                <w:rFonts w:ascii="仿宋_GB2312" w:hAnsi="宋体"/>
                <w:color w:val="auto"/>
                <w:szCs w:val="28"/>
              </w:rPr>
              <w:t>乳山市水利事务服务中心</w:t>
            </w:r>
          </w:p>
          <w:p w14:paraId="3465BB7C">
            <w:pPr>
              <w:spacing w:line="560" w:lineRule="exact"/>
              <w:ind w:firstLine="0" w:firstLineChars="0"/>
              <w:rPr>
                <w:rFonts w:ascii="仿宋_GB2312" w:hAnsi="宋体"/>
                <w:color w:val="auto"/>
                <w:szCs w:val="28"/>
              </w:rPr>
            </w:pPr>
            <w:r>
              <w:rPr>
                <w:rFonts w:hint="eastAsia" w:ascii="仿宋_GB2312" w:hAnsi="宋体"/>
                <w:color w:val="auto"/>
                <w:szCs w:val="28"/>
              </w:rPr>
              <w:t>地址：</w:t>
            </w:r>
            <w:r>
              <w:rPr>
                <w:rFonts w:ascii="仿宋_GB2312" w:hAnsi="仿宋" w:cs="宋体"/>
                <w:color w:val="auto"/>
                <w:spacing w:val="8"/>
                <w:szCs w:val="28"/>
              </w:rPr>
              <w:t>乳山市府前路7号</w:t>
            </w:r>
          </w:p>
          <w:p w14:paraId="3794BD01">
            <w:pPr>
              <w:spacing w:line="560" w:lineRule="exact"/>
              <w:ind w:firstLine="0" w:firstLineChars="0"/>
              <w:rPr>
                <w:rFonts w:ascii="仿宋_GB2312" w:hAnsi="宋体"/>
                <w:color w:val="auto"/>
                <w:szCs w:val="28"/>
              </w:rPr>
            </w:pPr>
            <w:r>
              <w:rPr>
                <w:rFonts w:hint="eastAsia" w:ascii="仿宋_GB2312" w:hAnsi="宋体"/>
                <w:color w:val="auto"/>
                <w:szCs w:val="28"/>
              </w:rPr>
              <w:t xml:space="preserve">联系人：郑琦霖 </w:t>
            </w:r>
          </w:p>
          <w:p w14:paraId="500D72B1">
            <w:pPr>
              <w:spacing w:line="560" w:lineRule="exact"/>
              <w:ind w:firstLine="0" w:firstLineChars="0"/>
              <w:rPr>
                <w:rFonts w:ascii="仿宋_GB2312" w:hAnsi="宋体"/>
                <w:color w:val="auto"/>
                <w:szCs w:val="28"/>
              </w:rPr>
            </w:pPr>
            <w:r>
              <w:rPr>
                <w:rFonts w:hint="eastAsia" w:ascii="仿宋_GB2312" w:hAnsi="宋体"/>
                <w:color w:val="auto"/>
                <w:szCs w:val="28"/>
              </w:rPr>
              <w:t>联系方式：</w:t>
            </w:r>
            <w:r>
              <w:rPr>
                <w:rFonts w:ascii="仿宋_GB2312" w:hAnsi="宋体"/>
                <w:color w:val="auto"/>
                <w:szCs w:val="28"/>
              </w:rPr>
              <w:t xml:space="preserve">15753635867  </w:t>
            </w:r>
          </w:p>
        </w:tc>
      </w:tr>
      <w:tr w14:paraId="6A6BCC6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1389" w:hRule="atLeast"/>
          <w:jc w:val="center"/>
        </w:trPr>
        <w:tc>
          <w:tcPr>
            <w:tcW w:w="908" w:type="dxa"/>
            <w:tcBorders>
              <w:top w:val="single" w:color="auto" w:sz="4" w:space="0"/>
              <w:bottom w:val="single" w:color="auto" w:sz="4" w:space="0"/>
              <w:right w:val="single" w:color="auto" w:sz="4" w:space="0"/>
            </w:tcBorders>
            <w:vAlign w:val="center"/>
          </w:tcPr>
          <w:p w14:paraId="65C6EF7E">
            <w:pPr>
              <w:spacing w:line="560" w:lineRule="exact"/>
              <w:ind w:firstLine="0" w:firstLineChars="0"/>
              <w:jc w:val="center"/>
              <w:rPr>
                <w:rFonts w:ascii="仿宋_GB2312" w:hAnsi="宋体"/>
                <w:color w:val="auto"/>
                <w:szCs w:val="28"/>
              </w:rPr>
            </w:pPr>
            <w:r>
              <w:rPr>
                <w:rFonts w:hint="eastAsia" w:ascii="仿宋_GB2312" w:hAnsi="宋体"/>
                <w:color w:val="auto"/>
                <w:szCs w:val="28"/>
              </w:rPr>
              <w:t>4</w:t>
            </w:r>
          </w:p>
        </w:tc>
        <w:tc>
          <w:tcPr>
            <w:tcW w:w="8291" w:type="dxa"/>
            <w:tcBorders>
              <w:top w:val="single" w:color="auto" w:sz="4" w:space="0"/>
              <w:left w:val="single" w:color="auto" w:sz="4" w:space="0"/>
              <w:bottom w:val="single" w:color="auto" w:sz="4" w:space="0"/>
            </w:tcBorders>
            <w:vAlign w:val="center"/>
          </w:tcPr>
          <w:p w14:paraId="36AA9630">
            <w:pPr>
              <w:spacing w:line="560" w:lineRule="exact"/>
              <w:ind w:firstLine="0" w:firstLineChars="0"/>
              <w:rPr>
                <w:rFonts w:ascii="仿宋_GB2312" w:hAnsi="宋体"/>
                <w:color w:val="auto"/>
                <w:szCs w:val="28"/>
              </w:rPr>
            </w:pPr>
            <w:r>
              <w:rPr>
                <w:rFonts w:hint="eastAsia" w:ascii="仿宋_GB2312" w:hAnsi="宋体"/>
                <w:color w:val="auto"/>
                <w:szCs w:val="28"/>
              </w:rPr>
              <w:t>采购代理机构名称： 乳山市方正房地产测绘中心</w:t>
            </w:r>
          </w:p>
          <w:p w14:paraId="578427AC">
            <w:pPr>
              <w:spacing w:line="560" w:lineRule="exact"/>
              <w:ind w:firstLine="0" w:firstLineChars="0"/>
              <w:rPr>
                <w:rFonts w:ascii="仿宋_GB2312" w:hAnsi="宋体"/>
                <w:color w:val="auto"/>
                <w:szCs w:val="28"/>
              </w:rPr>
            </w:pPr>
            <w:r>
              <w:rPr>
                <w:rFonts w:hint="eastAsia" w:ascii="仿宋_GB2312" w:hAnsi="宋体"/>
                <w:color w:val="auto"/>
                <w:szCs w:val="28"/>
              </w:rPr>
              <w:t>地址：山东省威海市乳山市深圳路108-7</w:t>
            </w:r>
          </w:p>
          <w:p w14:paraId="5954D465">
            <w:pPr>
              <w:spacing w:line="560" w:lineRule="exact"/>
              <w:ind w:firstLine="0" w:firstLineChars="0"/>
              <w:rPr>
                <w:rFonts w:ascii="仿宋_GB2312" w:hAnsi="宋体"/>
                <w:color w:val="auto"/>
                <w:szCs w:val="28"/>
              </w:rPr>
            </w:pPr>
            <w:r>
              <w:rPr>
                <w:rFonts w:hint="eastAsia" w:ascii="仿宋_GB2312" w:hAnsi="宋体"/>
                <w:color w:val="auto"/>
                <w:szCs w:val="28"/>
              </w:rPr>
              <w:t>联系人：段云萌</w:t>
            </w:r>
          </w:p>
          <w:p w14:paraId="3A4E1E87">
            <w:pPr>
              <w:spacing w:line="560" w:lineRule="exact"/>
              <w:ind w:firstLine="0" w:firstLineChars="0"/>
              <w:rPr>
                <w:rFonts w:ascii="仿宋_GB2312" w:hAnsi="宋体"/>
                <w:color w:val="auto"/>
                <w:szCs w:val="28"/>
              </w:rPr>
            </w:pPr>
            <w:r>
              <w:rPr>
                <w:rFonts w:hint="eastAsia" w:ascii="仿宋_GB2312" w:hAnsi="宋体"/>
                <w:color w:val="auto"/>
                <w:szCs w:val="28"/>
              </w:rPr>
              <w:t>联系方式：</w:t>
            </w:r>
            <w:r>
              <w:rPr>
                <w:rFonts w:ascii="仿宋_GB2312" w:hAnsi="宋体"/>
                <w:color w:val="auto"/>
                <w:szCs w:val="28"/>
              </w:rPr>
              <w:t>0631-6651889</w:t>
            </w:r>
          </w:p>
        </w:tc>
      </w:tr>
      <w:tr w14:paraId="5608CE9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545" w:hRule="atLeast"/>
          <w:jc w:val="center"/>
        </w:trPr>
        <w:tc>
          <w:tcPr>
            <w:tcW w:w="908" w:type="dxa"/>
            <w:tcBorders>
              <w:top w:val="single" w:color="auto" w:sz="4" w:space="0"/>
              <w:bottom w:val="single" w:color="auto" w:sz="4" w:space="0"/>
              <w:right w:val="single" w:color="auto" w:sz="4" w:space="0"/>
            </w:tcBorders>
            <w:vAlign w:val="center"/>
          </w:tcPr>
          <w:p w14:paraId="36089A48">
            <w:pPr>
              <w:spacing w:line="560" w:lineRule="exact"/>
              <w:ind w:firstLine="0" w:firstLineChars="0"/>
              <w:jc w:val="center"/>
              <w:rPr>
                <w:rFonts w:ascii="仿宋_GB2312" w:hAnsi="宋体"/>
                <w:color w:val="auto"/>
                <w:szCs w:val="28"/>
              </w:rPr>
            </w:pPr>
            <w:r>
              <w:rPr>
                <w:rFonts w:hint="eastAsia" w:ascii="仿宋_GB2312" w:hAnsi="宋体"/>
                <w:color w:val="auto"/>
                <w:szCs w:val="28"/>
              </w:rPr>
              <w:t>5</w:t>
            </w:r>
          </w:p>
        </w:tc>
        <w:tc>
          <w:tcPr>
            <w:tcW w:w="8291" w:type="dxa"/>
            <w:tcBorders>
              <w:top w:val="single" w:color="auto" w:sz="4" w:space="0"/>
              <w:left w:val="single" w:color="auto" w:sz="4" w:space="0"/>
              <w:bottom w:val="single" w:color="auto" w:sz="4" w:space="0"/>
            </w:tcBorders>
            <w:vAlign w:val="center"/>
          </w:tcPr>
          <w:p w14:paraId="02445684">
            <w:pPr>
              <w:spacing w:line="560" w:lineRule="exact"/>
              <w:ind w:firstLine="0" w:firstLineChars="0"/>
              <w:jc w:val="left"/>
              <w:rPr>
                <w:rFonts w:ascii="仿宋_GB2312" w:hAnsi="宋体"/>
                <w:color w:val="auto"/>
                <w:szCs w:val="28"/>
              </w:rPr>
            </w:pPr>
            <w:r>
              <w:rPr>
                <w:rFonts w:hint="eastAsia" w:ascii="仿宋_GB2312" w:hAnsi="宋体"/>
                <w:color w:val="auto"/>
                <w:szCs w:val="28"/>
              </w:rPr>
              <w:t>资质证明文件原件：无需提供资质证明文件原件</w:t>
            </w:r>
          </w:p>
        </w:tc>
      </w:tr>
      <w:tr w14:paraId="4888FF4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545" w:hRule="atLeast"/>
          <w:jc w:val="center"/>
        </w:trPr>
        <w:tc>
          <w:tcPr>
            <w:tcW w:w="908" w:type="dxa"/>
            <w:tcBorders>
              <w:top w:val="single" w:color="auto" w:sz="4" w:space="0"/>
              <w:bottom w:val="single" w:color="auto" w:sz="4" w:space="0"/>
              <w:right w:val="single" w:color="auto" w:sz="4" w:space="0"/>
            </w:tcBorders>
            <w:vAlign w:val="center"/>
          </w:tcPr>
          <w:p w14:paraId="5B3A4A7B">
            <w:pPr>
              <w:spacing w:line="560" w:lineRule="exact"/>
              <w:ind w:firstLine="0" w:firstLineChars="0"/>
              <w:jc w:val="center"/>
              <w:rPr>
                <w:rFonts w:ascii="仿宋_GB2312" w:hAnsi="宋体"/>
                <w:color w:val="auto"/>
                <w:szCs w:val="28"/>
              </w:rPr>
            </w:pPr>
            <w:r>
              <w:rPr>
                <w:rFonts w:hint="eastAsia" w:ascii="仿宋_GB2312" w:hAnsi="宋体"/>
                <w:color w:val="auto"/>
                <w:szCs w:val="28"/>
              </w:rPr>
              <w:t>6</w:t>
            </w:r>
          </w:p>
        </w:tc>
        <w:tc>
          <w:tcPr>
            <w:tcW w:w="8291" w:type="dxa"/>
            <w:tcBorders>
              <w:top w:val="single" w:color="auto" w:sz="4" w:space="0"/>
              <w:left w:val="single" w:color="auto" w:sz="4" w:space="0"/>
              <w:bottom w:val="single" w:color="auto" w:sz="4" w:space="0"/>
            </w:tcBorders>
            <w:vAlign w:val="center"/>
          </w:tcPr>
          <w:p w14:paraId="64300DD1">
            <w:pPr>
              <w:spacing w:line="560" w:lineRule="exact"/>
              <w:ind w:firstLine="0" w:firstLineChars="0"/>
              <w:rPr>
                <w:rFonts w:ascii="仿宋_GB2312" w:hAnsi="宋体"/>
                <w:color w:val="auto"/>
                <w:szCs w:val="28"/>
              </w:rPr>
            </w:pPr>
            <w:r>
              <w:rPr>
                <w:rFonts w:hint="eastAsia" w:ascii="仿宋_GB2312" w:hAnsi="宋体"/>
                <w:color w:val="auto"/>
                <w:szCs w:val="28"/>
              </w:rPr>
              <w:t>响应文件份数：网上按时递交电子响应文件1份</w:t>
            </w:r>
          </w:p>
        </w:tc>
      </w:tr>
      <w:tr w14:paraId="064A9D5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5" w:hRule="atLeast"/>
          <w:jc w:val="center"/>
        </w:trPr>
        <w:tc>
          <w:tcPr>
            <w:tcW w:w="908" w:type="dxa"/>
            <w:tcBorders>
              <w:top w:val="single" w:color="auto" w:sz="4" w:space="0"/>
              <w:bottom w:val="single" w:color="auto" w:sz="4" w:space="0"/>
              <w:right w:val="single" w:color="auto" w:sz="4" w:space="0"/>
            </w:tcBorders>
            <w:vAlign w:val="center"/>
          </w:tcPr>
          <w:p w14:paraId="0013D612">
            <w:pPr>
              <w:spacing w:line="560" w:lineRule="exact"/>
              <w:ind w:firstLine="0" w:firstLineChars="0"/>
              <w:jc w:val="center"/>
              <w:rPr>
                <w:rFonts w:ascii="仿宋_GB2312" w:hAnsi="宋体"/>
                <w:color w:val="auto"/>
                <w:szCs w:val="28"/>
              </w:rPr>
            </w:pPr>
            <w:r>
              <w:rPr>
                <w:rFonts w:hint="eastAsia" w:ascii="仿宋_GB2312" w:hAnsi="宋体"/>
                <w:color w:val="auto"/>
                <w:szCs w:val="28"/>
              </w:rPr>
              <w:t>7</w:t>
            </w:r>
          </w:p>
        </w:tc>
        <w:tc>
          <w:tcPr>
            <w:tcW w:w="8291" w:type="dxa"/>
            <w:tcBorders>
              <w:top w:val="single" w:color="auto" w:sz="4" w:space="0"/>
              <w:left w:val="single" w:color="auto" w:sz="4" w:space="0"/>
              <w:bottom w:val="single" w:color="auto" w:sz="4" w:space="0"/>
            </w:tcBorders>
            <w:vAlign w:val="center"/>
          </w:tcPr>
          <w:p w14:paraId="4926AE01">
            <w:pPr>
              <w:spacing w:line="560" w:lineRule="exact"/>
              <w:ind w:firstLine="0" w:firstLineChars="0"/>
              <w:rPr>
                <w:rFonts w:ascii="仿宋_GB2312" w:hAnsi="宋体"/>
                <w:color w:val="auto"/>
                <w:szCs w:val="28"/>
              </w:rPr>
            </w:pPr>
            <w:r>
              <w:rPr>
                <w:rFonts w:hint="eastAsia" w:ascii="仿宋_GB2312" w:hAnsi="宋体"/>
                <w:color w:val="auto"/>
                <w:szCs w:val="28"/>
              </w:rPr>
              <w:t xml:space="preserve">实物样品：无 </w:t>
            </w:r>
          </w:p>
        </w:tc>
      </w:tr>
      <w:tr w14:paraId="410AD6E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5" w:hRule="atLeast"/>
          <w:jc w:val="center"/>
        </w:trPr>
        <w:tc>
          <w:tcPr>
            <w:tcW w:w="908" w:type="dxa"/>
            <w:tcBorders>
              <w:top w:val="single" w:color="auto" w:sz="4" w:space="0"/>
              <w:bottom w:val="single" w:color="auto" w:sz="4" w:space="0"/>
              <w:right w:val="single" w:color="auto" w:sz="4" w:space="0"/>
            </w:tcBorders>
            <w:vAlign w:val="center"/>
          </w:tcPr>
          <w:p w14:paraId="46D73948">
            <w:pPr>
              <w:spacing w:line="560" w:lineRule="exact"/>
              <w:ind w:firstLine="0" w:firstLineChars="0"/>
              <w:jc w:val="center"/>
              <w:rPr>
                <w:rFonts w:ascii="仿宋_GB2312" w:hAnsi="宋体"/>
                <w:color w:val="auto"/>
                <w:szCs w:val="28"/>
              </w:rPr>
            </w:pPr>
            <w:r>
              <w:rPr>
                <w:rFonts w:hint="eastAsia" w:ascii="仿宋_GB2312" w:hAnsi="宋体"/>
                <w:color w:val="auto"/>
                <w:szCs w:val="28"/>
              </w:rPr>
              <w:t>8</w:t>
            </w:r>
          </w:p>
        </w:tc>
        <w:tc>
          <w:tcPr>
            <w:tcW w:w="8291" w:type="dxa"/>
            <w:tcBorders>
              <w:top w:val="single" w:color="auto" w:sz="4" w:space="0"/>
              <w:left w:val="single" w:color="auto" w:sz="4" w:space="0"/>
              <w:bottom w:val="single" w:color="auto" w:sz="4" w:space="0"/>
            </w:tcBorders>
            <w:vAlign w:val="center"/>
          </w:tcPr>
          <w:p w14:paraId="3D988C27">
            <w:pPr>
              <w:spacing w:line="560" w:lineRule="exact"/>
              <w:ind w:firstLine="0" w:firstLineChars="0"/>
              <w:textAlignment w:val="top"/>
              <w:rPr>
                <w:rFonts w:ascii="仿宋_GB2312" w:hAnsi="宋体"/>
                <w:color w:val="auto"/>
                <w:szCs w:val="28"/>
              </w:rPr>
            </w:pPr>
            <w:r>
              <w:rPr>
                <w:rFonts w:hint="eastAsia" w:ascii="仿宋_GB2312" w:hAnsi="宋体"/>
                <w:color w:val="auto"/>
                <w:szCs w:val="28"/>
              </w:rPr>
              <w:t xml:space="preserve">现场踏勘：无 </w:t>
            </w:r>
          </w:p>
        </w:tc>
      </w:tr>
      <w:tr w14:paraId="2A1FC98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21873E1F">
            <w:pPr>
              <w:spacing w:line="560" w:lineRule="exact"/>
              <w:ind w:firstLine="0" w:firstLineChars="0"/>
              <w:jc w:val="center"/>
              <w:rPr>
                <w:rFonts w:ascii="仿宋_GB2312" w:hAnsi="宋体"/>
                <w:color w:val="auto"/>
                <w:szCs w:val="28"/>
              </w:rPr>
            </w:pPr>
            <w:r>
              <w:rPr>
                <w:rFonts w:hint="eastAsia" w:ascii="仿宋_GB2312" w:hAnsi="宋体"/>
                <w:color w:val="auto"/>
                <w:szCs w:val="28"/>
              </w:rPr>
              <w:t>9</w:t>
            </w:r>
          </w:p>
        </w:tc>
        <w:tc>
          <w:tcPr>
            <w:tcW w:w="8291" w:type="dxa"/>
            <w:tcBorders>
              <w:top w:val="single" w:color="auto" w:sz="4" w:space="0"/>
              <w:left w:val="single" w:color="auto" w:sz="4" w:space="0"/>
              <w:bottom w:val="single" w:color="auto" w:sz="4" w:space="0"/>
            </w:tcBorders>
            <w:vAlign w:val="center"/>
          </w:tcPr>
          <w:p w14:paraId="1C00435B">
            <w:pPr>
              <w:spacing w:line="560" w:lineRule="exact"/>
              <w:ind w:firstLine="0" w:firstLineChars="0"/>
              <w:rPr>
                <w:rFonts w:ascii="仿宋_GB2312" w:hAnsi="宋体"/>
                <w:color w:val="auto"/>
                <w:szCs w:val="28"/>
              </w:rPr>
            </w:pPr>
            <w:r>
              <w:rPr>
                <w:rFonts w:hint="eastAsia" w:ascii="仿宋_GB2312" w:hAnsi="宋体"/>
                <w:color w:val="auto"/>
                <w:szCs w:val="28"/>
              </w:rPr>
              <w:t xml:space="preserve">现场演示：无 </w:t>
            </w:r>
          </w:p>
        </w:tc>
      </w:tr>
      <w:tr w14:paraId="2B4920F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32F2C8E7">
            <w:pPr>
              <w:spacing w:line="560" w:lineRule="exact"/>
              <w:ind w:firstLine="0" w:firstLineChars="0"/>
              <w:jc w:val="center"/>
              <w:rPr>
                <w:rFonts w:ascii="仿宋_GB2312" w:hAnsi="宋体"/>
                <w:color w:val="auto"/>
                <w:szCs w:val="28"/>
              </w:rPr>
            </w:pPr>
            <w:r>
              <w:rPr>
                <w:rFonts w:hint="eastAsia" w:ascii="仿宋_GB2312" w:hAnsi="宋体"/>
                <w:color w:val="auto"/>
                <w:szCs w:val="28"/>
              </w:rPr>
              <w:t>10</w:t>
            </w:r>
          </w:p>
        </w:tc>
        <w:tc>
          <w:tcPr>
            <w:tcW w:w="8291" w:type="dxa"/>
            <w:tcBorders>
              <w:top w:val="single" w:color="auto" w:sz="4" w:space="0"/>
              <w:left w:val="single" w:color="auto" w:sz="4" w:space="0"/>
              <w:bottom w:val="single" w:color="auto" w:sz="4" w:space="0"/>
            </w:tcBorders>
            <w:vAlign w:val="center"/>
          </w:tcPr>
          <w:p w14:paraId="57517568">
            <w:pPr>
              <w:spacing w:line="560" w:lineRule="exact"/>
              <w:ind w:firstLine="0" w:firstLineChars="0"/>
              <w:rPr>
                <w:rFonts w:ascii="仿宋_GB2312" w:hAnsi="宋体"/>
                <w:color w:val="auto"/>
                <w:szCs w:val="28"/>
              </w:rPr>
            </w:pPr>
            <w:r>
              <w:rPr>
                <w:rFonts w:hint="eastAsia" w:ascii="仿宋_GB2312" w:hAnsi="宋体"/>
                <w:color w:val="auto"/>
                <w:szCs w:val="28"/>
              </w:rPr>
              <w:t>报价有效期：开标之日起90天</w:t>
            </w:r>
          </w:p>
        </w:tc>
      </w:tr>
      <w:tr w14:paraId="02FCC81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379A6ADE">
            <w:pPr>
              <w:spacing w:line="560" w:lineRule="exact"/>
              <w:ind w:firstLine="0" w:firstLineChars="0"/>
              <w:jc w:val="center"/>
              <w:rPr>
                <w:rFonts w:ascii="仿宋_GB2312" w:hAnsi="宋体"/>
                <w:color w:val="auto"/>
                <w:szCs w:val="28"/>
              </w:rPr>
            </w:pPr>
            <w:r>
              <w:rPr>
                <w:rFonts w:hint="eastAsia" w:ascii="仿宋_GB2312" w:hAnsi="宋体"/>
                <w:color w:val="auto"/>
                <w:szCs w:val="28"/>
              </w:rPr>
              <w:t>11</w:t>
            </w:r>
          </w:p>
        </w:tc>
        <w:tc>
          <w:tcPr>
            <w:tcW w:w="8291" w:type="dxa"/>
            <w:tcBorders>
              <w:top w:val="single" w:color="auto" w:sz="4" w:space="0"/>
              <w:left w:val="single" w:color="auto" w:sz="4" w:space="0"/>
              <w:bottom w:val="single" w:color="auto" w:sz="4" w:space="0"/>
            </w:tcBorders>
            <w:vAlign w:val="center"/>
          </w:tcPr>
          <w:p w14:paraId="6263FF44">
            <w:pPr>
              <w:spacing w:line="560" w:lineRule="exact"/>
              <w:ind w:firstLine="0" w:firstLineChars="0"/>
              <w:rPr>
                <w:rFonts w:ascii="仿宋_GB2312" w:hAnsi="宋体"/>
                <w:color w:val="auto"/>
                <w:szCs w:val="28"/>
              </w:rPr>
            </w:pPr>
            <w:r>
              <w:rPr>
                <w:rFonts w:hint="eastAsia" w:ascii="仿宋_GB2312" w:hAnsi="宋体"/>
                <w:color w:val="auto"/>
                <w:szCs w:val="28"/>
              </w:rPr>
              <w:t>是否专门面向</w:t>
            </w:r>
            <w:r>
              <w:rPr>
                <w:rFonts w:ascii="仿宋_GB2312" w:hAnsi="宋体"/>
                <w:color w:val="auto"/>
                <w:szCs w:val="28"/>
              </w:rPr>
              <w:t>中小企业采购</w:t>
            </w:r>
            <w:r>
              <w:rPr>
                <w:rFonts w:hint="eastAsia" w:ascii="仿宋_GB2312" w:hAnsi="宋体"/>
                <w:color w:val="auto"/>
                <w:szCs w:val="28"/>
              </w:rPr>
              <w:t>：</w:t>
            </w:r>
            <w:r>
              <w:rPr>
                <w:rFonts w:ascii="仿宋_GB2312" w:hAnsi="宋体"/>
                <w:color w:val="auto"/>
                <w:szCs w:val="28"/>
              </w:rPr>
              <w:t>是</w:t>
            </w:r>
          </w:p>
        </w:tc>
      </w:tr>
      <w:tr w14:paraId="78399FD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30A2E19D">
            <w:pPr>
              <w:spacing w:line="560" w:lineRule="exact"/>
              <w:ind w:firstLine="0" w:firstLineChars="0"/>
              <w:jc w:val="center"/>
              <w:rPr>
                <w:rFonts w:ascii="仿宋_GB2312" w:hAnsi="宋体"/>
                <w:color w:val="auto"/>
                <w:szCs w:val="28"/>
              </w:rPr>
            </w:pPr>
            <w:r>
              <w:rPr>
                <w:rFonts w:hint="eastAsia" w:ascii="仿宋_GB2312" w:hAnsi="宋体"/>
                <w:color w:val="auto"/>
                <w:szCs w:val="28"/>
              </w:rPr>
              <w:t>12</w:t>
            </w:r>
          </w:p>
        </w:tc>
        <w:tc>
          <w:tcPr>
            <w:tcW w:w="8291" w:type="dxa"/>
            <w:tcBorders>
              <w:top w:val="single" w:color="auto" w:sz="4" w:space="0"/>
              <w:left w:val="single" w:color="auto" w:sz="4" w:space="0"/>
              <w:bottom w:val="single" w:color="auto" w:sz="4" w:space="0"/>
            </w:tcBorders>
            <w:vAlign w:val="center"/>
          </w:tcPr>
          <w:p w14:paraId="2DD9425E">
            <w:pPr>
              <w:spacing w:line="560" w:lineRule="exact"/>
              <w:ind w:firstLine="0" w:firstLineChars="0"/>
              <w:rPr>
                <w:rFonts w:ascii="仿宋_GB2312" w:hAnsi="宋体"/>
                <w:color w:val="auto"/>
                <w:szCs w:val="28"/>
              </w:rPr>
            </w:pPr>
            <w:r>
              <w:rPr>
                <w:rFonts w:hint="eastAsia" w:ascii="仿宋_GB2312" w:hAnsi="宋体"/>
                <w:color w:val="auto"/>
                <w:szCs w:val="28"/>
              </w:rPr>
              <w:t>本项目不</w:t>
            </w:r>
            <w:r>
              <w:rPr>
                <w:rFonts w:ascii="仿宋_GB2312" w:hAnsi="宋体"/>
                <w:color w:val="auto"/>
                <w:szCs w:val="28"/>
              </w:rPr>
              <w:t>允许</w:t>
            </w:r>
            <w:r>
              <w:rPr>
                <w:rFonts w:hint="eastAsia" w:ascii="仿宋_GB2312" w:hAnsi="宋体"/>
                <w:color w:val="auto"/>
                <w:szCs w:val="28"/>
              </w:rPr>
              <w:t>投报</w:t>
            </w:r>
            <w:r>
              <w:rPr>
                <w:rFonts w:ascii="仿宋_GB2312" w:hAnsi="宋体"/>
                <w:color w:val="auto"/>
                <w:szCs w:val="28"/>
              </w:rPr>
              <w:t>进口产品</w:t>
            </w:r>
          </w:p>
        </w:tc>
      </w:tr>
      <w:tr w14:paraId="7211D81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7B3F967B">
            <w:pPr>
              <w:spacing w:line="560" w:lineRule="exact"/>
              <w:ind w:firstLine="0" w:firstLineChars="0"/>
              <w:jc w:val="center"/>
              <w:rPr>
                <w:rFonts w:ascii="仿宋_GB2312" w:hAnsi="宋体"/>
                <w:color w:val="auto"/>
                <w:szCs w:val="28"/>
              </w:rPr>
            </w:pPr>
            <w:r>
              <w:rPr>
                <w:rFonts w:hint="eastAsia" w:ascii="仿宋_GB2312" w:hAnsi="宋体"/>
                <w:color w:val="auto"/>
                <w:szCs w:val="28"/>
              </w:rPr>
              <w:t>13</w:t>
            </w:r>
          </w:p>
        </w:tc>
        <w:tc>
          <w:tcPr>
            <w:tcW w:w="8291" w:type="dxa"/>
            <w:tcBorders>
              <w:top w:val="single" w:color="auto" w:sz="4" w:space="0"/>
              <w:left w:val="single" w:color="auto" w:sz="4" w:space="0"/>
              <w:bottom w:val="single" w:color="auto" w:sz="4" w:space="0"/>
            </w:tcBorders>
            <w:vAlign w:val="center"/>
          </w:tcPr>
          <w:p w14:paraId="1E7DD5EE">
            <w:pPr>
              <w:spacing w:line="600" w:lineRule="exact"/>
              <w:ind w:firstLine="0" w:firstLineChars="0"/>
              <w:rPr>
                <w:rFonts w:ascii="仿宋_GB2312" w:hAnsi="宋体"/>
                <w:color w:val="auto"/>
                <w:szCs w:val="28"/>
              </w:rPr>
            </w:pPr>
            <w:r>
              <w:rPr>
                <w:rFonts w:hint="eastAsia" w:ascii="仿宋_GB2312" w:hAnsi="宋体"/>
                <w:color w:val="auto"/>
                <w:szCs w:val="28"/>
              </w:rPr>
              <w:t>本分包最高限价：</w:t>
            </w:r>
            <w:r>
              <w:rPr>
                <w:rFonts w:ascii="仿宋_GB2312" w:hAnsi="宋体"/>
                <w:color w:val="auto"/>
                <w:szCs w:val="28"/>
                <w:u w:val="single"/>
              </w:rPr>
              <w:t>1730000.00</w:t>
            </w:r>
            <w:r>
              <w:rPr>
                <w:rFonts w:hint="eastAsia" w:ascii="仿宋_GB2312" w:hAnsi="宋体"/>
                <w:color w:val="auto"/>
                <w:szCs w:val="28"/>
              </w:rPr>
              <w:t>元</w:t>
            </w:r>
          </w:p>
        </w:tc>
      </w:tr>
      <w:tr w14:paraId="5F9102C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3C7A6B52">
            <w:pPr>
              <w:spacing w:line="560" w:lineRule="exact"/>
              <w:ind w:firstLine="0" w:firstLineChars="0"/>
              <w:jc w:val="center"/>
              <w:rPr>
                <w:rFonts w:ascii="仿宋_GB2312" w:hAnsi="宋体"/>
                <w:color w:val="auto"/>
                <w:szCs w:val="28"/>
              </w:rPr>
            </w:pPr>
            <w:r>
              <w:rPr>
                <w:rFonts w:hint="eastAsia" w:ascii="仿宋_GB2312" w:hAnsi="宋体"/>
                <w:color w:val="auto"/>
                <w:szCs w:val="28"/>
              </w:rPr>
              <w:t>14</w:t>
            </w:r>
          </w:p>
        </w:tc>
        <w:tc>
          <w:tcPr>
            <w:tcW w:w="8291" w:type="dxa"/>
            <w:tcBorders>
              <w:top w:val="single" w:color="auto" w:sz="4" w:space="0"/>
              <w:left w:val="single" w:color="auto" w:sz="4" w:space="0"/>
              <w:bottom w:val="single" w:color="auto" w:sz="4" w:space="0"/>
            </w:tcBorders>
            <w:vAlign w:val="center"/>
          </w:tcPr>
          <w:p w14:paraId="4EDC597E">
            <w:pPr>
              <w:spacing w:line="560" w:lineRule="exact"/>
              <w:ind w:firstLine="0" w:firstLineChars="0"/>
              <w:rPr>
                <w:rFonts w:ascii="仿宋_GB2312" w:hAnsi="宋体"/>
                <w:color w:val="auto"/>
                <w:szCs w:val="28"/>
              </w:rPr>
            </w:pPr>
            <w:r>
              <w:rPr>
                <w:rFonts w:hint="eastAsia" w:ascii="仿宋_GB2312" w:hAnsi="宋体"/>
                <w:color w:val="auto"/>
                <w:szCs w:val="28"/>
              </w:rPr>
              <w:t>本项目不接受联合体响应</w:t>
            </w:r>
          </w:p>
        </w:tc>
      </w:tr>
      <w:tr w14:paraId="61D4A2B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6F4A44E1">
            <w:pPr>
              <w:spacing w:line="560" w:lineRule="exact"/>
              <w:ind w:firstLine="0" w:firstLineChars="0"/>
              <w:jc w:val="center"/>
              <w:rPr>
                <w:rFonts w:ascii="仿宋_GB2312" w:hAnsi="宋体"/>
                <w:color w:val="auto"/>
                <w:szCs w:val="28"/>
              </w:rPr>
            </w:pPr>
            <w:r>
              <w:rPr>
                <w:rFonts w:hint="eastAsia" w:ascii="仿宋_GB2312" w:hAnsi="宋体"/>
                <w:color w:val="auto"/>
                <w:szCs w:val="28"/>
              </w:rPr>
              <w:t>15</w:t>
            </w:r>
          </w:p>
        </w:tc>
        <w:tc>
          <w:tcPr>
            <w:tcW w:w="8291" w:type="dxa"/>
            <w:tcBorders>
              <w:top w:val="single" w:color="auto" w:sz="4" w:space="0"/>
              <w:left w:val="single" w:color="auto" w:sz="4" w:space="0"/>
              <w:bottom w:val="single" w:color="auto" w:sz="4" w:space="0"/>
            </w:tcBorders>
            <w:vAlign w:val="center"/>
          </w:tcPr>
          <w:p w14:paraId="582CBA18">
            <w:pPr>
              <w:spacing w:line="560" w:lineRule="exact"/>
              <w:ind w:firstLine="0" w:firstLineChars="0"/>
              <w:rPr>
                <w:rFonts w:ascii="仿宋_GB2312" w:hAnsi="宋体"/>
                <w:color w:val="auto"/>
                <w:szCs w:val="28"/>
              </w:rPr>
            </w:pPr>
            <w:r>
              <w:rPr>
                <w:rFonts w:hint="eastAsia" w:ascii="仿宋_GB2312" w:hAnsi="宋体"/>
                <w:color w:val="auto"/>
                <w:szCs w:val="28"/>
              </w:rPr>
              <w:t>本项目不收取磋商保证金</w:t>
            </w:r>
          </w:p>
        </w:tc>
      </w:tr>
      <w:tr w14:paraId="6DA9EBA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13" w:hRule="atLeast"/>
          <w:jc w:val="center"/>
        </w:trPr>
        <w:tc>
          <w:tcPr>
            <w:tcW w:w="908" w:type="dxa"/>
            <w:tcBorders>
              <w:top w:val="single" w:color="auto" w:sz="4" w:space="0"/>
              <w:bottom w:val="single" w:color="auto" w:sz="4" w:space="0"/>
              <w:right w:val="single" w:color="auto" w:sz="4" w:space="0"/>
            </w:tcBorders>
            <w:vAlign w:val="center"/>
          </w:tcPr>
          <w:p w14:paraId="5F091013">
            <w:pPr>
              <w:spacing w:line="560" w:lineRule="exact"/>
              <w:ind w:firstLine="0" w:firstLineChars="0"/>
              <w:jc w:val="center"/>
              <w:rPr>
                <w:rFonts w:ascii="仿宋_GB2312" w:hAnsi="宋体"/>
                <w:color w:val="auto"/>
                <w:szCs w:val="28"/>
              </w:rPr>
            </w:pPr>
            <w:r>
              <w:rPr>
                <w:rFonts w:hint="eastAsia" w:ascii="仿宋_GB2312" w:hAnsi="宋体"/>
                <w:color w:val="auto"/>
                <w:szCs w:val="28"/>
              </w:rPr>
              <w:t>16</w:t>
            </w:r>
          </w:p>
        </w:tc>
        <w:tc>
          <w:tcPr>
            <w:tcW w:w="8291" w:type="dxa"/>
            <w:tcBorders>
              <w:top w:val="single" w:color="auto" w:sz="4" w:space="0"/>
              <w:left w:val="single" w:color="auto" w:sz="4" w:space="0"/>
              <w:bottom w:val="single" w:color="auto" w:sz="4" w:space="0"/>
            </w:tcBorders>
            <w:vAlign w:val="center"/>
          </w:tcPr>
          <w:p w14:paraId="7E3BDD54">
            <w:pPr>
              <w:spacing w:line="560" w:lineRule="exact"/>
              <w:ind w:firstLine="0" w:firstLineChars="0"/>
              <w:rPr>
                <w:rFonts w:ascii="仿宋_GB2312" w:hAnsi="宋体"/>
                <w:color w:val="auto"/>
                <w:szCs w:val="28"/>
              </w:rPr>
            </w:pPr>
            <w:r>
              <w:rPr>
                <w:rFonts w:hint="eastAsia" w:ascii="仿宋_GB2312" w:hAnsi="宋体"/>
                <w:color w:val="auto"/>
                <w:szCs w:val="28"/>
              </w:rPr>
              <w:t>响应文件递交时间：详见磋商公告</w:t>
            </w:r>
          </w:p>
          <w:p w14:paraId="292612E6">
            <w:pPr>
              <w:spacing w:line="560" w:lineRule="exact"/>
              <w:ind w:firstLine="0" w:firstLineChars="0"/>
              <w:rPr>
                <w:rFonts w:ascii="仿宋_GB2312" w:hAnsi="宋体"/>
                <w:color w:val="auto"/>
                <w:szCs w:val="28"/>
              </w:rPr>
            </w:pPr>
            <w:r>
              <w:rPr>
                <w:rFonts w:hint="eastAsia" w:ascii="仿宋_GB2312" w:hAnsi="宋体"/>
                <w:color w:val="auto"/>
                <w:szCs w:val="28"/>
              </w:rPr>
              <w:t>响应文件递交网址：</w:t>
            </w:r>
          </w:p>
          <w:p w14:paraId="6A0C3033">
            <w:pPr>
              <w:spacing w:line="560" w:lineRule="exact"/>
              <w:ind w:firstLine="0" w:firstLineChars="0"/>
              <w:rPr>
                <w:rFonts w:ascii="仿宋_GB2312" w:hAnsi="宋体"/>
                <w:color w:val="auto"/>
                <w:szCs w:val="28"/>
              </w:rPr>
            </w:pPr>
            <w:r>
              <w:rPr>
                <w:rFonts w:hint="eastAsia" w:ascii="仿宋_GB2312" w:hAnsi="黑体" w:cs="宋体"/>
                <w:color w:val="auto"/>
                <w:spacing w:val="8"/>
                <w:szCs w:val="28"/>
              </w:rPr>
              <w:t>登录“威海市政府采购电子交易系统”（威海市公共资源交易网（乳山分中心）右侧“交易服务一网通办”登录后选择“政府采购”</w:t>
            </w:r>
          </w:p>
        </w:tc>
      </w:tr>
      <w:tr w14:paraId="4F6C05F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66" w:hRule="atLeast"/>
          <w:jc w:val="center"/>
        </w:trPr>
        <w:tc>
          <w:tcPr>
            <w:tcW w:w="908" w:type="dxa"/>
            <w:tcBorders>
              <w:top w:val="single" w:color="auto" w:sz="4" w:space="0"/>
              <w:bottom w:val="single" w:color="auto" w:sz="4" w:space="0"/>
              <w:right w:val="single" w:color="auto" w:sz="4" w:space="0"/>
            </w:tcBorders>
            <w:vAlign w:val="center"/>
          </w:tcPr>
          <w:p w14:paraId="6749325E">
            <w:pPr>
              <w:spacing w:line="560" w:lineRule="exact"/>
              <w:ind w:firstLine="0" w:firstLineChars="0"/>
              <w:jc w:val="center"/>
              <w:rPr>
                <w:rFonts w:ascii="仿宋_GB2312" w:hAnsi="宋体"/>
                <w:color w:val="auto"/>
                <w:szCs w:val="28"/>
              </w:rPr>
            </w:pPr>
            <w:r>
              <w:rPr>
                <w:rFonts w:hint="eastAsia" w:ascii="仿宋_GB2312" w:hAnsi="宋体"/>
                <w:color w:val="auto"/>
                <w:szCs w:val="28"/>
              </w:rPr>
              <w:t>17</w:t>
            </w:r>
          </w:p>
        </w:tc>
        <w:tc>
          <w:tcPr>
            <w:tcW w:w="8291" w:type="dxa"/>
            <w:tcBorders>
              <w:top w:val="single" w:color="auto" w:sz="4" w:space="0"/>
              <w:left w:val="single" w:color="auto" w:sz="4" w:space="0"/>
              <w:bottom w:val="single" w:color="auto" w:sz="4" w:space="0"/>
            </w:tcBorders>
            <w:vAlign w:val="center"/>
          </w:tcPr>
          <w:p w14:paraId="1C8A7533">
            <w:pPr>
              <w:spacing w:line="560" w:lineRule="exact"/>
              <w:ind w:firstLine="0" w:firstLineChars="0"/>
              <w:rPr>
                <w:rFonts w:ascii="仿宋_GB2312" w:hAnsi="宋体"/>
                <w:color w:val="auto"/>
                <w:szCs w:val="28"/>
              </w:rPr>
            </w:pPr>
            <w:r>
              <w:rPr>
                <w:rFonts w:hint="eastAsia" w:ascii="仿宋_GB2312" w:hAnsi="宋体"/>
                <w:color w:val="auto"/>
                <w:szCs w:val="28"/>
              </w:rPr>
              <w:t>开标时间：详见磋商公告</w:t>
            </w:r>
          </w:p>
          <w:p w14:paraId="2F997EC4">
            <w:pPr>
              <w:spacing w:line="560" w:lineRule="exact"/>
              <w:ind w:firstLine="0" w:firstLineChars="0"/>
              <w:rPr>
                <w:rFonts w:ascii="仿宋_GB2312" w:hAnsi="宋体"/>
                <w:color w:val="auto"/>
                <w:szCs w:val="28"/>
              </w:rPr>
            </w:pPr>
            <w:r>
              <w:rPr>
                <w:rFonts w:hint="eastAsia" w:ascii="仿宋_GB2312" w:hAnsi="宋体"/>
                <w:color w:val="auto"/>
                <w:szCs w:val="28"/>
              </w:rPr>
              <w:t>开标地点：威海市乳山市深圳路108号市民服务中心三楼</w:t>
            </w:r>
          </w:p>
        </w:tc>
      </w:tr>
      <w:tr w14:paraId="6F33458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3" w:hRule="atLeast"/>
          <w:jc w:val="center"/>
        </w:trPr>
        <w:tc>
          <w:tcPr>
            <w:tcW w:w="908" w:type="dxa"/>
            <w:tcBorders>
              <w:top w:val="single" w:color="auto" w:sz="4" w:space="0"/>
              <w:bottom w:val="single" w:color="auto" w:sz="4" w:space="0"/>
              <w:right w:val="single" w:color="auto" w:sz="4" w:space="0"/>
            </w:tcBorders>
            <w:vAlign w:val="center"/>
          </w:tcPr>
          <w:p w14:paraId="103A7C1D">
            <w:pPr>
              <w:spacing w:line="560" w:lineRule="exact"/>
              <w:ind w:firstLine="0" w:firstLineChars="0"/>
              <w:jc w:val="center"/>
              <w:rPr>
                <w:rFonts w:ascii="仿宋_GB2312" w:hAnsi="宋体"/>
                <w:color w:val="auto"/>
                <w:szCs w:val="28"/>
              </w:rPr>
            </w:pPr>
            <w:r>
              <w:rPr>
                <w:rFonts w:hint="eastAsia" w:ascii="仿宋_GB2312" w:hAnsi="宋体"/>
                <w:color w:val="auto"/>
                <w:szCs w:val="28"/>
              </w:rPr>
              <w:t>18</w:t>
            </w:r>
          </w:p>
        </w:tc>
        <w:tc>
          <w:tcPr>
            <w:tcW w:w="8291" w:type="dxa"/>
            <w:tcBorders>
              <w:top w:val="single" w:color="auto" w:sz="4" w:space="0"/>
              <w:left w:val="single" w:color="auto" w:sz="4" w:space="0"/>
              <w:bottom w:val="single" w:color="auto" w:sz="4" w:space="0"/>
            </w:tcBorders>
            <w:vAlign w:val="center"/>
          </w:tcPr>
          <w:p w14:paraId="4D2C1328">
            <w:pPr>
              <w:spacing w:line="560" w:lineRule="exact"/>
              <w:ind w:firstLine="0" w:firstLineChars="0"/>
              <w:rPr>
                <w:rFonts w:ascii="仿宋_GB2312" w:hAnsi="宋体"/>
                <w:color w:val="auto"/>
                <w:szCs w:val="28"/>
              </w:rPr>
            </w:pPr>
            <w:r>
              <w:rPr>
                <w:rFonts w:hint="eastAsia" w:ascii="仿宋_GB2312" w:hAnsi="宋体"/>
                <w:color w:val="auto"/>
                <w:szCs w:val="28"/>
              </w:rPr>
              <w:t>响应文件开启（解密）、磋商方式：</w:t>
            </w:r>
            <w:r>
              <w:rPr>
                <w:rFonts w:hint="eastAsia" w:ascii="仿宋_GB2312"/>
                <w:color w:val="auto"/>
                <w:szCs w:val="28"/>
              </w:rPr>
              <w:t>远程解密、磋商，供应商无需到现场参与解密、磋商，请提前熟悉电子交易系统操作流程，并实时关注电子交易系统相关通知，且联络方式应保持通讯畅通。[操作手册获取方式：操作手册请登录威海市公共资源交易网-办事指南栏目-政府采购专区-《威海市政府采购电子交易系统供应商操作手册》下载查看（网址：http://ggzyjy.weihai.cn/bszn/005002/20210702/ed187b7b-6fef-4726-8e07-c0e3ee8d5a46.html）。投标（响应）文件制作及系统使用咨询电话：18769124292。]</w:t>
            </w:r>
          </w:p>
        </w:tc>
      </w:tr>
      <w:tr w14:paraId="3D9EC98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3" w:hRule="atLeast"/>
          <w:jc w:val="center"/>
        </w:trPr>
        <w:tc>
          <w:tcPr>
            <w:tcW w:w="908" w:type="dxa"/>
            <w:tcBorders>
              <w:top w:val="single" w:color="auto" w:sz="4" w:space="0"/>
              <w:bottom w:val="single" w:color="auto" w:sz="4" w:space="0"/>
              <w:right w:val="single" w:color="auto" w:sz="4" w:space="0"/>
            </w:tcBorders>
            <w:vAlign w:val="center"/>
          </w:tcPr>
          <w:p w14:paraId="513C55C3">
            <w:pPr>
              <w:spacing w:line="560" w:lineRule="exact"/>
              <w:ind w:firstLine="0" w:firstLineChars="0"/>
              <w:jc w:val="center"/>
              <w:rPr>
                <w:rFonts w:ascii="仿宋_GB2312" w:hAnsi="宋体"/>
                <w:color w:val="auto"/>
                <w:szCs w:val="28"/>
              </w:rPr>
            </w:pPr>
            <w:r>
              <w:rPr>
                <w:rFonts w:hint="eastAsia" w:ascii="仿宋_GB2312" w:hAnsi="宋体"/>
                <w:color w:val="auto"/>
                <w:szCs w:val="28"/>
              </w:rPr>
              <w:t>19</w:t>
            </w:r>
          </w:p>
        </w:tc>
        <w:tc>
          <w:tcPr>
            <w:tcW w:w="8291" w:type="dxa"/>
            <w:tcBorders>
              <w:top w:val="single" w:color="auto" w:sz="4" w:space="0"/>
              <w:left w:val="single" w:color="auto" w:sz="4" w:space="0"/>
              <w:bottom w:val="single" w:color="auto" w:sz="4" w:space="0"/>
            </w:tcBorders>
            <w:vAlign w:val="center"/>
          </w:tcPr>
          <w:p w14:paraId="2A199D81">
            <w:pPr>
              <w:spacing w:line="560" w:lineRule="exact"/>
              <w:ind w:firstLine="0" w:firstLineChars="0"/>
              <w:rPr>
                <w:rFonts w:ascii="仿宋_GB2312" w:hAnsi="宋体"/>
                <w:color w:val="auto"/>
                <w:szCs w:val="28"/>
              </w:rPr>
            </w:pPr>
            <w:r>
              <w:rPr>
                <w:rFonts w:hint="eastAsia" w:ascii="仿宋_GB2312" w:hAnsi="宋体"/>
                <w:color w:val="auto"/>
                <w:szCs w:val="28"/>
              </w:rPr>
              <w:t>响应文件开启（解密）程序：</w:t>
            </w:r>
          </w:p>
          <w:p w14:paraId="15F761A6">
            <w:pPr>
              <w:spacing w:line="560" w:lineRule="exact"/>
              <w:ind w:firstLine="0" w:firstLineChars="0"/>
              <w:rPr>
                <w:rFonts w:ascii="仿宋_GB2312" w:hAnsi="宋体"/>
                <w:color w:val="auto"/>
                <w:szCs w:val="28"/>
              </w:rPr>
            </w:pPr>
            <w:r>
              <w:rPr>
                <w:rFonts w:hint="eastAsia" w:ascii="仿宋_GB2312" w:hAnsi="宋体"/>
                <w:color w:val="auto"/>
                <w:szCs w:val="28"/>
              </w:rPr>
              <w:t>响应文件开启（解密）后15分钟内完成解密</w:t>
            </w:r>
          </w:p>
        </w:tc>
      </w:tr>
      <w:tr w14:paraId="7B038C0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16" w:hRule="atLeast"/>
          <w:jc w:val="center"/>
        </w:trPr>
        <w:tc>
          <w:tcPr>
            <w:tcW w:w="908" w:type="dxa"/>
            <w:tcBorders>
              <w:top w:val="single" w:color="auto" w:sz="4" w:space="0"/>
              <w:bottom w:val="single" w:color="auto" w:sz="4" w:space="0"/>
              <w:right w:val="single" w:color="auto" w:sz="4" w:space="0"/>
            </w:tcBorders>
            <w:vAlign w:val="center"/>
          </w:tcPr>
          <w:p w14:paraId="7838D2B9">
            <w:pPr>
              <w:spacing w:line="560" w:lineRule="exact"/>
              <w:ind w:firstLine="0" w:firstLineChars="0"/>
              <w:jc w:val="center"/>
              <w:rPr>
                <w:rFonts w:ascii="仿宋_GB2312" w:hAnsi="宋体"/>
                <w:color w:val="auto"/>
                <w:szCs w:val="28"/>
              </w:rPr>
            </w:pPr>
            <w:r>
              <w:rPr>
                <w:rFonts w:hint="eastAsia" w:ascii="仿宋_GB2312" w:hAnsi="宋体"/>
                <w:color w:val="auto"/>
                <w:szCs w:val="28"/>
              </w:rPr>
              <w:t>20</w:t>
            </w:r>
          </w:p>
        </w:tc>
        <w:tc>
          <w:tcPr>
            <w:tcW w:w="8291" w:type="dxa"/>
            <w:tcBorders>
              <w:top w:val="single" w:color="auto" w:sz="4" w:space="0"/>
              <w:left w:val="single" w:color="auto" w:sz="4" w:space="0"/>
              <w:bottom w:val="single" w:color="auto" w:sz="4" w:space="0"/>
            </w:tcBorders>
            <w:vAlign w:val="center"/>
          </w:tcPr>
          <w:p w14:paraId="6151620B">
            <w:pPr>
              <w:spacing w:line="560" w:lineRule="exact"/>
              <w:ind w:firstLine="0" w:firstLineChars="0"/>
              <w:rPr>
                <w:rFonts w:ascii="仿宋_GB2312" w:hAnsi="宋体"/>
                <w:color w:val="auto"/>
                <w:szCs w:val="28"/>
              </w:rPr>
            </w:pPr>
            <w:r>
              <w:rPr>
                <w:rFonts w:ascii="仿宋_GB2312" w:hAnsi="宋体"/>
                <w:color w:val="auto"/>
                <w:szCs w:val="28"/>
              </w:rPr>
              <w:t xml:space="preserve"> 乳山市2024年水库移民扶持基金项目和大中型水库移民后期扶持人口自然变化结余资金项目施工</w:t>
            </w:r>
            <w:r>
              <w:rPr>
                <w:rFonts w:hint="eastAsia" w:ascii="仿宋_GB2312" w:hAnsi="宋体"/>
                <w:color w:val="auto"/>
                <w:szCs w:val="28"/>
              </w:rPr>
              <w:t>(</w:t>
            </w:r>
            <w:r>
              <w:rPr>
                <w:rFonts w:ascii="仿宋_GB2312" w:hAnsi="宋体"/>
                <w:color w:val="auto"/>
                <w:szCs w:val="28"/>
              </w:rPr>
              <w:t>A</w:t>
            </w:r>
            <w:r>
              <w:rPr>
                <w:rFonts w:hint="eastAsia" w:ascii="仿宋_GB2312" w:hAnsi="宋体"/>
                <w:color w:val="auto"/>
                <w:szCs w:val="28"/>
              </w:rPr>
              <w:t>包)</w:t>
            </w:r>
          </w:p>
          <w:p w14:paraId="47152B07">
            <w:pPr>
              <w:spacing w:line="560" w:lineRule="exact"/>
              <w:ind w:firstLine="0" w:firstLineChars="0"/>
              <w:rPr>
                <w:rFonts w:ascii="仿宋_GB2312" w:hAnsi="宋体"/>
                <w:color w:val="auto"/>
                <w:szCs w:val="28"/>
              </w:rPr>
            </w:pPr>
            <w:r>
              <w:rPr>
                <w:rFonts w:hint="eastAsia" w:ascii="仿宋_GB2312" w:hAnsi="宋体"/>
                <w:color w:val="auto"/>
                <w:szCs w:val="28"/>
              </w:rPr>
              <w:t>质保期：1</w:t>
            </w:r>
            <w:r>
              <w:rPr>
                <w:rFonts w:ascii="仿宋_GB2312" w:hAnsi="宋体"/>
                <w:color w:val="auto"/>
                <w:szCs w:val="28"/>
              </w:rPr>
              <w:t>年</w:t>
            </w:r>
          </w:p>
        </w:tc>
      </w:tr>
      <w:tr w14:paraId="2A429E3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1338" w:hRule="atLeast"/>
          <w:jc w:val="center"/>
        </w:trPr>
        <w:tc>
          <w:tcPr>
            <w:tcW w:w="908" w:type="dxa"/>
            <w:tcBorders>
              <w:top w:val="single" w:color="auto" w:sz="4" w:space="0"/>
              <w:bottom w:val="single" w:color="auto" w:sz="4" w:space="0"/>
              <w:right w:val="single" w:color="auto" w:sz="4" w:space="0"/>
            </w:tcBorders>
            <w:vAlign w:val="center"/>
          </w:tcPr>
          <w:p w14:paraId="396C9A82">
            <w:pPr>
              <w:spacing w:line="560" w:lineRule="exact"/>
              <w:ind w:firstLine="0" w:firstLineChars="0"/>
              <w:jc w:val="center"/>
              <w:rPr>
                <w:rFonts w:ascii="仿宋_GB2312" w:hAnsi="宋体"/>
                <w:color w:val="auto"/>
                <w:szCs w:val="28"/>
              </w:rPr>
            </w:pPr>
            <w:r>
              <w:rPr>
                <w:rFonts w:hint="eastAsia" w:ascii="仿宋_GB2312" w:hAnsi="宋体"/>
                <w:color w:val="auto"/>
                <w:szCs w:val="28"/>
              </w:rPr>
              <w:t>21</w:t>
            </w:r>
          </w:p>
        </w:tc>
        <w:tc>
          <w:tcPr>
            <w:tcW w:w="8291" w:type="dxa"/>
            <w:tcBorders>
              <w:top w:val="single" w:color="auto" w:sz="4" w:space="0"/>
              <w:left w:val="single" w:color="auto" w:sz="4" w:space="0"/>
              <w:bottom w:val="single" w:color="auto" w:sz="4" w:space="0"/>
            </w:tcBorders>
            <w:vAlign w:val="center"/>
          </w:tcPr>
          <w:p w14:paraId="2B246221">
            <w:pPr>
              <w:spacing w:line="560" w:lineRule="exact"/>
              <w:ind w:firstLine="0" w:firstLineChars="0"/>
              <w:rPr>
                <w:rFonts w:ascii="仿宋_GB2312" w:hAnsi="宋体"/>
                <w:color w:val="auto"/>
                <w:szCs w:val="28"/>
              </w:rPr>
            </w:pPr>
            <w:r>
              <w:rPr>
                <w:rFonts w:ascii="仿宋_GB2312" w:hAnsi="宋体"/>
                <w:color w:val="auto"/>
                <w:szCs w:val="28"/>
              </w:rPr>
              <w:t xml:space="preserve"> 乳山市2024年水库移民扶持基金项目和大中型水库移民后期扶持人口自然变化结余资金项目施工</w:t>
            </w:r>
            <w:r>
              <w:rPr>
                <w:rFonts w:hint="eastAsia" w:ascii="仿宋_GB2312" w:hAnsi="宋体"/>
                <w:color w:val="auto"/>
                <w:szCs w:val="28"/>
              </w:rPr>
              <w:t>(</w:t>
            </w:r>
            <w:r>
              <w:rPr>
                <w:rFonts w:ascii="仿宋_GB2312" w:hAnsi="宋体"/>
                <w:color w:val="auto"/>
                <w:szCs w:val="28"/>
              </w:rPr>
              <w:t>A</w:t>
            </w:r>
            <w:r>
              <w:rPr>
                <w:rFonts w:hint="eastAsia" w:ascii="仿宋_GB2312" w:hAnsi="宋体"/>
                <w:color w:val="auto"/>
                <w:szCs w:val="28"/>
              </w:rPr>
              <w:t>包)</w:t>
            </w:r>
          </w:p>
          <w:p w14:paraId="53028C0D">
            <w:pPr>
              <w:ind w:left="4" w:firstLine="0" w:firstLineChars="0"/>
              <w:rPr>
                <w:rFonts w:hint="default" w:ascii="仿宋_GB2312" w:hAnsi="宋体" w:eastAsia="仿宋_GB2312"/>
                <w:color w:val="auto"/>
                <w:szCs w:val="28"/>
                <w:lang w:val="en-US" w:eastAsia="zh-CN"/>
              </w:rPr>
            </w:pPr>
            <w:r>
              <w:rPr>
                <w:rFonts w:hint="eastAsia" w:ascii="仿宋_GB2312" w:hAnsi="宋体"/>
                <w:color w:val="auto"/>
                <w:szCs w:val="28"/>
              </w:rPr>
              <w:t xml:space="preserve">工期: </w:t>
            </w:r>
            <w:r>
              <w:rPr>
                <w:rFonts w:hint="eastAsia" w:ascii="仿宋_GB2312" w:hAnsi="宋体"/>
                <w:color w:val="auto"/>
                <w:szCs w:val="28"/>
                <w:lang w:val="en-US" w:eastAsia="zh-CN"/>
              </w:rPr>
              <w:t>2025年3月底前完工</w:t>
            </w:r>
          </w:p>
          <w:p w14:paraId="14997F6E">
            <w:pPr>
              <w:spacing w:line="560" w:lineRule="exact"/>
              <w:ind w:firstLine="0" w:firstLineChars="0"/>
              <w:rPr>
                <w:rFonts w:ascii="仿宋_GB2312" w:hAnsi="宋体"/>
                <w:color w:val="auto"/>
                <w:szCs w:val="28"/>
              </w:rPr>
            </w:pPr>
            <w:r>
              <w:rPr>
                <w:rFonts w:hint="eastAsia" w:ascii="仿宋_GB2312" w:hAnsi="宋体"/>
                <w:color w:val="auto"/>
                <w:szCs w:val="28"/>
              </w:rPr>
              <w:t>交付地点:采购人指定地点</w:t>
            </w:r>
          </w:p>
        </w:tc>
      </w:tr>
      <w:tr w14:paraId="3FBAD7F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65" w:hRule="atLeast"/>
          <w:jc w:val="center"/>
        </w:trPr>
        <w:tc>
          <w:tcPr>
            <w:tcW w:w="908" w:type="dxa"/>
            <w:tcBorders>
              <w:top w:val="single" w:color="auto" w:sz="4" w:space="0"/>
              <w:bottom w:val="single" w:color="auto" w:sz="4" w:space="0"/>
              <w:right w:val="single" w:color="auto" w:sz="4" w:space="0"/>
            </w:tcBorders>
            <w:vAlign w:val="center"/>
          </w:tcPr>
          <w:p w14:paraId="3089425B">
            <w:pPr>
              <w:spacing w:line="560" w:lineRule="exact"/>
              <w:ind w:firstLine="0" w:firstLineChars="0"/>
              <w:jc w:val="center"/>
              <w:rPr>
                <w:rFonts w:ascii="仿宋_GB2312" w:hAnsi="宋体"/>
                <w:color w:val="auto"/>
                <w:szCs w:val="28"/>
              </w:rPr>
            </w:pPr>
            <w:r>
              <w:rPr>
                <w:rFonts w:hint="eastAsia" w:ascii="仿宋_GB2312" w:hAnsi="宋体"/>
                <w:color w:val="auto"/>
                <w:szCs w:val="28"/>
              </w:rPr>
              <w:t>22</w:t>
            </w:r>
          </w:p>
        </w:tc>
        <w:tc>
          <w:tcPr>
            <w:tcW w:w="8291" w:type="dxa"/>
            <w:tcBorders>
              <w:top w:val="single" w:color="auto" w:sz="4" w:space="0"/>
              <w:left w:val="single" w:color="auto" w:sz="4" w:space="0"/>
              <w:bottom w:val="single" w:color="auto" w:sz="4" w:space="0"/>
            </w:tcBorders>
            <w:vAlign w:val="center"/>
          </w:tcPr>
          <w:p w14:paraId="2BF7CCC8">
            <w:pPr>
              <w:spacing w:line="560" w:lineRule="exact"/>
              <w:ind w:firstLine="0" w:firstLineChars="0"/>
              <w:rPr>
                <w:rFonts w:ascii="仿宋_GB2312" w:hAnsi="宋体"/>
                <w:color w:val="auto"/>
                <w:szCs w:val="28"/>
              </w:rPr>
            </w:pPr>
            <w:r>
              <w:rPr>
                <w:rFonts w:hint="eastAsia" w:ascii="仿宋_GB2312" w:hAnsi="宋体"/>
                <w:color w:val="auto"/>
                <w:szCs w:val="28"/>
              </w:rPr>
              <w:t>评标办法：</w:t>
            </w:r>
            <w:r>
              <w:rPr>
                <w:rFonts w:ascii="仿宋_GB2312" w:hAnsi="宋体"/>
                <w:color w:val="auto"/>
                <w:szCs w:val="28"/>
              </w:rPr>
              <w:t xml:space="preserve"> 乳山市2024年水库移民扶持基金项目和大中型水库移民后期扶持人口自然变化结余资金项目施工</w:t>
            </w:r>
            <w:r>
              <w:rPr>
                <w:rFonts w:hint="eastAsia" w:ascii="仿宋_GB2312" w:hAnsi="宋体"/>
                <w:color w:val="auto"/>
                <w:szCs w:val="28"/>
              </w:rPr>
              <w:t>(</w:t>
            </w:r>
            <w:r>
              <w:rPr>
                <w:rFonts w:ascii="仿宋_GB2312" w:hAnsi="宋体"/>
                <w:color w:val="auto"/>
                <w:szCs w:val="28"/>
              </w:rPr>
              <w:t>A</w:t>
            </w:r>
            <w:r>
              <w:rPr>
                <w:rFonts w:hint="eastAsia" w:ascii="仿宋_GB2312" w:hAnsi="宋体"/>
                <w:color w:val="auto"/>
                <w:szCs w:val="28"/>
              </w:rPr>
              <w:t>包),综合评分法</w:t>
            </w:r>
          </w:p>
        </w:tc>
      </w:tr>
      <w:tr w14:paraId="2CF1A05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14ACBEED">
            <w:pPr>
              <w:spacing w:line="560" w:lineRule="exact"/>
              <w:ind w:firstLine="0" w:firstLineChars="0"/>
              <w:jc w:val="center"/>
              <w:rPr>
                <w:rFonts w:ascii="仿宋_GB2312" w:hAnsi="宋体"/>
                <w:color w:val="auto"/>
                <w:szCs w:val="28"/>
              </w:rPr>
            </w:pPr>
            <w:r>
              <w:rPr>
                <w:rFonts w:hint="eastAsia" w:ascii="仿宋_GB2312" w:hAnsi="宋体"/>
                <w:color w:val="auto"/>
                <w:szCs w:val="28"/>
              </w:rPr>
              <w:t>23</w:t>
            </w:r>
          </w:p>
        </w:tc>
        <w:tc>
          <w:tcPr>
            <w:tcW w:w="8291" w:type="dxa"/>
            <w:tcBorders>
              <w:top w:val="single" w:color="auto" w:sz="4" w:space="0"/>
              <w:left w:val="single" w:color="auto" w:sz="4" w:space="0"/>
              <w:bottom w:val="single" w:color="auto" w:sz="4" w:space="0"/>
            </w:tcBorders>
            <w:vAlign w:val="center"/>
          </w:tcPr>
          <w:p w14:paraId="7F35C238">
            <w:pPr>
              <w:spacing w:line="560" w:lineRule="exact"/>
              <w:ind w:firstLine="0" w:firstLineChars="0"/>
              <w:rPr>
                <w:rFonts w:ascii="仿宋_GB2312" w:hAnsi="宋体"/>
                <w:color w:val="auto"/>
                <w:szCs w:val="28"/>
              </w:rPr>
            </w:pPr>
            <w:r>
              <w:rPr>
                <w:rFonts w:hint="eastAsia" w:ascii="仿宋_GB2312" w:hAnsi="宋体"/>
                <w:color w:val="auto"/>
                <w:szCs w:val="28"/>
              </w:rPr>
              <w:t>本项目不收取履约保证金。如成交单位中标后不按采购文件相关规定执行的，按诚信体系建设要求列入信用黑名单，1-3年内禁止参加政府采购活动。</w:t>
            </w:r>
          </w:p>
        </w:tc>
      </w:tr>
      <w:tr w14:paraId="2F96499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0506835B">
            <w:pPr>
              <w:spacing w:line="560" w:lineRule="exact"/>
              <w:ind w:firstLine="0" w:firstLineChars="0"/>
              <w:jc w:val="center"/>
              <w:rPr>
                <w:rFonts w:ascii="仿宋_GB2312" w:hAnsi="宋体"/>
                <w:color w:val="auto"/>
                <w:szCs w:val="28"/>
              </w:rPr>
            </w:pPr>
            <w:r>
              <w:rPr>
                <w:rFonts w:hint="eastAsia" w:ascii="仿宋_GB2312" w:hAnsi="宋体"/>
                <w:color w:val="auto"/>
                <w:szCs w:val="28"/>
              </w:rPr>
              <w:t>24</w:t>
            </w:r>
          </w:p>
        </w:tc>
        <w:tc>
          <w:tcPr>
            <w:tcW w:w="8291" w:type="dxa"/>
            <w:tcBorders>
              <w:top w:val="single" w:color="auto" w:sz="4" w:space="0"/>
              <w:left w:val="single" w:color="auto" w:sz="4" w:space="0"/>
              <w:bottom w:val="single" w:color="auto" w:sz="4" w:space="0"/>
            </w:tcBorders>
            <w:vAlign w:val="center"/>
          </w:tcPr>
          <w:p w14:paraId="414433B9">
            <w:pPr>
              <w:spacing w:line="600" w:lineRule="exact"/>
              <w:ind w:firstLine="0" w:firstLineChars="0"/>
              <w:rPr>
                <w:rFonts w:ascii="仿宋_GB2312" w:hAnsi="宋体"/>
                <w:color w:val="auto"/>
                <w:szCs w:val="28"/>
              </w:rPr>
            </w:pPr>
            <w:r>
              <w:rPr>
                <w:rFonts w:ascii="仿宋_GB2312" w:hAnsi="宋体"/>
                <w:color w:val="auto"/>
                <w:szCs w:val="28"/>
              </w:rPr>
              <w:t>是否兼投不兼中：否</w:t>
            </w:r>
          </w:p>
        </w:tc>
      </w:tr>
      <w:tr w14:paraId="50C03C4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35774E7B">
            <w:pPr>
              <w:spacing w:line="560" w:lineRule="exact"/>
              <w:ind w:firstLine="0" w:firstLineChars="0"/>
              <w:jc w:val="center"/>
              <w:rPr>
                <w:rFonts w:ascii="仿宋_GB2312" w:hAnsi="宋体"/>
                <w:color w:val="auto"/>
                <w:szCs w:val="28"/>
              </w:rPr>
            </w:pPr>
            <w:r>
              <w:rPr>
                <w:rFonts w:hint="eastAsia" w:ascii="仿宋_GB2312" w:hAnsi="宋体"/>
                <w:color w:val="auto"/>
                <w:szCs w:val="28"/>
              </w:rPr>
              <w:t>25</w:t>
            </w:r>
          </w:p>
        </w:tc>
        <w:tc>
          <w:tcPr>
            <w:tcW w:w="8291" w:type="dxa"/>
            <w:tcBorders>
              <w:top w:val="single" w:color="auto" w:sz="4" w:space="0"/>
              <w:left w:val="single" w:color="auto" w:sz="4" w:space="0"/>
              <w:bottom w:val="single" w:color="auto" w:sz="4" w:space="0"/>
            </w:tcBorders>
            <w:vAlign w:val="center"/>
          </w:tcPr>
          <w:p w14:paraId="4429D11E">
            <w:pPr>
              <w:spacing w:line="560" w:lineRule="exact"/>
              <w:ind w:firstLine="0" w:firstLineChars="0"/>
              <w:rPr>
                <w:rFonts w:ascii="仿宋_GB2312" w:hAnsi="宋体"/>
                <w:color w:val="auto"/>
                <w:szCs w:val="28"/>
              </w:rPr>
            </w:pPr>
            <w:r>
              <w:rPr>
                <w:rFonts w:hint="eastAsia" w:ascii="仿宋_GB2312" w:hAnsi="宋体"/>
                <w:color w:val="auto"/>
                <w:szCs w:val="28"/>
              </w:rPr>
              <w:t>本项目付款方式如下：</w:t>
            </w:r>
          </w:p>
          <w:p w14:paraId="76D11AE0">
            <w:pPr>
              <w:spacing w:line="560" w:lineRule="exact"/>
              <w:ind w:firstLine="0" w:firstLineChars="0"/>
              <w:rPr>
                <w:rFonts w:ascii="仿宋_GB2312" w:hAnsi="宋体"/>
                <w:color w:val="auto"/>
                <w:szCs w:val="28"/>
              </w:rPr>
            </w:pPr>
            <w:r>
              <w:rPr>
                <w:rFonts w:hint="eastAsia" w:ascii="仿宋_GB2312" w:hAnsi="宋体"/>
                <w:color w:val="auto"/>
                <w:szCs w:val="28"/>
              </w:rPr>
              <w:t>本项目无预付款，施工期间按工程形象进度拨款，支付计量工程款的50%，工程验收合格后，支付到合同价款的85%，结算审定付到结算价款的97%，余款3%作为质量保证金，在工程缺陷责任期结束后无质量问题一次性付清。</w:t>
            </w:r>
          </w:p>
        </w:tc>
      </w:tr>
      <w:tr w14:paraId="58D5C15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16037494">
            <w:pPr>
              <w:spacing w:line="560" w:lineRule="exact"/>
              <w:ind w:firstLine="0" w:firstLineChars="0"/>
              <w:jc w:val="center"/>
              <w:rPr>
                <w:rFonts w:ascii="仿宋_GB2312" w:hAnsi="宋体"/>
                <w:color w:val="auto"/>
                <w:szCs w:val="28"/>
              </w:rPr>
            </w:pPr>
            <w:r>
              <w:rPr>
                <w:rFonts w:hint="eastAsia" w:ascii="仿宋_GB2312" w:hAnsi="宋体"/>
                <w:color w:val="auto"/>
                <w:szCs w:val="28"/>
              </w:rPr>
              <w:t>26</w:t>
            </w:r>
          </w:p>
        </w:tc>
        <w:tc>
          <w:tcPr>
            <w:tcW w:w="8291" w:type="dxa"/>
            <w:tcBorders>
              <w:top w:val="single" w:color="auto" w:sz="4" w:space="0"/>
              <w:left w:val="single" w:color="auto" w:sz="4" w:space="0"/>
              <w:bottom w:val="single" w:color="auto" w:sz="4" w:space="0"/>
            </w:tcBorders>
            <w:vAlign w:val="center"/>
          </w:tcPr>
          <w:p w14:paraId="1809854D">
            <w:pPr>
              <w:spacing w:line="560" w:lineRule="exact"/>
              <w:ind w:firstLine="0" w:firstLineChars="0"/>
              <w:rPr>
                <w:rFonts w:ascii="仿宋_GB2312" w:hAnsi="宋体"/>
                <w:color w:val="auto"/>
                <w:szCs w:val="28"/>
              </w:rPr>
            </w:pPr>
            <w:r>
              <w:rPr>
                <w:rFonts w:hint="eastAsia" w:ascii="仿宋_GB2312" w:hAnsi="宋体"/>
                <w:color w:val="auto"/>
                <w:szCs w:val="28"/>
              </w:rPr>
              <w:t>推荐成交</w:t>
            </w:r>
            <w:r>
              <w:rPr>
                <w:rFonts w:ascii="仿宋_GB2312" w:hAnsi="宋体"/>
                <w:color w:val="auto"/>
                <w:szCs w:val="28"/>
              </w:rPr>
              <w:t>候选供应商的数量</w:t>
            </w:r>
            <w:r>
              <w:rPr>
                <w:rFonts w:hint="eastAsia" w:ascii="仿宋_GB2312" w:hAnsi="宋体"/>
                <w:color w:val="auto"/>
                <w:szCs w:val="28"/>
              </w:rPr>
              <w:t>：1-3家（当资格性和符合性检查合格供应商家数为3家时，推荐总分排序最高的供应商为成交</w:t>
            </w:r>
            <w:r>
              <w:rPr>
                <w:rFonts w:ascii="仿宋_GB2312" w:hAnsi="宋体"/>
                <w:color w:val="auto"/>
                <w:szCs w:val="28"/>
              </w:rPr>
              <w:t>候选供应商</w:t>
            </w:r>
            <w:r>
              <w:rPr>
                <w:rFonts w:hint="eastAsia" w:ascii="仿宋_GB2312" w:hAnsi="宋体"/>
                <w:color w:val="auto"/>
                <w:szCs w:val="28"/>
              </w:rPr>
              <w:t>；当资格性和符合性检查合格供应商家数为4家时，推荐总分排序最高的前2名供应商为成交</w:t>
            </w:r>
            <w:r>
              <w:rPr>
                <w:rFonts w:ascii="仿宋_GB2312" w:hAnsi="宋体"/>
                <w:color w:val="auto"/>
                <w:szCs w:val="28"/>
              </w:rPr>
              <w:t>候选供应商</w:t>
            </w:r>
            <w:r>
              <w:rPr>
                <w:rFonts w:hint="eastAsia" w:ascii="仿宋_GB2312" w:hAnsi="宋体"/>
                <w:color w:val="auto"/>
                <w:szCs w:val="28"/>
              </w:rPr>
              <w:t>；当资格性和符合性检查合格供应商家数为5家及以上时，推荐总分排序最高的前3名供应商为成交</w:t>
            </w:r>
            <w:r>
              <w:rPr>
                <w:rFonts w:ascii="仿宋_GB2312" w:hAnsi="宋体"/>
                <w:color w:val="auto"/>
                <w:szCs w:val="28"/>
              </w:rPr>
              <w:t>候选供应商</w:t>
            </w:r>
            <w:r>
              <w:rPr>
                <w:rFonts w:hint="eastAsia" w:ascii="仿宋_GB2312" w:hAnsi="宋体"/>
                <w:color w:val="auto"/>
                <w:szCs w:val="28"/>
              </w:rPr>
              <w:t>。）</w:t>
            </w:r>
          </w:p>
        </w:tc>
      </w:tr>
      <w:tr w14:paraId="0142DF3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2B3108E9">
            <w:pPr>
              <w:spacing w:line="560" w:lineRule="exact"/>
              <w:ind w:firstLine="0" w:firstLineChars="0"/>
              <w:jc w:val="center"/>
              <w:rPr>
                <w:rFonts w:ascii="仿宋_GB2312" w:hAnsi="宋体"/>
                <w:color w:val="auto"/>
                <w:szCs w:val="28"/>
              </w:rPr>
            </w:pPr>
            <w:r>
              <w:rPr>
                <w:rFonts w:hint="eastAsia" w:ascii="仿宋_GB2312" w:hAnsi="宋体"/>
                <w:color w:val="auto"/>
                <w:szCs w:val="28"/>
              </w:rPr>
              <w:t>27</w:t>
            </w:r>
          </w:p>
        </w:tc>
        <w:tc>
          <w:tcPr>
            <w:tcW w:w="8291" w:type="dxa"/>
            <w:tcBorders>
              <w:top w:val="single" w:color="auto" w:sz="4" w:space="0"/>
              <w:left w:val="single" w:color="auto" w:sz="4" w:space="0"/>
              <w:bottom w:val="single" w:color="auto" w:sz="4" w:space="0"/>
            </w:tcBorders>
            <w:vAlign w:val="center"/>
          </w:tcPr>
          <w:p w14:paraId="7F06D3A3">
            <w:pPr>
              <w:spacing w:line="560" w:lineRule="exact"/>
              <w:ind w:firstLine="0" w:firstLineChars="0"/>
              <w:rPr>
                <w:rFonts w:ascii="仿宋_GB2312" w:hAnsi="宋体"/>
                <w:color w:val="auto"/>
                <w:szCs w:val="28"/>
              </w:rPr>
            </w:pPr>
            <w:r>
              <w:rPr>
                <w:rFonts w:hint="eastAsia" w:ascii="仿宋_GB2312" w:hAnsi="宋体"/>
                <w:color w:val="auto"/>
                <w:szCs w:val="28"/>
              </w:rPr>
              <w:t>是否委托评审委员会确定成交供应商：是</w:t>
            </w:r>
          </w:p>
        </w:tc>
      </w:tr>
      <w:tr w14:paraId="61A213C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2ED7C39D">
            <w:pPr>
              <w:spacing w:line="560" w:lineRule="exact"/>
              <w:ind w:firstLine="0" w:firstLineChars="0"/>
              <w:jc w:val="center"/>
              <w:rPr>
                <w:rFonts w:ascii="仿宋_GB2312" w:hAnsi="宋体"/>
                <w:color w:val="auto"/>
                <w:szCs w:val="28"/>
              </w:rPr>
            </w:pPr>
            <w:r>
              <w:rPr>
                <w:rFonts w:hint="eastAsia" w:ascii="仿宋_GB2312" w:hAnsi="宋体"/>
                <w:color w:val="auto"/>
                <w:szCs w:val="28"/>
              </w:rPr>
              <w:t>28</w:t>
            </w:r>
          </w:p>
        </w:tc>
        <w:tc>
          <w:tcPr>
            <w:tcW w:w="8291" w:type="dxa"/>
            <w:tcBorders>
              <w:top w:val="single" w:color="auto" w:sz="4" w:space="0"/>
              <w:left w:val="single" w:color="auto" w:sz="4" w:space="0"/>
              <w:bottom w:val="single" w:color="auto" w:sz="4" w:space="0"/>
            </w:tcBorders>
            <w:vAlign w:val="center"/>
          </w:tcPr>
          <w:p w14:paraId="7A81C4F2">
            <w:pPr>
              <w:spacing w:line="560" w:lineRule="exact"/>
              <w:ind w:firstLine="0" w:firstLineChars="0"/>
              <w:rPr>
                <w:rFonts w:ascii="仿宋_GB2312" w:hAnsi="宋体"/>
                <w:color w:val="auto"/>
                <w:szCs w:val="28"/>
              </w:rPr>
            </w:pPr>
            <w:r>
              <w:rPr>
                <w:rFonts w:hint="eastAsia" w:ascii="仿宋_GB2312" w:hAnsi="宋体"/>
                <w:color w:val="auto"/>
                <w:szCs w:val="28"/>
              </w:rPr>
              <w:t>是否</w:t>
            </w:r>
            <w:r>
              <w:rPr>
                <w:rFonts w:ascii="仿宋_GB2312" w:hAnsi="宋体"/>
                <w:color w:val="auto"/>
                <w:szCs w:val="28"/>
              </w:rPr>
              <w:t>属于信用担保试点范围</w:t>
            </w:r>
            <w:r>
              <w:rPr>
                <w:rFonts w:hint="eastAsia" w:ascii="仿宋_GB2312" w:hAnsi="宋体"/>
                <w:color w:val="auto"/>
                <w:szCs w:val="28"/>
              </w:rPr>
              <w:t>：是</w:t>
            </w:r>
          </w:p>
        </w:tc>
      </w:tr>
      <w:tr w14:paraId="319E5A3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46CC6F74">
            <w:pPr>
              <w:spacing w:line="560" w:lineRule="exact"/>
              <w:ind w:firstLine="0" w:firstLineChars="0"/>
              <w:jc w:val="center"/>
              <w:rPr>
                <w:rFonts w:ascii="仿宋_GB2312" w:hAnsi="宋体"/>
                <w:color w:val="auto"/>
                <w:szCs w:val="28"/>
              </w:rPr>
            </w:pPr>
            <w:r>
              <w:rPr>
                <w:rFonts w:hint="eastAsia" w:ascii="仿宋_GB2312" w:hAnsi="宋体"/>
                <w:color w:val="auto"/>
                <w:szCs w:val="28"/>
              </w:rPr>
              <w:t>29</w:t>
            </w:r>
          </w:p>
        </w:tc>
        <w:tc>
          <w:tcPr>
            <w:tcW w:w="8291" w:type="dxa"/>
            <w:tcBorders>
              <w:top w:val="single" w:color="auto" w:sz="4" w:space="0"/>
              <w:left w:val="single" w:color="auto" w:sz="4" w:space="0"/>
              <w:bottom w:val="single" w:color="auto" w:sz="4" w:space="0"/>
            </w:tcBorders>
            <w:vAlign w:val="center"/>
          </w:tcPr>
          <w:p w14:paraId="7C16ADDC">
            <w:pPr>
              <w:spacing w:line="560" w:lineRule="exact"/>
              <w:ind w:firstLine="0" w:firstLineChars="0"/>
              <w:rPr>
                <w:rFonts w:ascii="仿宋_GB2312" w:hAnsi="宋体"/>
                <w:color w:val="auto"/>
                <w:szCs w:val="28"/>
              </w:rPr>
            </w:pPr>
            <w:r>
              <w:rPr>
                <w:rFonts w:hint="eastAsia" w:ascii="仿宋_GB2312" w:hAnsi="宋体"/>
                <w:color w:val="auto"/>
                <w:szCs w:val="28"/>
              </w:rPr>
              <w:t>反腐倡廉监督联系方式：</w:t>
            </w:r>
          </w:p>
          <w:p w14:paraId="77DE8ECB">
            <w:pPr>
              <w:spacing w:line="560" w:lineRule="exact"/>
              <w:ind w:firstLine="0" w:firstLineChars="0"/>
              <w:rPr>
                <w:rFonts w:ascii="仿宋_GB2312" w:hAnsi="宋体"/>
                <w:color w:val="auto"/>
                <w:szCs w:val="28"/>
              </w:rPr>
            </w:pPr>
            <w:r>
              <w:rPr>
                <w:rFonts w:hint="eastAsia" w:ascii="仿宋_GB2312" w:hAnsi="宋体"/>
                <w:color w:val="auto"/>
                <w:szCs w:val="28"/>
              </w:rPr>
              <w:t>电话/邮箱：</w:t>
            </w:r>
            <w:r>
              <w:rPr>
                <w:rFonts w:ascii="仿宋_GB2312" w:hAnsi="宋体"/>
                <w:color w:val="auto"/>
                <w:szCs w:val="28"/>
              </w:rPr>
              <w:t>0631-6662267/rushanjyzx@wh.shandong.cn</w:t>
            </w:r>
          </w:p>
        </w:tc>
      </w:tr>
      <w:tr w14:paraId="54E1B88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41B9B9F9">
            <w:pPr>
              <w:spacing w:line="560" w:lineRule="exact"/>
              <w:ind w:firstLine="0" w:firstLineChars="0"/>
              <w:jc w:val="center"/>
              <w:rPr>
                <w:rFonts w:ascii="仿宋_GB2312" w:hAnsi="宋体"/>
                <w:color w:val="auto"/>
                <w:szCs w:val="28"/>
              </w:rPr>
            </w:pPr>
            <w:r>
              <w:rPr>
                <w:rFonts w:hint="eastAsia" w:ascii="仿宋_GB2312" w:hAnsi="宋体"/>
                <w:color w:val="auto"/>
                <w:szCs w:val="28"/>
              </w:rPr>
              <w:t>30</w:t>
            </w:r>
          </w:p>
        </w:tc>
        <w:tc>
          <w:tcPr>
            <w:tcW w:w="8291" w:type="dxa"/>
            <w:tcBorders>
              <w:top w:val="single" w:color="auto" w:sz="4" w:space="0"/>
              <w:left w:val="single" w:color="auto" w:sz="4" w:space="0"/>
              <w:bottom w:val="single" w:color="auto" w:sz="4" w:space="0"/>
            </w:tcBorders>
            <w:vAlign w:val="center"/>
          </w:tcPr>
          <w:p w14:paraId="6DFBF08A">
            <w:pPr>
              <w:spacing w:line="560" w:lineRule="exact"/>
              <w:ind w:firstLine="0" w:firstLineChars="0"/>
              <w:rPr>
                <w:rFonts w:ascii="仿宋_GB2312" w:hAnsi="仿宋" w:cs="宋体"/>
                <w:color w:val="auto"/>
                <w:szCs w:val="28"/>
              </w:rPr>
            </w:pPr>
            <w:r>
              <w:rPr>
                <w:rFonts w:hint="eastAsia" w:ascii="仿宋_GB2312" w:hAnsi="宋体"/>
                <w:color w:val="auto"/>
                <w:szCs w:val="28"/>
              </w:rPr>
              <w:t>质疑受理方式：</w:t>
            </w:r>
          </w:p>
          <w:p w14:paraId="01C8A362">
            <w:pPr>
              <w:spacing w:line="560" w:lineRule="exact"/>
              <w:ind w:firstLine="0" w:firstLineChars="0"/>
              <w:rPr>
                <w:rFonts w:ascii="仿宋_GB2312" w:hAnsi="仿宋" w:cs="宋体"/>
                <w:color w:val="auto"/>
                <w:szCs w:val="28"/>
              </w:rPr>
            </w:pPr>
            <w:r>
              <w:rPr>
                <w:rFonts w:hint="eastAsia" w:ascii="仿宋_GB2312" w:hAnsi="仿宋" w:cs="宋体"/>
                <w:color w:val="auto"/>
                <w:szCs w:val="28"/>
              </w:rPr>
              <w:t>（1）当面接收：接收地址详见本表采购人及代理机构地址。</w:t>
            </w:r>
          </w:p>
          <w:p w14:paraId="1CE7B47A">
            <w:pPr>
              <w:spacing w:line="560" w:lineRule="exact"/>
              <w:ind w:firstLine="0" w:firstLineChars="0"/>
              <w:rPr>
                <w:rFonts w:ascii="仿宋_GB2312" w:hAnsi="仿宋" w:cs="宋体"/>
                <w:color w:val="auto"/>
                <w:szCs w:val="28"/>
              </w:rPr>
            </w:pPr>
            <w:r>
              <w:rPr>
                <w:rFonts w:hint="eastAsia" w:ascii="仿宋_GB2312" w:hAnsi="仿宋" w:cs="宋体"/>
                <w:color w:val="auto"/>
                <w:szCs w:val="28"/>
              </w:rPr>
              <w:t>（2）邮件接收：</w:t>
            </w:r>
            <w:r>
              <w:rPr>
                <w:rFonts w:ascii="仿宋_GB2312" w:hAnsi="仿宋" w:cs="宋体"/>
                <w:color w:val="auto"/>
                <w:szCs w:val="28"/>
              </w:rPr>
              <w:t>rsfzch@126.com</w:t>
            </w:r>
          </w:p>
          <w:p w14:paraId="5C7D109F">
            <w:pPr>
              <w:spacing w:line="560" w:lineRule="exact"/>
              <w:ind w:firstLine="0" w:firstLineChars="0"/>
              <w:rPr>
                <w:rFonts w:ascii="仿宋_GB2312" w:hAnsi="仿宋" w:cs="宋体"/>
                <w:color w:val="auto"/>
                <w:szCs w:val="28"/>
              </w:rPr>
            </w:pPr>
            <w:r>
              <w:rPr>
                <w:rFonts w:hint="eastAsia" w:ascii="仿宋_GB2312" w:hAnsi="仿宋" w:cs="宋体"/>
                <w:color w:val="auto"/>
                <w:szCs w:val="28"/>
              </w:rPr>
              <w:t>（3）政府采购电子交易系统上传：通过威海市政府采购电子交易系统中“公文管理-供”功能上传。</w:t>
            </w:r>
          </w:p>
          <w:p w14:paraId="43F02CA1">
            <w:pPr>
              <w:spacing w:line="560" w:lineRule="exact"/>
              <w:ind w:firstLine="0" w:firstLineChars="0"/>
              <w:rPr>
                <w:rFonts w:ascii="仿宋_GB2312" w:hAnsi="仿宋" w:cs="宋体"/>
                <w:color w:val="auto"/>
                <w:szCs w:val="28"/>
              </w:rPr>
            </w:pPr>
            <w:r>
              <w:rPr>
                <w:rFonts w:hint="eastAsia" w:ascii="仿宋_GB2312" w:hAnsi="仿宋" w:cs="宋体"/>
                <w:color w:val="auto"/>
                <w:szCs w:val="28"/>
              </w:rPr>
              <w:t>以上三种方式任选其一。</w:t>
            </w:r>
          </w:p>
        </w:tc>
      </w:tr>
      <w:tr w14:paraId="688E2AF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21F634D4">
            <w:pPr>
              <w:spacing w:line="560" w:lineRule="exact"/>
              <w:ind w:firstLine="0" w:firstLineChars="0"/>
              <w:jc w:val="center"/>
              <w:rPr>
                <w:rFonts w:ascii="仿宋_GB2312" w:hAnsi="宋体"/>
                <w:color w:val="auto"/>
                <w:szCs w:val="28"/>
              </w:rPr>
            </w:pPr>
            <w:r>
              <w:rPr>
                <w:rFonts w:hint="eastAsia" w:ascii="仿宋_GB2312" w:hAnsi="宋体"/>
                <w:color w:val="auto"/>
                <w:szCs w:val="28"/>
              </w:rPr>
              <w:t>31</w:t>
            </w:r>
          </w:p>
        </w:tc>
        <w:tc>
          <w:tcPr>
            <w:tcW w:w="8291" w:type="dxa"/>
            <w:tcBorders>
              <w:top w:val="single" w:color="auto" w:sz="4" w:space="0"/>
              <w:left w:val="single" w:color="auto" w:sz="4" w:space="0"/>
              <w:bottom w:val="single" w:color="auto" w:sz="4" w:space="0"/>
            </w:tcBorders>
            <w:vAlign w:val="center"/>
          </w:tcPr>
          <w:p w14:paraId="3A78B6DF">
            <w:pPr>
              <w:spacing w:line="560" w:lineRule="exact"/>
              <w:ind w:firstLine="0" w:firstLineChars="0"/>
              <w:rPr>
                <w:rFonts w:ascii="仿宋_GB2312" w:hAnsi="仿宋" w:cs="宋体"/>
                <w:color w:val="auto"/>
                <w:szCs w:val="28"/>
              </w:rPr>
            </w:pPr>
            <w:r>
              <w:rPr>
                <w:rFonts w:hint="eastAsia" w:ascii="仿宋_GB2312" w:hAnsi="宋体"/>
                <w:color w:val="auto"/>
                <w:szCs w:val="28"/>
              </w:rPr>
              <w:t>投诉受理方式：</w:t>
            </w:r>
          </w:p>
          <w:p w14:paraId="21897B8F">
            <w:pPr>
              <w:spacing w:line="560" w:lineRule="exact"/>
              <w:ind w:firstLine="0" w:firstLineChars="0"/>
              <w:rPr>
                <w:rFonts w:ascii="仿宋_GB2312" w:hAnsi="仿宋" w:cs="宋体"/>
                <w:color w:val="auto"/>
                <w:szCs w:val="28"/>
              </w:rPr>
            </w:pPr>
            <w:r>
              <w:rPr>
                <w:rFonts w:hint="eastAsia" w:ascii="仿宋_GB2312" w:hAnsi="仿宋" w:cs="宋体"/>
                <w:color w:val="auto"/>
                <w:szCs w:val="28"/>
              </w:rPr>
              <w:t>（1）当面接收：接收地址为山东省乳山市深圳路108-7号市民服务中心社会事务类窗口70号。</w:t>
            </w:r>
          </w:p>
          <w:p w14:paraId="229B3E99">
            <w:pPr>
              <w:spacing w:line="560" w:lineRule="exact"/>
              <w:ind w:firstLine="0" w:firstLineChars="0"/>
              <w:rPr>
                <w:rFonts w:ascii="仿宋_GB2312" w:hAnsi="仿宋" w:cs="宋体"/>
                <w:color w:val="auto"/>
                <w:szCs w:val="28"/>
              </w:rPr>
            </w:pPr>
            <w:r>
              <w:rPr>
                <w:rFonts w:hint="eastAsia" w:ascii="仿宋_GB2312" w:hAnsi="仿宋" w:cs="宋体"/>
                <w:color w:val="auto"/>
                <w:szCs w:val="28"/>
              </w:rPr>
              <w:t>（2）邮件接收：rsczjcgb@wh.shandong.cn。</w:t>
            </w:r>
          </w:p>
          <w:p w14:paraId="1C26813C">
            <w:pPr>
              <w:spacing w:line="560" w:lineRule="exact"/>
              <w:ind w:firstLine="0" w:firstLineChars="0"/>
              <w:rPr>
                <w:rFonts w:ascii="仿宋_GB2312" w:hAnsi="仿宋" w:cs="宋体"/>
                <w:color w:val="auto"/>
                <w:szCs w:val="28"/>
              </w:rPr>
            </w:pPr>
            <w:r>
              <w:rPr>
                <w:rFonts w:hint="eastAsia" w:ascii="仿宋_GB2312" w:hAnsi="仿宋" w:cs="宋体"/>
                <w:color w:val="auto"/>
                <w:szCs w:val="28"/>
              </w:rPr>
              <w:t>（3）政府采购电子交易系统上传：通过威海市政府采购电子交易系统中“网上投诉”功能上传。</w:t>
            </w:r>
          </w:p>
          <w:p w14:paraId="1C222A66">
            <w:pPr>
              <w:spacing w:line="560" w:lineRule="exact"/>
              <w:ind w:firstLine="0" w:firstLineChars="0"/>
              <w:rPr>
                <w:rFonts w:ascii="仿宋_GB2312" w:hAnsi="仿宋" w:cs="宋体"/>
                <w:color w:val="auto"/>
                <w:szCs w:val="28"/>
              </w:rPr>
            </w:pPr>
            <w:r>
              <w:rPr>
                <w:rFonts w:hint="eastAsia" w:ascii="仿宋_GB2312" w:hAnsi="仿宋" w:cs="宋体"/>
                <w:color w:val="auto"/>
                <w:szCs w:val="28"/>
              </w:rPr>
              <w:t>以上三种方式任选其一。</w:t>
            </w:r>
          </w:p>
        </w:tc>
      </w:tr>
      <w:tr w14:paraId="6FBC846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36F84A33">
            <w:pPr>
              <w:spacing w:line="560" w:lineRule="exact"/>
              <w:ind w:firstLine="0" w:firstLineChars="0"/>
              <w:jc w:val="center"/>
              <w:rPr>
                <w:rFonts w:ascii="仿宋_GB2312" w:hAnsi="宋体"/>
                <w:color w:val="auto"/>
                <w:szCs w:val="28"/>
              </w:rPr>
            </w:pPr>
            <w:r>
              <w:rPr>
                <w:rFonts w:hint="eastAsia" w:ascii="仿宋_GB2312" w:hAnsi="宋体"/>
                <w:color w:val="auto"/>
                <w:szCs w:val="28"/>
              </w:rPr>
              <w:t>32</w:t>
            </w:r>
          </w:p>
        </w:tc>
        <w:tc>
          <w:tcPr>
            <w:tcW w:w="8291" w:type="dxa"/>
            <w:tcBorders>
              <w:top w:val="single" w:color="auto" w:sz="4" w:space="0"/>
              <w:left w:val="single" w:color="auto" w:sz="4" w:space="0"/>
              <w:bottom w:val="single" w:color="auto" w:sz="4" w:space="0"/>
            </w:tcBorders>
            <w:vAlign w:val="center"/>
          </w:tcPr>
          <w:p w14:paraId="5A74F68D">
            <w:pPr>
              <w:spacing w:line="560" w:lineRule="exact"/>
              <w:ind w:firstLine="0" w:firstLineChars="0"/>
              <w:rPr>
                <w:rFonts w:ascii="仿宋_GB2312" w:hAnsi="宋体"/>
                <w:color w:val="auto"/>
                <w:szCs w:val="28"/>
              </w:rPr>
            </w:pPr>
            <w:r>
              <w:rPr>
                <w:rFonts w:hint="eastAsia" w:ascii="仿宋_GB2312" w:hAnsi="宋体"/>
                <w:color w:val="auto"/>
                <w:szCs w:val="28"/>
              </w:rPr>
              <w:t>代理服务费：参照“发改价格[2011]534号”规定的收费标准向中标供应商收取代理服务费。共计人民币</w:t>
            </w:r>
            <w:r>
              <w:rPr>
                <w:rFonts w:ascii="仿宋_GB2312" w:hAnsi="宋体"/>
                <w:color w:val="auto"/>
                <w:szCs w:val="28"/>
              </w:rPr>
              <w:t>15110</w:t>
            </w:r>
            <w:r>
              <w:rPr>
                <w:rFonts w:hint="eastAsia" w:ascii="仿宋_GB2312" w:hAnsi="宋体"/>
                <w:color w:val="auto"/>
                <w:szCs w:val="28"/>
              </w:rPr>
              <w:t>.00元，由中标单位在签订合同前向采购代理机构缴纳，包含在报价中。</w:t>
            </w:r>
          </w:p>
          <w:p w14:paraId="5BB1A05F">
            <w:pPr>
              <w:snapToGrid w:val="0"/>
              <w:spacing w:line="560" w:lineRule="exact"/>
              <w:ind w:firstLine="0" w:firstLineChars="0"/>
              <w:jc w:val="left"/>
              <w:rPr>
                <w:rFonts w:ascii="仿宋_GB2312" w:hAnsi="宋体"/>
                <w:color w:val="auto"/>
                <w:szCs w:val="28"/>
              </w:rPr>
            </w:pPr>
            <w:r>
              <w:rPr>
                <w:rFonts w:hint="eastAsia" w:ascii="仿宋_GB2312" w:hAnsi="宋体"/>
                <w:color w:val="auto"/>
                <w:szCs w:val="28"/>
              </w:rPr>
              <w:t>开户名称：</w:t>
            </w:r>
            <w:r>
              <w:rPr>
                <w:rFonts w:ascii="仿宋_GB2312" w:hAnsi="宋体"/>
                <w:color w:val="auto"/>
                <w:szCs w:val="28"/>
              </w:rPr>
              <w:t>乳山市方正房地产测绘中心</w:t>
            </w:r>
          </w:p>
          <w:p w14:paraId="02829F3D">
            <w:pPr>
              <w:spacing w:line="560" w:lineRule="exact"/>
              <w:ind w:firstLine="0" w:firstLineChars="0"/>
              <w:rPr>
                <w:rFonts w:ascii="仿宋_GB2312" w:hAnsi="宋体"/>
                <w:color w:val="auto"/>
                <w:szCs w:val="28"/>
              </w:rPr>
            </w:pPr>
            <w:r>
              <w:rPr>
                <w:rFonts w:hint="eastAsia" w:ascii="仿宋_GB2312" w:hAnsi="宋体"/>
                <w:color w:val="auto"/>
                <w:szCs w:val="28"/>
              </w:rPr>
              <w:t>开户行：</w:t>
            </w:r>
            <w:r>
              <w:rPr>
                <w:rFonts w:ascii="仿宋_GB2312" w:hAnsi="宋体"/>
                <w:color w:val="auto"/>
                <w:szCs w:val="28"/>
              </w:rPr>
              <w:t>中国建设银行股份有限公司乳山支行</w:t>
            </w:r>
          </w:p>
          <w:p w14:paraId="6E540F12">
            <w:pPr>
              <w:spacing w:line="560" w:lineRule="exact"/>
              <w:ind w:firstLine="0" w:firstLineChars="0"/>
              <w:rPr>
                <w:rFonts w:ascii="仿宋_GB2312" w:hAnsi="宋体"/>
                <w:color w:val="auto"/>
                <w:szCs w:val="28"/>
              </w:rPr>
            </w:pPr>
            <w:r>
              <w:rPr>
                <w:rFonts w:hint="eastAsia" w:ascii="仿宋_GB2312" w:hAnsi="宋体"/>
                <w:color w:val="auto"/>
                <w:szCs w:val="28"/>
              </w:rPr>
              <w:t>账号：</w:t>
            </w:r>
            <w:r>
              <w:rPr>
                <w:rFonts w:ascii="仿宋_GB2312" w:hAnsi="宋体"/>
                <w:color w:val="auto"/>
                <w:szCs w:val="28"/>
              </w:rPr>
              <w:t>37050170810800000134</w:t>
            </w:r>
          </w:p>
        </w:tc>
      </w:tr>
      <w:tr w14:paraId="15A66DC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6C14584F">
            <w:pPr>
              <w:spacing w:line="560" w:lineRule="exact"/>
              <w:ind w:firstLine="0" w:firstLineChars="0"/>
              <w:jc w:val="center"/>
              <w:rPr>
                <w:rFonts w:ascii="仿宋_GB2312" w:hAnsi="宋体"/>
                <w:color w:val="auto"/>
                <w:szCs w:val="28"/>
              </w:rPr>
            </w:pPr>
            <w:r>
              <w:rPr>
                <w:rFonts w:hint="eastAsia" w:ascii="仿宋_GB2312" w:hAnsi="宋体"/>
                <w:color w:val="auto"/>
                <w:szCs w:val="28"/>
              </w:rPr>
              <w:t>33</w:t>
            </w:r>
          </w:p>
        </w:tc>
        <w:tc>
          <w:tcPr>
            <w:tcW w:w="8291" w:type="dxa"/>
            <w:tcBorders>
              <w:top w:val="single" w:color="auto" w:sz="4" w:space="0"/>
              <w:left w:val="single" w:color="auto" w:sz="4" w:space="0"/>
              <w:bottom w:val="single" w:color="auto" w:sz="4" w:space="0"/>
            </w:tcBorders>
            <w:vAlign w:val="center"/>
          </w:tcPr>
          <w:p w14:paraId="728827BF">
            <w:pPr>
              <w:spacing w:line="560" w:lineRule="exact"/>
              <w:ind w:firstLine="0" w:firstLineChars="0"/>
              <w:rPr>
                <w:rFonts w:ascii="仿宋_GB2312" w:hAnsi="宋体"/>
                <w:color w:val="auto"/>
                <w:szCs w:val="28"/>
              </w:rPr>
            </w:pPr>
            <w:r>
              <w:rPr>
                <w:rFonts w:hint="eastAsia" w:ascii="仿宋_GB2312" w:hAnsi="宋体"/>
                <w:color w:val="auto"/>
                <w:szCs w:val="28"/>
              </w:rPr>
              <w:t xml:space="preserve">公证费/见证费：无 </w:t>
            </w:r>
          </w:p>
        </w:tc>
      </w:tr>
      <w:tr w14:paraId="76DB8CF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27CCA034">
            <w:pPr>
              <w:spacing w:line="560" w:lineRule="exact"/>
              <w:ind w:firstLine="0" w:firstLineChars="0"/>
              <w:jc w:val="center"/>
              <w:rPr>
                <w:rFonts w:ascii="仿宋_GB2312" w:hAnsi="宋体"/>
                <w:color w:val="auto"/>
                <w:szCs w:val="28"/>
              </w:rPr>
            </w:pPr>
            <w:r>
              <w:rPr>
                <w:rFonts w:hint="eastAsia" w:ascii="仿宋_GB2312" w:hAnsi="宋体"/>
                <w:color w:val="auto"/>
                <w:szCs w:val="28"/>
              </w:rPr>
              <w:t>34</w:t>
            </w:r>
          </w:p>
        </w:tc>
        <w:tc>
          <w:tcPr>
            <w:tcW w:w="8291" w:type="dxa"/>
            <w:tcBorders>
              <w:top w:val="single" w:color="auto" w:sz="4" w:space="0"/>
              <w:left w:val="single" w:color="auto" w:sz="4" w:space="0"/>
              <w:bottom w:val="single" w:color="auto" w:sz="4" w:space="0"/>
            </w:tcBorders>
            <w:vAlign w:val="center"/>
          </w:tcPr>
          <w:p w14:paraId="63DF5465">
            <w:pPr>
              <w:spacing w:line="560" w:lineRule="exact"/>
              <w:ind w:firstLine="0" w:firstLineChars="0"/>
              <w:rPr>
                <w:rFonts w:ascii="仿宋_GB2312" w:hAnsi="宋体"/>
                <w:color w:val="auto"/>
                <w:szCs w:val="28"/>
              </w:rPr>
            </w:pPr>
            <w:r>
              <w:rPr>
                <w:rFonts w:hint="eastAsia" w:ascii="仿宋_GB2312" w:hAnsi="宋体"/>
                <w:color w:val="auto"/>
                <w:szCs w:val="28"/>
              </w:rPr>
              <w:t>本项目按</w:t>
            </w:r>
            <w:r>
              <w:rPr>
                <w:rFonts w:ascii="仿宋_GB2312" w:hAnsi="宋体"/>
                <w:color w:val="auto"/>
                <w:szCs w:val="28"/>
              </w:rPr>
              <w:t>工程类</w:t>
            </w:r>
            <w:r>
              <w:rPr>
                <w:rFonts w:hint="eastAsia" w:ascii="仿宋_GB2312" w:hAnsi="宋体"/>
                <w:color w:val="auto"/>
                <w:szCs w:val="28"/>
              </w:rPr>
              <w:t>以</w:t>
            </w:r>
            <w:r>
              <w:rPr>
                <w:rFonts w:ascii="仿宋_GB2312" w:hAnsi="宋体"/>
                <w:color w:val="auto"/>
                <w:szCs w:val="28"/>
              </w:rPr>
              <w:t>竞争性磋商</w:t>
            </w:r>
            <w:r>
              <w:rPr>
                <w:rFonts w:hint="eastAsia" w:ascii="仿宋_GB2312" w:hAnsi="宋体"/>
                <w:color w:val="auto"/>
                <w:szCs w:val="28"/>
              </w:rPr>
              <w:t>方式实施采购</w:t>
            </w:r>
          </w:p>
        </w:tc>
      </w:tr>
      <w:tr w14:paraId="172D8DB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0CA3928C">
            <w:pPr>
              <w:spacing w:line="560" w:lineRule="exact"/>
              <w:ind w:firstLine="0" w:firstLineChars="0"/>
              <w:jc w:val="center"/>
              <w:rPr>
                <w:rFonts w:ascii="仿宋_GB2312" w:hAnsi="宋体"/>
                <w:color w:val="auto"/>
                <w:szCs w:val="28"/>
              </w:rPr>
            </w:pPr>
            <w:r>
              <w:rPr>
                <w:rFonts w:hint="eastAsia" w:ascii="仿宋_GB2312" w:hAnsi="宋体"/>
                <w:color w:val="auto"/>
                <w:szCs w:val="28"/>
              </w:rPr>
              <w:t>35</w:t>
            </w:r>
          </w:p>
        </w:tc>
        <w:tc>
          <w:tcPr>
            <w:tcW w:w="8291" w:type="dxa"/>
            <w:tcBorders>
              <w:top w:val="single" w:color="auto" w:sz="4" w:space="0"/>
              <w:left w:val="single" w:color="auto" w:sz="4" w:space="0"/>
              <w:bottom w:val="single" w:color="auto" w:sz="4" w:space="0"/>
            </w:tcBorders>
            <w:vAlign w:val="center"/>
          </w:tcPr>
          <w:p w14:paraId="1114FBA0">
            <w:pPr>
              <w:spacing w:line="560" w:lineRule="exact"/>
              <w:ind w:firstLine="0" w:firstLineChars="0"/>
              <w:rPr>
                <w:rFonts w:hint="eastAsia" w:ascii="仿宋_GB2312" w:hAnsi="宋体" w:eastAsia="仿宋_GB2312"/>
                <w:color w:val="auto"/>
                <w:szCs w:val="28"/>
                <w:lang w:val="en-US" w:eastAsia="zh-CN"/>
              </w:rPr>
            </w:pPr>
            <w:r>
              <w:rPr>
                <w:rFonts w:hint="eastAsia" w:ascii="仿宋_GB2312" w:hAnsi="宋体"/>
                <w:color w:val="auto"/>
                <w:szCs w:val="28"/>
              </w:rPr>
              <w:t xml:space="preserve">采购标的对应的中小企业划分标准所属行业（具体划分标准详见下附表）： </w:t>
            </w:r>
            <w:r>
              <w:rPr>
                <w:rFonts w:hint="eastAsia" w:ascii="仿宋_GB2312" w:hAnsi="宋体"/>
                <w:color w:val="auto"/>
                <w:szCs w:val="28"/>
                <w:lang w:val="en-US" w:eastAsia="zh-CN"/>
              </w:rPr>
              <w:t>建筑业</w:t>
            </w:r>
            <w:bookmarkStart w:id="3603" w:name="_GoBack"/>
            <w:bookmarkEnd w:id="3603"/>
          </w:p>
        </w:tc>
      </w:tr>
    </w:tbl>
    <w:p w14:paraId="353093AF">
      <w:pPr>
        <w:pStyle w:val="41"/>
        <w:spacing w:line="432" w:lineRule="auto"/>
        <w:ind w:firstLine="560"/>
        <w:rPr>
          <w:rFonts w:ascii="仿宋_GB2312"/>
          <w:bCs/>
          <w:color w:val="auto"/>
          <w:sz w:val="28"/>
          <w:szCs w:val="28"/>
        </w:rPr>
      </w:pPr>
    </w:p>
    <w:p w14:paraId="604FFA84">
      <w:pPr>
        <w:pStyle w:val="41"/>
        <w:spacing w:line="432" w:lineRule="auto"/>
        <w:ind w:firstLine="560"/>
        <w:rPr>
          <w:rFonts w:ascii="仿宋_GB2312"/>
          <w:bCs/>
          <w:color w:val="auto"/>
          <w:sz w:val="28"/>
          <w:szCs w:val="28"/>
        </w:rPr>
      </w:pPr>
      <w:r>
        <w:rPr>
          <w:rFonts w:ascii="仿宋_GB2312"/>
          <w:bCs/>
          <w:color w:val="auto"/>
          <w:sz w:val="28"/>
          <w:szCs w:val="28"/>
        </w:rPr>
        <w:br w:type="page"/>
      </w:r>
      <w:r>
        <w:rPr>
          <w:rFonts w:hint="eastAsia" w:ascii="仿宋_GB2312"/>
          <w:bCs/>
          <w:color w:val="auto"/>
          <w:sz w:val="28"/>
          <w:szCs w:val="28"/>
        </w:rPr>
        <w:t>附表：</w:t>
      </w:r>
    </w:p>
    <w:p w14:paraId="160A339E">
      <w:pPr>
        <w:pStyle w:val="41"/>
        <w:spacing w:line="432" w:lineRule="auto"/>
        <w:ind w:firstLine="720"/>
        <w:jc w:val="center"/>
        <w:rPr>
          <w:color w:val="auto"/>
        </w:rPr>
      </w:pPr>
      <w:r>
        <w:rPr>
          <w:rStyle w:val="48"/>
          <w:rFonts w:hint="eastAsia" w:ascii="方正小标宋简体" w:eastAsia="方正小标宋简体"/>
          <w:b w:val="0"/>
          <w:color w:val="auto"/>
          <w:sz w:val="36"/>
          <w:szCs w:val="36"/>
        </w:rPr>
        <w:t>关于印发中小企业划型标准规定的通知</w:t>
      </w:r>
      <w:r>
        <w:rPr>
          <w:rFonts w:hint="eastAsia" w:ascii="方正小标宋简体" w:eastAsia="方正小标宋简体"/>
          <w:b/>
          <w:color w:val="auto"/>
        </w:rPr>
        <w:br w:type="textWrapping"/>
      </w:r>
      <w:r>
        <w:rPr>
          <w:rFonts w:hint="eastAsia" w:ascii="楷体_GB2312" w:eastAsia="楷体_GB2312"/>
          <w:color w:val="auto"/>
          <w:sz w:val="22"/>
        </w:rPr>
        <w:t>工信部联企业〔2011〕300号</w:t>
      </w:r>
    </w:p>
    <w:p w14:paraId="6730A8F5">
      <w:pPr>
        <w:pStyle w:val="41"/>
        <w:spacing w:line="432" w:lineRule="auto"/>
        <w:ind w:firstLine="560"/>
        <w:rPr>
          <w:rFonts w:ascii="仿宋_GB2312"/>
          <w:color w:val="auto"/>
          <w:sz w:val="28"/>
          <w:szCs w:val="28"/>
        </w:rPr>
      </w:pPr>
      <w:r>
        <w:rPr>
          <w:rFonts w:hint="eastAsia" w:ascii="仿宋_GB2312"/>
          <w:color w:val="auto"/>
          <w:sz w:val="28"/>
          <w:szCs w:val="28"/>
        </w:rPr>
        <w:t>各省、自治区、直辖市人民政府，国务院各部委、各直属机构及有关单位：</w:t>
      </w:r>
      <w:r>
        <w:rPr>
          <w:rFonts w:hint="eastAsia" w:ascii="仿宋_GB2312"/>
          <w:color w:val="auto"/>
          <w:sz w:val="28"/>
          <w:szCs w:val="28"/>
        </w:rPr>
        <w:br w:type="textWrapping"/>
      </w:r>
      <w:r>
        <w:rPr>
          <w:rFonts w:hint="eastAsia" w:ascii="仿宋_GB2312"/>
          <w:color w:val="auto"/>
          <w:sz w:val="28"/>
          <w:szCs w:val="28"/>
        </w:rPr>
        <w:t>　　为贯彻落实《中华人民共和国中小企业促进法》和《国务院关于进一步促进中小企业发展的若干意见》（国发〔2009〕36号），工业和信息化部、国家统计局、发展改革委、财政部研究制定了《中小企业划型标准规定》。经国务院同意，现印发给你们，请遵照执行。</w:t>
      </w:r>
    </w:p>
    <w:p w14:paraId="215A608D">
      <w:pPr>
        <w:pStyle w:val="41"/>
        <w:spacing w:line="432" w:lineRule="auto"/>
        <w:ind w:firstLine="560"/>
        <w:jc w:val="right"/>
        <w:rPr>
          <w:rFonts w:ascii="仿宋_GB2312"/>
          <w:color w:val="auto"/>
          <w:sz w:val="28"/>
          <w:szCs w:val="28"/>
        </w:rPr>
      </w:pPr>
      <w:r>
        <w:rPr>
          <w:rFonts w:hint="eastAsia" w:ascii="仿宋_GB2312"/>
          <w:color w:val="auto"/>
          <w:sz w:val="28"/>
          <w:szCs w:val="28"/>
        </w:rPr>
        <w:br w:type="textWrapping"/>
      </w:r>
      <w:r>
        <w:rPr>
          <w:rFonts w:hint="eastAsia" w:ascii="仿宋_GB2312"/>
          <w:color w:val="auto"/>
          <w:sz w:val="28"/>
          <w:szCs w:val="28"/>
        </w:rPr>
        <w:t>　　　　　　　　　　工业和信息化部　国家统计局</w:t>
      </w:r>
    </w:p>
    <w:p w14:paraId="608A1E27">
      <w:pPr>
        <w:pStyle w:val="41"/>
        <w:spacing w:line="432" w:lineRule="auto"/>
        <w:ind w:firstLine="560"/>
        <w:jc w:val="right"/>
        <w:rPr>
          <w:rFonts w:ascii="仿宋_GB2312"/>
          <w:color w:val="auto"/>
          <w:sz w:val="28"/>
          <w:szCs w:val="28"/>
        </w:rPr>
      </w:pPr>
      <w:r>
        <w:rPr>
          <w:rFonts w:hint="eastAsia" w:ascii="仿宋_GB2312"/>
          <w:color w:val="auto"/>
          <w:sz w:val="28"/>
          <w:szCs w:val="28"/>
        </w:rPr>
        <w:t>国家发展和改革委员会　财政部</w:t>
      </w:r>
    </w:p>
    <w:p w14:paraId="6D03AF83">
      <w:pPr>
        <w:pStyle w:val="41"/>
        <w:spacing w:line="432" w:lineRule="auto"/>
        <w:ind w:firstLine="560"/>
        <w:jc w:val="right"/>
        <w:rPr>
          <w:rFonts w:ascii="仿宋_GB2312"/>
          <w:color w:val="auto"/>
          <w:sz w:val="28"/>
          <w:szCs w:val="28"/>
        </w:rPr>
      </w:pPr>
      <w:r>
        <w:rPr>
          <w:rFonts w:hint="eastAsia" w:ascii="仿宋_GB2312"/>
          <w:color w:val="auto"/>
          <w:sz w:val="28"/>
          <w:szCs w:val="28"/>
        </w:rPr>
        <w:t>二○一一年六月十八日</w:t>
      </w:r>
    </w:p>
    <w:p w14:paraId="339C21D7">
      <w:pPr>
        <w:pStyle w:val="41"/>
        <w:spacing w:line="432" w:lineRule="auto"/>
        <w:ind w:firstLine="560"/>
        <w:rPr>
          <w:rFonts w:ascii="仿宋_GB2312"/>
          <w:color w:val="auto"/>
          <w:sz w:val="28"/>
          <w:szCs w:val="28"/>
        </w:rPr>
      </w:pPr>
      <w:r>
        <w:rPr>
          <w:rFonts w:hint="eastAsia"/>
          <w:color w:val="auto"/>
          <w:sz w:val="28"/>
          <w:szCs w:val="28"/>
        </w:rPr>
        <w:t> </w:t>
      </w:r>
    </w:p>
    <w:p w14:paraId="632C1E73">
      <w:pPr>
        <w:pStyle w:val="41"/>
        <w:spacing w:line="432" w:lineRule="auto"/>
        <w:ind w:firstLine="720"/>
        <w:jc w:val="center"/>
        <w:rPr>
          <w:rFonts w:ascii="方正小标宋简体" w:eastAsia="方正小标宋简体"/>
          <w:b/>
          <w:color w:val="auto"/>
          <w:sz w:val="36"/>
          <w:szCs w:val="36"/>
        </w:rPr>
      </w:pPr>
      <w:r>
        <w:rPr>
          <w:rStyle w:val="48"/>
          <w:rFonts w:hint="eastAsia" w:ascii="方正小标宋简体" w:eastAsia="方正小标宋简体"/>
          <w:b w:val="0"/>
          <w:color w:val="auto"/>
          <w:sz w:val="36"/>
          <w:szCs w:val="36"/>
        </w:rPr>
        <w:t>中小企业划型标准规定</w:t>
      </w:r>
    </w:p>
    <w:p w14:paraId="52332CA3">
      <w:pPr>
        <w:pStyle w:val="41"/>
        <w:spacing w:line="432" w:lineRule="auto"/>
        <w:ind w:firstLine="560"/>
        <w:rPr>
          <w:rFonts w:ascii="仿宋_GB2312"/>
          <w:color w:val="auto"/>
          <w:sz w:val="28"/>
          <w:szCs w:val="28"/>
        </w:rPr>
      </w:pPr>
      <w:r>
        <w:rPr>
          <w:rFonts w:hint="eastAsia" w:ascii="仿宋_GB2312"/>
          <w:color w:val="auto"/>
          <w:sz w:val="28"/>
          <w:szCs w:val="28"/>
        </w:rPr>
        <w:t>　　 一、根据《中华人民共和国中小企业促进法》和《国务院关于进一步促进中小企业发展的若干意见》(国发〔2009〕36号)，制定本规定。　　</w:t>
      </w:r>
    </w:p>
    <w:p w14:paraId="45D7CD4B">
      <w:pPr>
        <w:pStyle w:val="41"/>
        <w:spacing w:line="432" w:lineRule="auto"/>
        <w:ind w:firstLine="700" w:firstLineChars="250"/>
        <w:rPr>
          <w:rFonts w:ascii="仿宋_GB2312"/>
          <w:color w:val="auto"/>
          <w:sz w:val="28"/>
          <w:szCs w:val="28"/>
        </w:rPr>
      </w:pPr>
      <w:r>
        <w:rPr>
          <w:rFonts w:hint="eastAsia" w:ascii="仿宋_GB2312"/>
          <w:color w:val="auto"/>
          <w:sz w:val="28"/>
          <w:szCs w:val="28"/>
        </w:rPr>
        <w:t>二、中小企业划分为中型、小型、微型三种类型，具体标准根据企业从业人员、营业收入、资产总额等指标，结合行业特点制定。　　</w:t>
      </w:r>
    </w:p>
    <w:p w14:paraId="36E9A521">
      <w:pPr>
        <w:pStyle w:val="41"/>
        <w:spacing w:line="432" w:lineRule="auto"/>
        <w:ind w:firstLine="700" w:firstLineChars="250"/>
        <w:rPr>
          <w:rFonts w:ascii="仿宋_GB2312"/>
          <w:color w:val="auto"/>
          <w:sz w:val="28"/>
          <w:szCs w:val="28"/>
        </w:rPr>
      </w:pPr>
      <w:r>
        <w:rPr>
          <w:rFonts w:hint="eastAsia" w:ascii="仿宋_GB2312"/>
          <w:color w:val="auto"/>
          <w:sz w:val="28"/>
          <w:szCs w:val="28"/>
        </w:rPr>
        <w:t>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　　</w:t>
      </w:r>
    </w:p>
    <w:p w14:paraId="20A79E1C">
      <w:pPr>
        <w:pStyle w:val="41"/>
        <w:spacing w:line="432" w:lineRule="auto"/>
        <w:ind w:firstLine="700" w:firstLineChars="250"/>
        <w:rPr>
          <w:rFonts w:ascii="仿宋_GB2312"/>
          <w:color w:val="auto"/>
          <w:sz w:val="28"/>
          <w:szCs w:val="28"/>
        </w:rPr>
      </w:pPr>
      <w:r>
        <w:rPr>
          <w:rFonts w:hint="eastAsia" w:ascii="仿宋_GB2312"/>
          <w:color w:val="auto"/>
          <w:sz w:val="28"/>
          <w:szCs w:val="28"/>
        </w:rPr>
        <w:t>四、各行业划型标准为：　　</w:t>
      </w:r>
    </w:p>
    <w:p w14:paraId="0E67A4CA">
      <w:pPr>
        <w:pStyle w:val="41"/>
        <w:spacing w:line="432" w:lineRule="auto"/>
        <w:ind w:firstLine="980" w:firstLineChars="350"/>
        <w:rPr>
          <w:rFonts w:ascii="仿宋_GB2312"/>
          <w:color w:val="auto"/>
          <w:sz w:val="28"/>
          <w:szCs w:val="28"/>
        </w:rPr>
      </w:pPr>
      <w:r>
        <w:rPr>
          <w:rFonts w:hint="eastAsia" w:ascii="仿宋_GB2312"/>
          <w:color w:val="auto"/>
          <w:sz w:val="28"/>
          <w:szCs w:val="28"/>
        </w:rPr>
        <w:t>（一）农、林、牧、渔业。营业收入20000万元以下的为中小微型企业。其中，营业收入500万元及以上的为中型企业，营业收入50万元及以上的为小型企业，营业收入50万元以下的为微型企业。　　</w:t>
      </w:r>
    </w:p>
    <w:p w14:paraId="1FBF212F">
      <w:pPr>
        <w:pStyle w:val="41"/>
        <w:spacing w:line="432" w:lineRule="auto"/>
        <w:ind w:firstLine="980" w:firstLineChars="350"/>
        <w:rPr>
          <w:rFonts w:ascii="仿宋_GB2312"/>
          <w:color w:val="auto"/>
          <w:sz w:val="28"/>
          <w:szCs w:val="28"/>
        </w:rPr>
      </w:pPr>
      <w:r>
        <w:rPr>
          <w:rFonts w:hint="eastAsia" w:ascii="仿宋_GB2312"/>
          <w:color w:val="auto"/>
          <w:sz w:val="28"/>
          <w:szCs w:val="28"/>
        </w:rPr>
        <w:t>（二）工业。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　　</w:t>
      </w:r>
    </w:p>
    <w:p w14:paraId="1FE32111">
      <w:pPr>
        <w:pStyle w:val="41"/>
        <w:spacing w:line="432" w:lineRule="auto"/>
        <w:ind w:firstLine="980" w:firstLineChars="350"/>
        <w:rPr>
          <w:rFonts w:ascii="仿宋_GB2312"/>
          <w:color w:val="auto"/>
          <w:sz w:val="28"/>
          <w:szCs w:val="28"/>
        </w:rPr>
      </w:pPr>
      <w:r>
        <w:rPr>
          <w:rFonts w:hint="eastAsia" w:ascii="仿宋_GB2312"/>
          <w:color w:val="auto"/>
          <w:sz w:val="28"/>
          <w:szCs w:val="28"/>
        </w:rPr>
        <w:t>（三）建筑业。营业收入80000万元以下或资产总额80000万元以下的为中小微型企业。其中，营业收入6000万元及以上，且资产总额5000万元及以上的为中型企业；营业收入300万元及以上，且资产总额300万元及以上的为小型企业；营业收入300万元以下或资产总额300万元以下的为微型企业。　　</w:t>
      </w:r>
    </w:p>
    <w:p w14:paraId="3FEBDCD5">
      <w:pPr>
        <w:pStyle w:val="41"/>
        <w:spacing w:line="432" w:lineRule="auto"/>
        <w:ind w:firstLine="980" w:firstLineChars="350"/>
        <w:rPr>
          <w:rFonts w:ascii="仿宋_GB2312"/>
          <w:color w:val="auto"/>
          <w:sz w:val="28"/>
          <w:szCs w:val="28"/>
        </w:rPr>
      </w:pPr>
      <w:r>
        <w:rPr>
          <w:rFonts w:hint="eastAsia" w:ascii="仿宋_GB2312"/>
          <w:color w:val="auto"/>
          <w:sz w:val="28"/>
          <w:szCs w:val="28"/>
        </w:rPr>
        <w:t>（四）批发业。从业人员200人以下或营业收入40000万元以下的为中小微型企业。其中，从业人员20人及以上，且营业收入5000万元及以上的为中型企业；从业人员5人及以上，且营业收入1000万元及以上的为小型企业；从业人员5人以下或营业收入1000万元以下的为微型企业。　　</w:t>
      </w:r>
    </w:p>
    <w:p w14:paraId="68B6674E">
      <w:pPr>
        <w:pStyle w:val="41"/>
        <w:spacing w:line="432" w:lineRule="auto"/>
        <w:ind w:firstLine="980" w:firstLineChars="350"/>
        <w:rPr>
          <w:rFonts w:ascii="仿宋_GB2312"/>
          <w:color w:val="auto"/>
          <w:sz w:val="28"/>
          <w:szCs w:val="28"/>
        </w:rPr>
      </w:pPr>
      <w:r>
        <w:rPr>
          <w:rFonts w:hint="eastAsia" w:ascii="仿宋_GB2312"/>
          <w:color w:val="auto"/>
          <w:sz w:val="28"/>
          <w:szCs w:val="28"/>
        </w:rPr>
        <w:t>（五）零售业。从业人员300人以下或营业收入20000万元以下的为中小微型企业。其中，从业人员50人及以上，且营业收入500万元及以上的为中型企业；从业人员10人及以上，且营业收入100万元及以上的为小型企业；从业人员10人以下或营业收入100万元以下的为微型企业。　　</w:t>
      </w:r>
    </w:p>
    <w:p w14:paraId="16134445">
      <w:pPr>
        <w:pStyle w:val="41"/>
        <w:spacing w:line="432" w:lineRule="auto"/>
        <w:ind w:firstLine="980" w:firstLineChars="350"/>
        <w:rPr>
          <w:rFonts w:ascii="仿宋_GB2312"/>
          <w:color w:val="auto"/>
          <w:sz w:val="28"/>
          <w:szCs w:val="28"/>
        </w:rPr>
      </w:pPr>
      <w:r>
        <w:rPr>
          <w:rFonts w:hint="eastAsia" w:ascii="仿宋_GB2312"/>
          <w:color w:val="auto"/>
          <w:sz w:val="28"/>
          <w:szCs w:val="28"/>
        </w:rPr>
        <w:t>（六）交通运输业。从业人员1000人以下或营业收入17000万元以下的为中小微型企业。其中，从业人员300人及以上，且营业收入3000万元及以上的为中型企业；从业人员20人及以上，且营业收入200万元及以上的为小型企业；从业人员20人以下或营业收入200万元以下的为微型企业。　　</w:t>
      </w:r>
    </w:p>
    <w:p w14:paraId="357CD83A">
      <w:pPr>
        <w:pStyle w:val="41"/>
        <w:spacing w:line="432" w:lineRule="auto"/>
        <w:ind w:firstLine="980" w:firstLineChars="350"/>
        <w:rPr>
          <w:rFonts w:ascii="仿宋_GB2312"/>
          <w:color w:val="auto"/>
          <w:sz w:val="28"/>
          <w:szCs w:val="28"/>
        </w:rPr>
      </w:pPr>
      <w:r>
        <w:rPr>
          <w:rFonts w:hint="eastAsia" w:ascii="仿宋_GB2312"/>
          <w:color w:val="auto"/>
          <w:sz w:val="28"/>
          <w:szCs w:val="28"/>
        </w:rPr>
        <w:t>（七）仓储业。从业人员200人以下或营业收入17000万元以下的为中小微型企业。其中，从业人员100人及以上，且营业收入1000万元及以上的为中型企业；从业人员20人及以上，且营业收入100万元及以上的为小型企业；从业人员20人以下或营业收入100万元以下的为微型企业。　　</w:t>
      </w:r>
    </w:p>
    <w:p w14:paraId="5B016A1F">
      <w:pPr>
        <w:pStyle w:val="41"/>
        <w:spacing w:line="432" w:lineRule="auto"/>
        <w:ind w:firstLine="980" w:firstLineChars="350"/>
        <w:rPr>
          <w:rFonts w:ascii="仿宋_GB2312"/>
          <w:color w:val="auto"/>
          <w:sz w:val="28"/>
          <w:szCs w:val="28"/>
        </w:rPr>
      </w:pPr>
      <w:r>
        <w:rPr>
          <w:rFonts w:hint="eastAsia" w:ascii="仿宋_GB2312"/>
          <w:color w:val="auto"/>
          <w:sz w:val="28"/>
          <w:szCs w:val="28"/>
        </w:rPr>
        <w:t>（八）邮政业。从业人员1000人以下或营业收入17000万元以下的为中小微型企业。其中，从业人员300人及以上，且营业收入2000万元及以上的为中型企业；从业人员20人及以上，且营业收入100万元及以上的为小型企业；从业人员20人以下或营业收入100万元以下的为微型企业。　　</w:t>
      </w:r>
    </w:p>
    <w:p w14:paraId="7801D036">
      <w:pPr>
        <w:pStyle w:val="41"/>
        <w:spacing w:line="432" w:lineRule="auto"/>
        <w:ind w:firstLine="980" w:firstLineChars="350"/>
        <w:rPr>
          <w:rFonts w:ascii="仿宋_GB2312"/>
          <w:color w:val="auto"/>
          <w:sz w:val="28"/>
          <w:szCs w:val="28"/>
        </w:rPr>
      </w:pPr>
      <w:r>
        <w:rPr>
          <w:rFonts w:hint="eastAsia" w:ascii="仿宋_GB2312"/>
          <w:color w:val="auto"/>
          <w:sz w:val="28"/>
          <w:szCs w:val="28"/>
        </w:rPr>
        <w:t>（九）住宿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6E0DBDA8">
      <w:pPr>
        <w:pStyle w:val="41"/>
        <w:spacing w:line="432" w:lineRule="auto"/>
        <w:ind w:firstLine="980" w:firstLineChars="350"/>
        <w:rPr>
          <w:rFonts w:ascii="仿宋_GB2312"/>
          <w:color w:val="auto"/>
          <w:sz w:val="28"/>
          <w:szCs w:val="28"/>
        </w:rPr>
      </w:pPr>
      <w:r>
        <w:rPr>
          <w:rFonts w:hint="eastAsia" w:ascii="仿宋_GB2312"/>
          <w:color w:val="auto"/>
          <w:sz w:val="28"/>
          <w:szCs w:val="28"/>
        </w:rPr>
        <w:t>（十）餐饮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4A30FAA4">
      <w:pPr>
        <w:pStyle w:val="41"/>
        <w:spacing w:line="432" w:lineRule="auto"/>
        <w:ind w:firstLine="980" w:firstLineChars="350"/>
        <w:rPr>
          <w:rFonts w:ascii="仿宋_GB2312"/>
          <w:color w:val="auto"/>
          <w:sz w:val="28"/>
          <w:szCs w:val="28"/>
        </w:rPr>
      </w:pPr>
      <w:r>
        <w:rPr>
          <w:rFonts w:hint="eastAsia" w:ascii="仿宋_GB2312"/>
          <w:color w:val="auto"/>
          <w:sz w:val="28"/>
          <w:szCs w:val="28"/>
        </w:rPr>
        <w:t>（十一）信息传输业。从业人员2000人以下或营业收入100000万元以下的为中小微型企业。其中，从业人员100人及以上，且营业收入1000万元及以上的为中型企业；从业人员10人及以上，且营业收入100万元及以上的为小型企业；从业人员10人以下或营业收入100万元以下的为微型企业。　　</w:t>
      </w:r>
    </w:p>
    <w:p w14:paraId="7712CDF7">
      <w:pPr>
        <w:pStyle w:val="41"/>
        <w:spacing w:line="432" w:lineRule="auto"/>
        <w:ind w:firstLine="980" w:firstLineChars="350"/>
        <w:rPr>
          <w:rFonts w:ascii="仿宋_GB2312"/>
          <w:color w:val="auto"/>
          <w:sz w:val="28"/>
          <w:szCs w:val="28"/>
        </w:rPr>
      </w:pPr>
      <w:r>
        <w:rPr>
          <w:rFonts w:hint="eastAsia" w:ascii="仿宋_GB2312"/>
          <w:color w:val="auto"/>
          <w:sz w:val="28"/>
          <w:szCs w:val="28"/>
        </w:rPr>
        <w:t>（十二）软件和信息技术服务业。从业人员300人以下或营业收入10000万元以下的为中小微型企业。其中，从业人员100人及以上，且营业收入1000万元及以上的为中型企业；从业人员10人及以上，且营业收入50万元及以上的为小型企业；从业人员10人以下或营业收入50万元以下的为微型企业。　</w:t>
      </w:r>
    </w:p>
    <w:p w14:paraId="75D7AADB">
      <w:pPr>
        <w:pStyle w:val="41"/>
        <w:spacing w:line="432" w:lineRule="auto"/>
        <w:ind w:firstLine="560"/>
        <w:rPr>
          <w:rFonts w:ascii="仿宋_GB2312"/>
          <w:color w:val="auto"/>
          <w:sz w:val="28"/>
          <w:szCs w:val="28"/>
        </w:rPr>
      </w:pPr>
      <w:r>
        <w:rPr>
          <w:rFonts w:hint="eastAsia" w:ascii="仿宋_GB2312"/>
          <w:color w:val="auto"/>
          <w:sz w:val="28"/>
          <w:szCs w:val="28"/>
        </w:rPr>
        <w:t>　（十三）房地产开发经营。营业收入200000万元以下或资产总额10000万元以下的为中小微型企业。其中，营业收入1000万元及以上，且资产总额5000万元及以上的为中型企业；营业收入100万元及以上，且资产总额2000万元及以上的为小型企业；营业收入100万元以下或资产总额2000万元以下的为微型企业。　　</w:t>
      </w:r>
    </w:p>
    <w:p w14:paraId="5E486EB3">
      <w:pPr>
        <w:pStyle w:val="41"/>
        <w:spacing w:line="432" w:lineRule="auto"/>
        <w:ind w:firstLine="700" w:firstLineChars="250"/>
        <w:rPr>
          <w:rFonts w:ascii="仿宋_GB2312"/>
          <w:color w:val="auto"/>
          <w:sz w:val="28"/>
          <w:szCs w:val="28"/>
        </w:rPr>
      </w:pPr>
      <w:r>
        <w:rPr>
          <w:rFonts w:hint="eastAsia" w:ascii="仿宋_GB2312"/>
          <w:color w:val="auto"/>
          <w:sz w:val="28"/>
          <w:szCs w:val="28"/>
        </w:rPr>
        <w:t>（十四）物业管理。从业人员1000人以下或营业收入5000万元以下的为中小微型企业。其中，从业人员300人及以上，且营业收入1000万元及以上的为中型企业；从业人员100人及以上，且营业收入500万元及以上的为小型企业；从业人员100人以下或营业收入500万元以下的为微型企业。　　</w:t>
      </w:r>
    </w:p>
    <w:p w14:paraId="2877E2F7">
      <w:pPr>
        <w:pStyle w:val="41"/>
        <w:spacing w:line="432" w:lineRule="auto"/>
        <w:ind w:firstLine="700" w:firstLineChars="250"/>
        <w:rPr>
          <w:rFonts w:ascii="仿宋_GB2312"/>
          <w:color w:val="auto"/>
          <w:sz w:val="28"/>
          <w:szCs w:val="28"/>
        </w:rPr>
      </w:pPr>
      <w:r>
        <w:rPr>
          <w:rFonts w:hint="eastAsia" w:ascii="仿宋_GB2312"/>
          <w:color w:val="auto"/>
          <w:sz w:val="28"/>
          <w:szCs w:val="28"/>
        </w:rPr>
        <w:t>（十五）租赁和商务服务业。从业人员300人以下或资产总额120000万元以下的为中小微型企业。其中，从业人员100人及以上，且资产总额8000万元及以上的为中型企业；从业人员10人及以上，且资产总额100万元及以上的为小型企业；从业人员10人以下或资产总额100万元以下的为微型企业。　</w:t>
      </w:r>
    </w:p>
    <w:p w14:paraId="7EDC286F">
      <w:pPr>
        <w:pStyle w:val="41"/>
        <w:spacing w:line="432" w:lineRule="auto"/>
        <w:ind w:firstLine="700" w:firstLineChars="250"/>
        <w:rPr>
          <w:rFonts w:ascii="仿宋_GB2312"/>
          <w:color w:val="auto"/>
          <w:sz w:val="28"/>
          <w:szCs w:val="28"/>
        </w:rPr>
      </w:pPr>
      <w:r>
        <w:rPr>
          <w:rFonts w:hint="eastAsia" w:ascii="仿宋_GB2312"/>
          <w:color w:val="auto"/>
          <w:sz w:val="28"/>
          <w:szCs w:val="28"/>
        </w:rPr>
        <w:t>（十六）其他未列明行业。从业人员300人以下的为中小微型企业。其中，从业人员100人及以上的为中型企业；从业人员10人及以上的为小型企业；从业人员10人以下的为微型企业。　　</w:t>
      </w:r>
    </w:p>
    <w:p w14:paraId="632C52D6">
      <w:pPr>
        <w:pStyle w:val="41"/>
        <w:spacing w:line="432" w:lineRule="auto"/>
        <w:ind w:firstLine="420" w:firstLineChars="150"/>
        <w:rPr>
          <w:rFonts w:ascii="仿宋_GB2312"/>
          <w:color w:val="auto"/>
          <w:sz w:val="28"/>
          <w:szCs w:val="28"/>
        </w:rPr>
      </w:pPr>
      <w:r>
        <w:rPr>
          <w:rFonts w:hint="eastAsia" w:ascii="仿宋_GB2312"/>
          <w:color w:val="auto"/>
          <w:sz w:val="28"/>
          <w:szCs w:val="28"/>
        </w:rPr>
        <w:t>五、企业类型的划分以统计部门的统计数据为依据。　　</w:t>
      </w:r>
    </w:p>
    <w:p w14:paraId="5A7314C5">
      <w:pPr>
        <w:pStyle w:val="41"/>
        <w:spacing w:line="432" w:lineRule="auto"/>
        <w:ind w:firstLine="420" w:firstLineChars="150"/>
        <w:rPr>
          <w:rFonts w:ascii="仿宋_GB2312"/>
          <w:color w:val="auto"/>
          <w:sz w:val="28"/>
          <w:szCs w:val="28"/>
        </w:rPr>
      </w:pPr>
      <w:r>
        <w:rPr>
          <w:rFonts w:hint="eastAsia" w:ascii="仿宋_GB2312"/>
          <w:color w:val="auto"/>
          <w:sz w:val="28"/>
          <w:szCs w:val="28"/>
        </w:rPr>
        <w:t>六、本规定适用于在中华人民共和国境内依法设立的各类所有制和各种组织形式的企业。个体工商户和本规定以外的行业，参照本规定进行划型。　　</w:t>
      </w:r>
    </w:p>
    <w:p w14:paraId="328699FF">
      <w:pPr>
        <w:pStyle w:val="41"/>
        <w:spacing w:line="432" w:lineRule="auto"/>
        <w:ind w:firstLine="420" w:firstLineChars="150"/>
        <w:rPr>
          <w:rFonts w:ascii="仿宋_GB2312"/>
          <w:color w:val="auto"/>
          <w:sz w:val="28"/>
          <w:szCs w:val="28"/>
        </w:rPr>
      </w:pPr>
      <w:r>
        <w:rPr>
          <w:rFonts w:hint="eastAsia" w:ascii="仿宋_GB2312"/>
          <w:color w:val="auto"/>
          <w:sz w:val="28"/>
          <w:szCs w:val="28"/>
        </w:rPr>
        <w:t>七、本规定的中型企业标准上限即为大型企业标准的下限，国家统计部门据此制定大中小微型企业的统计分类。国务院有关部门据此进行相关数据分析，不得制定与本规定不一致的企业划型标准。　　</w:t>
      </w:r>
    </w:p>
    <w:p w14:paraId="5E12129E">
      <w:pPr>
        <w:pStyle w:val="41"/>
        <w:spacing w:line="432" w:lineRule="auto"/>
        <w:ind w:firstLine="420" w:firstLineChars="150"/>
        <w:rPr>
          <w:rFonts w:ascii="仿宋_GB2312"/>
          <w:color w:val="auto"/>
          <w:sz w:val="28"/>
          <w:szCs w:val="28"/>
        </w:rPr>
      </w:pPr>
      <w:r>
        <w:rPr>
          <w:rFonts w:hint="eastAsia" w:ascii="仿宋_GB2312"/>
          <w:color w:val="auto"/>
          <w:sz w:val="28"/>
          <w:szCs w:val="28"/>
        </w:rPr>
        <w:t>八、本规定由工业和信息化部、国家统计局会同有关部门根据《国民经济行业分类》修订情况和企业发展变化情况适时修订。　　</w:t>
      </w:r>
    </w:p>
    <w:p w14:paraId="3F92454A">
      <w:pPr>
        <w:pStyle w:val="41"/>
        <w:spacing w:line="432" w:lineRule="auto"/>
        <w:ind w:firstLine="420" w:firstLineChars="150"/>
        <w:rPr>
          <w:rFonts w:ascii="仿宋_GB2312"/>
          <w:color w:val="auto"/>
          <w:sz w:val="28"/>
          <w:szCs w:val="28"/>
        </w:rPr>
      </w:pPr>
      <w:r>
        <w:rPr>
          <w:rFonts w:hint="eastAsia" w:ascii="仿宋_GB2312"/>
          <w:color w:val="auto"/>
          <w:sz w:val="28"/>
          <w:szCs w:val="28"/>
        </w:rPr>
        <w:t>九、本规定由工业和信息化部、国家统计局会同有关部门负责解释。　　</w:t>
      </w:r>
    </w:p>
    <w:p w14:paraId="64008B89">
      <w:pPr>
        <w:pStyle w:val="41"/>
        <w:spacing w:line="432" w:lineRule="auto"/>
        <w:ind w:firstLine="420" w:firstLineChars="150"/>
        <w:rPr>
          <w:rFonts w:eastAsia="黑体"/>
          <w:color w:val="auto"/>
          <w:sz w:val="32"/>
          <w:szCs w:val="32"/>
        </w:rPr>
      </w:pPr>
      <w:r>
        <w:rPr>
          <w:rFonts w:hint="eastAsia" w:ascii="仿宋_GB2312"/>
          <w:color w:val="auto"/>
          <w:sz w:val="28"/>
          <w:szCs w:val="28"/>
        </w:rPr>
        <w:t>十、本规定自发布之日起执行，原国家经贸委、原国家计委、财政部和国家统计局2003年颁布的《中小企业标准暂行规定》同时废止。</w:t>
      </w:r>
    </w:p>
    <w:p w14:paraId="3051FC9B">
      <w:pPr>
        <w:widowControl/>
        <w:spacing w:line="240" w:lineRule="auto"/>
        <w:ind w:firstLine="0" w:firstLineChars="0"/>
        <w:jc w:val="left"/>
        <w:rPr>
          <w:rFonts w:eastAsia="黑体"/>
          <w:color w:val="auto"/>
          <w:sz w:val="32"/>
          <w:szCs w:val="32"/>
        </w:rPr>
      </w:pPr>
      <w:r>
        <w:rPr>
          <w:rFonts w:eastAsia="黑体"/>
          <w:color w:val="auto"/>
          <w:sz w:val="32"/>
          <w:szCs w:val="32"/>
        </w:rPr>
        <w:br w:type="page"/>
      </w:r>
    </w:p>
    <w:p w14:paraId="4ACDD9F2">
      <w:pPr>
        <w:spacing w:line="560" w:lineRule="exact"/>
        <w:ind w:firstLine="198" w:firstLineChars="62"/>
        <w:jc w:val="center"/>
        <w:rPr>
          <w:rFonts w:eastAsia="黑体"/>
          <w:color w:val="auto"/>
          <w:sz w:val="32"/>
          <w:szCs w:val="32"/>
        </w:rPr>
      </w:pPr>
      <w:r>
        <w:rPr>
          <w:rFonts w:hint="eastAsia" w:eastAsia="黑体"/>
          <w:color w:val="auto"/>
          <w:sz w:val="32"/>
          <w:szCs w:val="32"/>
        </w:rPr>
        <w:t>《实质性条款一览表》</w:t>
      </w:r>
    </w:p>
    <w:p w14:paraId="401089CA">
      <w:pPr>
        <w:snapToGrid w:val="0"/>
        <w:ind w:firstLine="560"/>
        <w:jc w:val="left"/>
        <w:rPr>
          <w:rFonts w:ascii="仿宋_GB2312"/>
          <w:color w:val="auto"/>
          <w:szCs w:val="28"/>
        </w:rPr>
      </w:pPr>
      <w:r>
        <w:rPr>
          <w:rFonts w:hint="eastAsia" w:ascii="仿宋_GB2312"/>
          <w:color w:val="auto"/>
          <w:szCs w:val="28"/>
        </w:rPr>
        <w:t>说明：本表系采购文件及修改性文件中涉及的所有实质性条款的汇总。不允许有任何负偏离，否则报价将被否决。</w:t>
      </w:r>
    </w:p>
    <w:tbl>
      <w:tblPr>
        <w:tblStyle w:val="45"/>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 w:type="dxa"/>
          <w:bottom w:w="0" w:type="dxa"/>
          <w:right w:w="10" w:type="dxa"/>
        </w:tblCellMar>
      </w:tblPr>
      <w:tblGrid>
        <w:gridCol w:w="9309"/>
      </w:tblGrid>
      <w:tr w14:paraId="081DF5B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309" w:type="dxa"/>
            <w:tcBorders>
              <w:top w:val="single" w:color="auto" w:sz="4" w:space="0"/>
              <w:left w:val="single" w:color="auto" w:sz="4" w:space="0"/>
              <w:bottom w:val="single" w:color="auto" w:sz="4" w:space="0"/>
            </w:tcBorders>
            <w:vAlign w:val="center"/>
          </w:tcPr>
          <w:p w14:paraId="08E58296">
            <w:pPr>
              <w:spacing w:line="560" w:lineRule="exact"/>
              <w:ind w:firstLine="562"/>
              <w:rPr>
                <w:rFonts w:ascii="仿宋_GB2312" w:hAnsi="宋体"/>
                <w:b/>
                <w:bCs/>
                <w:color w:val="auto"/>
                <w:szCs w:val="28"/>
              </w:rPr>
            </w:pPr>
            <w:r>
              <w:rPr>
                <w:rFonts w:hint="eastAsia" w:ascii="仿宋_GB2312" w:hAnsi="宋体"/>
                <w:b/>
                <w:bCs/>
                <w:color w:val="auto"/>
                <w:szCs w:val="28"/>
              </w:rPr>
              <w:t>资格性核查</w:t>
            </w:r>
          </w:p>
        </w:tc>
      </w:tr>
      <w:tr w14:paraId="5A4AA14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309" w:type="dxa"/>
            <w:tcBorders>
              <w:top w:val="single" w:color="auto" w:sz="4" w:space="0"/>
              <w:left w:val="single" w:color="auto" w:sz="4" w:space="0"/>
              <w:bottom w:val="single" w:color="auto" w:sz="4" w:space="0"/>
            </w:tcBorders>
          </w:tcPr>
          <w:p w14:paraId="72323C3B">
            <w:pPr>
              <w:spacing w:line="560" w:lineRule="exact"/>
              <w:ind w:firstLine="341" w:firstLineChars="122"/>
              <w:rPr>
                <w:rFonts w:ascii="仿宋_GB2312" w:hAnsi="宋体"/>
                <w:color w:val="auto"/>
                <w:szCs w:val="28"/>
              </w:rPr>
            </w:pPr>
            <w:r>
              <w:rPr>
                <w:rFonts w:ascii="仿宋_GB2312" w:hAnsi="宋体"/>
                <w:color w:val="auto"/>
                <w:szCs w:val="28"/>
              </w:rPr>
              <w:t>1、法人或其他组织的营业执照等证明文件扫描件；（A）包</w:t>
            </w:r>
          </w:p>
          <w:p w14:paraId="4E5417F9">
            <w:pPr>
              <w:spacing w:line="560" w:lineRule="exact"/>
              <w:ind w:firstLine="341" w:firstLineChars="122"/>
              <w:rPr>
                <w:rFonts w:ascii="仿宋_GB2312" w:hAnsi="宋体"/>
                <w:color w:val="auto"/>
                <w:szCs w:val="28"/>
              </w:rPr>
            </w:pPr>
            <w:r>
              <w:rPr>
                <w:rFonts w:ascii="仿宋_GB2312" w:hAnsi="宋体"/>
                <w:color w:val="auto"/>
                <w:szCs w:val="28"/>
              </w:rPr>
              <w:t>2、具有水利水电施工总承包三级及以上资质证书扫描件；具有行政主管部门颁发的安全生产许可证扫描件；（A）包</w:t>
            </w:r>
          </w:p>
          <w:p w14:paraId="5B195DD1">
            <w:pPr>
              <w:spacing w:line="560" w:lineRule="exact"/>
              <w:ind w:firstLine="341" w:firstLineChars="122"/>
              <w:rPr>
                <w:rFonts w:ascii="仿宋_GB2312" w:hAnsi="宋体"/>
                <w:color w:val="auto"/>
                <w:szCs w:val="28"/>
              </w:rPr>
            </w:pPr>
            <w:r>
              <w:rPr>
                <w:rFonts w:ascii="仿宋_GB2312" w:hAnsi="宋体"/>
                <w:color w:val="auto"/>
                <w:szCs w:val="28"/>
              </w:rPr>
              <w:t>3、项目负责人具有水利水电工程专业贰级及以上注册建造师执业资格</w:t>
            </w:r>
            <w:r>
              <w:rPr>
                <w:rFonts w:hint="eastAsia" w:ascii="仿宋_GB2312" w:hAnsi="宋体"/>
                <w:color w:val="auto"/>
                <w:szCs w:val="28"/>
              </w:rPr>
              <w:t>，</w:t>
            </w:r>
            <w:r>
              <w:rPr>
                <w:rFonts w:ascii="仿宋_GB2312" w:hAnsi="宋体"/>
                <w:color w:val="auto"/>
                <w:szCs w:val="28"/>
              </w:rPr>
              <w:t>同时应具有安全生产考核合格证（B证）证书扫描件</w:t>
            </w:r>
            <w:r>
              <w:rPr>
                <w:rFonts w:hint="eastAsia" w:ascii="仿宋_GB2312" w:hAnsi="宋体"/>
                <w:color w:val="auto"/>
                <w:szCs w:val="28"/>
              </w:rPr>
              <w:t>；</w:t>
            </w:r>
            <w:r>
              <w:rPr>
                <w:rFonts w:ascii="仿宋_GB2312" w:hAnsi="宋体"/>
                <w:color w:val="auto"/>
                <w:szCs w:val="28"/>
              </w:rPr>
              <w:t>（A）包</w:t>
            </w:r>
          </w:p>
          <w:p w14:paraId="5172EA5A">
            <w:pPr>
              <w:spacing w:line="560" w:lineRule="exact"/>
              <w:ind w:firstLine="341" w:firstLineChars="122"/>
              <w:rPr>
                <w:rFonts w:ascii="仿宋_GB2312" w:hAnsi="宋体"/>
                <w:color w:val="auto"/>
                <w:szCs w:val="28"/>
              </w:rPr>
            </w:pPr>
            <w:r>
              <w:rPr>
                <w:rFonts w:ascii="仿宋_GB2312" w:hAnsi="宋体"/>
                <w:color w:val="auto"/>
                <w:szCs w:val="28"/>
              </w:rPr>
              <w:t>4、法定代表人授权委托书；被授权人身份证扫描件；</w:t>
            </w:r>
          </w:p>
          <w:p w14:paraId="4653B7F6">
            <w:pPr>
              <w:spacing w:line="560" w:lineRule="exact"/>
              <w:ind w:firstLine="341" w:firstLineChars="122"/>
              <w:rPr>
                <w:rFonts w:ascii="仿宋_GB2312" w:hAnsi="宋体"/>
                <w:color w:val="auto"/>
                <w:szCs w:val="28"/>
              </w:rPr>
            </w:pPr>
            <w:r>
              <w:rPr>
                <w:rFonts w:ascii="仿宋_GB2312" w:hAnsi="宋体"/>
                <w:color w:val="auto"/>
                <w:szCs w:val="28"/>
              </w:rPr>
              <w:t>若响应单位代表为企业法定代表人/单位负责人的，则只需提供企业法定代表人/单位负责人身份证扫描件；（A）包</w:t>
            </w:r>
          </w:p>
          <w:p w14:paraId="518FDB1C">
            <w:pPr>
              <w:spacing w:line="560" w:lineRule="exact"/>
              <w:ind w:firstLine="341" w:firstLineChars="122"/>
              <w:rPr>
                <w:rFonts w:ascii="仿宋_GB2312" w:hAnsi="宋体"/>
                <w:color w:val="auto"/>
                <w:szCs w:val="28"/>
              </w:rPr>
            </w:pPr>
            <w:r>
              <w:rPr>
                <w:rFonts w:ascii="仿宋_GB2312" w:hAnsi="宋体"/>
                <w:color w:val="auto"/>
                <w:szCs w:val="28"/>
              </w:rPr>
              <w:t>5、依法缴纳税收和社会保障资金的声明（格式自拟）；近期的完税凭证及交纳社保资金凭证的扫描件（依法免税或不需要缴纳社会保障资金的供应商，应提供相关证明材料）；（A）包</w:t>
            </w:r>
          </w:p>
          <w:p w14:paraId="3CC6D027">
            <w:pPr>
              <w:spacing w:line="560" w:lineRule="exact"/>
              <w:ind w:firstLine="341" w:firstLineChars="122"/>
              <w:rPr>
                <w:rFonts w:ascii="仿宋_GB2312" w:hAnsi="宋体"/>
                <w:color w:val="auto"/>
                <w:szCs w:val="28"/>
              </w:rPr>
            </w:pPr>
            <w:r>
              <w:rPr>
                <w:rFonts w:ascii="仿宋_GB2312" w:hAnsi="宋体"/>
                <w:color w:val="auto"/>
                <w:szCs w:val="28"/>
              </w:rPr>
              <w:t>6、参加本项目报价前三年内无重大违法记录声明（格式自定）；（A）包</w:t>
            </w:r>
          </w:p>
          <w:p w14:paraId="6F2A7752">
            <w:pPr>
              <w:spacing w:line="560" w:lineRule="exact"/>
              <w:ind w:firstLine="341" w:firstLineChars="122"/>
              <w:rPr>
                <w:rFonts w:ascii="仿宋_GB2312" w:hAnsi="宋体"/>
                <w:color w:val="auto"/>
                <w:szCs w:val="28"/>
              </w:rPr>
            </w:pPr>
            <w:r>
              <w:rPr>
                <w:rFonts w:ascii="仿宋_GB2312" w:hAnsi="宋体"/>
                <w:color w:val="auto"/>
                <w:szCs w:val="28"/>
              </w:rPr>
              <w:t>7、由代理机构查询“信用中国”、报价供应商所在地省级信用官方网站(如:“信用山东)、“中国政府采购网”，对已列入失信被执行人、重大税收违法案件当事人名单、政府采购严重违法失信行为记录名单的供应商，将拒绝其继续参与政府采购活动；（A）包</w:t>
            </w:r>
          </w:p>
          <w:p w14:paraId="6F2BC82B">
            <w:pPr>
              <w:spacing w:line="560" w:lineRule="exact"/>
              <w:ind w:firstLine="341" w:firstLineChars="122"/>
              <w:rPr>
                <w:rFonts w:ascii="仿宋_GB2312" w:hAnsi="宋体"/>
                <w:color w:val="auto"/>
                <w:szCs w:val="28"/>
              </w:rPr>
            </w:pPr>
            <w:r>
              <w:rPr>
                <w:rFonts w:ascii="仿宋_GB2312" w:hAnsi="宋体"/>
                <w:color w:val="auto"/>
                <w:szCs w:val="28"/>
              </w:rPr>
              <w:t>8、财务状况报告等相关材料</w:t>
            </w:r>
          </w:p>
          <w:p w14:paraId="49C46FDF">
            <w:pPr>
              <w:spacing w:line="560" w:lineRule="exact"/>
              <w:ind w:firstLine="341" w:firstLineChars="122"/>
              <w:rPr>
                <w:rFonts w:hint="eastAsia" w:ascii="仿宋_GB2312" w:hAnsi="宋体"/>
                <w:color w:val="auto"/>
                <w:szCs w:val="28"/>
              </w:rPr>
            </w:pPr>
            <w:r>
              <w:rPr>
                <w:rFonts w:ascii="仿宋_GB2312" w:hAnsi="宋体"/>
                <w:color w:val="auto"/>
                <w:szCs w:val="28"/>
              </w:rPr>
              <w:t>A.供应商自行编制的近一年度公司财务报表或由中介机构出具的近一年度财务审计报告书扫描件；</w:t>
            </w:r>
            <w:r>
              <w:rPr>
                <w:rFonts w:hint="eastAsia" w:ascii="仿宋_GB2312" w:hAnsi="宋体"/>
                <w:color w:val="auto"/>
                <w:szCs w:val="28"/>
              </w:rPr>
              <w:t>(</w:t>
            </w:r>
            <w:r>
              <w:rPr>
                <w:rFonts w:ascii="仿宋_GB2312" w:hAnsi="宋体"/>
                <w:color w:val="auto"/>
                <w:szCs w:val="28"/>
              </w:rPr>
              <w:t>2022</w:t>
            </w:r>
            <w:r>
              <w:rPr>
                <w:rFonts w:hint="eastAsia" w:ascii="仿宋_GB2312" w:hAnsi="宋体"/>
                <w:color w:val="auto"/>
                <w:szCs w:val="28"/>
              </w:rPr>
              <w:t>年度或2</w:t>
            </w:r>
            <w:r>
              <w:rPr>
                <w:rFonts w:ascii="仿宋_GB2312" w:hAnsi="宋体"/>
                <w:color w:val="auto"/>
                <w:szCs w:val="28"/>
              </w:rPr>
              <w:t>023</w:t>
            </w:r>
            <w:r>
              <w:rPr>
                <w:rFonts w:hint="eastAsia" w:ascii="仿宋_GB2312" w:hAnsi="宋体"/>
                <w:color w:val="auto"/>
                <w:szCs w:val="28"/>
              </w:rPr>
              <w:t>年度)</w:t>
            </w:r>
          </w:p>
          <w:p w14:paraId="764D15B2">
            <w:pPr>
              <w:spacing w:line="560" w:lineRule="exact"/>
              <w:ind w:firstLine="341" w:firstLineChars="122"/>
              <w:rPr>
                <w:rFonts w:ascii="仿宋_GB2312" w:hAnsi="宋体"/>
                <w:color w:val="auto"/>
                <w:szCs w:val="28"/>
              </w:rPr>
            </w:pPr>
            <w:r>
              <w:rPr>
                <w:rFonts w:ascii="仿宋_GB2312" w:hAnsi="宋体"/>
                <w:color w:val="auto"/>
                <w:szCs w:val="28"/>
              </w:rPr>
              <w:t>B.银行出具的有效期内的资信证明扫描件。</w:t>
            </w:r>
          </w:p>
          <w:p w14:paraId="3F201DB9">
            <w:pPr>
              <w:spacing w:line="560" w:lineRule="exact"/>
              <w:ind w:firstLine="341" w:firstLineChars="122"/>
              <w:rPr>
                <w:rFonts w:ascii="仿宋_GB2312" w:hAnsi="宋体"/>
                <w:color w:val="auto"/>
                <w:szCs w:val="28"/>
              </w:rPr>
            </w:pPr>
            <w:r>
              <w:rPr>
                <w:rFonts w:ascii="仿宋_GB2312" w:hAnsi="宋体"/>
                <w:color w:val="auto"/>
                <w:szCs w:val="28"/>
              </w:rPr>
              <w:t>注：A、B两项提供任意一项均可。（A）包</w:t>
            </w:r>
          </w:p>
          <w:p w14:paraId="45F9A710">
            <w:pPr>
              <w:spacing w:line="560" w:lineRule="exact"/>
              <w:ind w:firstLine="341" w:firstLineChars="122"/>
              <w:rPr>
                <w:rFonts w:ascii="仿宋_GB2312" w:hAnsi="宋体"/>
                <w:color w:val="auto"/>
                <w:szCs w:val="28"/>
              </w:rPr>
            </w:pPr>
            <w:r>
              <w:rPr>
                <w:rFonts w:ascii="仿宋_GB2312" w:hAnsi="宋体"/>
                <w:color w:val="auto"/>
                <w:szCs w:val="28"/>
              </w:rPr>
              <w:t>9、具有履行合同所必需的设备和专业技术能力承诺函（格式自拟）；（A）包</w:t>
            </w:r>
          </w:p>
          <w:p w14:paraId="60F668DD">
            <w:pPr>
              <w:spacing w:line="560" w:lineRule="exact"/>
              <w:ind w:firstLine="341" w:firstLineChars="122"/>
              <w:rPr>
                <w:rFonts w:ascii="仿宋_GB2312" w:hAnsi="宋体"/>
                <w:color w:val="auto"/>
                <w:szCs w:val="28"/>
              </w:rPr>
            </w:pPr>
            <w:r>
              <w:rPr>
                <w:rFonts w:ascii="仿宋_GB2312" w:hAnsi="宋体"/>
                <w:color w:val="auto"/>
                <w:szCs w:val="28"/>
              </w:rPr>
              <w:t>10、中小企业声明函声明为中小企业；（A）包</w:t>
            </w:r>
          </w:p>
        </w:tc>
      </w:tr>
      <w:tr w14:paraId="4D3AC66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59" w:hRule="atLeast"/>
          <w:jc w:val="center"/>
        </w:trPr>
        <w:tc>
          <w:tcPr>
            <w:tcW w:w="9309" w:type="dxa"/>
            <w:tcBorders>
              <w:top w:val="single" w:color="auto" w:sz="4" w:space="0"/>
              <w:left w:val="single" w:color="auto" w:sz="4" w:space="0"/>
              <w:bottom w:val="single" w:color="auto" w:sz="4" w:space="0"/>
            </w:tcBorders>
            <w:vAlign w:val="center"/>
          </w:tcPr>
          <w:p w14:paraId="233A3BF7">
            <w:pPr>
              <w:spacing w:line="560" w:lineRule="exact"/>
              <w:ind w:firstLine="562"/>
              <w:rPr>
                <w:rFonts w:ascii="仿宋_GB2312" w:hAnsi="宋体"/>
                <w:b/>
                <w:bCs/>
                <w:color w:val="auto"/>
                <w:szCs w:val="28"/>
              </w:rPr>
            </w:pPr>
            <w:r>
              <w:rPr>
                <w:rFonts w:hint="eastAsia" w:ascii="仿宋_GB2312" w:hAnsi="宋体"/>
                <w:b/>
                <w:bCs/>
                <w:color w:val="auto"/>
                <w:szCs w:val="28"/>
              </w:rPr>
              <w:t>符合性检查</w:t>
            </w:r>
          </w:p>
        </w:tc>
      </w:tr>
      <w:tr w14:paraId="4A3E754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59" w:hRule="atLeast"/>
          <w:jc w:val="center"/>
        </w:trPr>
        <w:tc>
          <w:tcPr>
            <w:tcW w:w="9309" w:type="dxa"/>
            <w:tcBorders>
              <w:top w:val="single" w:color="auto" w:sz="4" w:space="0"/>
              <w:left w:val="single" w:color="auto" w:sz="4" w:space="0"/>
              <w:bottom w:val="single" w:color="auto" w:sz="4" w:space="0"/>
            </w:tcBorders>
            <w:vAlign w:val="center"/>
          </w:tcPr>
          <w:p w14:paraId="58877A42">
            <w:pPr>
              <w:spacing w:line="560" w:lineRule="exact"/>
              <w:ind w:firstLine="560"/>
              <w:rPr>
                <w:rFonts w:ascii="仿宋_GB2312" w:hAnsi="宋体"/>
                <w:color w:val="auto"/>
                <w:szCs w:val="28"/>
              </w:rPr>
            </w:pPr>
            <w:r>
              <w:rPr>
                <w:rFonts w:ascii="仿宋_GB2312" w:hAnsi="宋体"/>
                <w:color w:val="auto"/>
                <w:szCs w:val="28"/>
              </w:rPr>
              <w:t>1、被授权人未在规定时间内答疑或澄清的，作为无效报价；（A）包</w:t>
            </w:r>
          </w:p>
          <w:p w14:paraId="19F46E99">
            <w:pPr>
              <w:spacing w:line="560" w:lineRule="exact"/>
              <w:ind w:firstLine="560"/>
              <w:rPr>
                <w:rFonts w:ascii="仿宋_GB2312" w:hAnsi="宋体"/>
                <w:color w:val="auto"/>
                <w:szCs w:val="28"/>
              </w:rPr>
            </w:pPr>
            <w:r>
              <w:rPr>
                <w:rFonts w:ascii="仿宋_GB2312" w:hAnsi="宋体"/>
                <w:color w:val="auto"/>
                <w:szCs w:val="28"/>
              </w:rPr>
              <w:t>2、响应文件含有采购人不能接受的附加条件的，作为无效报价；（A）包</w:t>
            </w:r>
          </w:p>
          <w:p w14:paraId="38076D5A">
            <w:pPr>
              <w:spacing w:line="560" w:lineRule="exact"/>
              <w:ind w:firstLine="560"/>
              <w:rPr>
                <w:rFonts w:ascii="仿宋_GB2312" w:hAnsi="宋体"/>
                <w:color w:val="auto"/>
                <w:szCs w:val="28"/>
              </w:rPr>
            </w:pPr>
            <w:r>
              <w:rPr>
                <w:rFonts w:ascii="仿宋_GB2312" w:hAnsi="宋体"/>
                <w:color w:val="auto"/>
                <w:szCs w:val="28"/>
              </w:rPr>
              <w:t>3、响应报价、交付期（工期）、服务期（质保期）、付款方式、报价有效期等内容不满足采购文件要求的作为无效报价；（A）包</w:t>
            </w:r>
          </w:p>
          <w:p w14:paraId="3AC4F61F">
            <w:pPr>
              <w:spacing w:line="560" w:lineRule="exact"/>
              <w:ind w:firstLine="560"/>
              <w:rPr>
                <w:rFonts w:ascii="仿宋_GB2312" w:hAnsi="宋体"/>
                <w:color w:val="auto"/>
                <w:szCs w:val="28"/>
              </w:rPr>
            </w:pPr>
            <w:r>
              <w:rPr>
                <w:rFonts w:ascii="仿宋_GB2312" w:hAnsi="宋体"/>
                <w:color w:val="auto"/>
                <w:szCs w:val="28"/>
              </w:rPr>
              <w:t>4、参加同一项目的不同供应商的电子投标文件文件制作机器码（MAC地址、主硬盘序列号、CPU信息、计算机名称）一致导致串标率100%，将作为无效报价；（A）包</w:t>
            </w:r>
          </w:p>
          <w:p w14:paraId="7EAD6C7C">
            <w:pPr>
              <w:spacing w:line="560" w:lineRule="exact"/>
              <w:ind w:firstLine="560"/>
              <w:rPr>
                <w:rFonts w:ascii="仿宋_GB2312" w:hAnsi="宋体"/>
                <w:color w:val="auto"/>
                <w:szCs w:val="28"/>
              </w:rPr>
            </w:pPr>
            <w:r>
              <w:rPr>
                <w:rFonts w:ascii="仿宋_GB2312" w:hAnsi="宋体"/>
                <w:color w:val="auto"/>
                <w:szCs w:val="28"/>
              </w:rPr>
              <w:t>5、评审小组认为不符合采购文件其他实质性要求或法律法规规定的其他情形；作为无效报价。（A）包</w:t>
            </w:r>
          </w:p>
          <w:p w14:paraId="161BF5EC">
            <w:pPr>
              <w:spacing w:line="560" w:lineRule="exact"/>
              <w:ind w:firstLine="560"/>
              <w:rPr>
                <w:rFonts w:ascii="仿宋_GB2312" w:hAnsi="宋体"/>
                <w:color w:val="auto"/>
                <w:szCs w:val="28"/>
              </w:rPr>
            </w:pPr>
            <w:r>
              <w:rPr>
                <w:rFonts w:ascii="仿宋_GB2312" w:hAnsi="宋体"/>
                <w:color w:val="auto"/>
                <w:szCs w:val="28"/>
              </w:rPr>
              <w:t>6、响应文件未按规定签章的，作为无效报价；（A）包</w:t>
            </w:r>
          </w:p>
        </w:tc>
      </w:tr>
    </w:tbl>
    <w:p w14:paraId="01B037A2">
      <w:pPr>
        <w:spacing w:line="560" w:lineRule="exact"/>
        <w:ind w:firstLine="880"/>
        <w:rPr>
          <w:rFonts w:ascii="宋体" w:hAnsi="宋体"/>
          <w:color w:val="auto"/>
          <w:sz w:val="44"/>
          <w:szCs w:val="44"/>
        </w:rPr>
      </w:pPr>
    </w:p>
    <w:p w14:paraId="0DBE3E16">
      <w:pPr>
        <w:spacing w:line="560" w:lineRule="exact"/>
        <w:ind w:firstLine="880"/>
        <w:rPr>
          <w:rFonts w:ascii="宋体" w:hAnsi="宋体"/>
          <w:color w:val="auto"/>
          <w:sz w:val="44"/>
          <w:szCs w:val="44"/>
        </w:rPr>
        <w:sectPr>
          <w:headerReference r:id="rId17" w:type="default"/>
          <w:footerReference r:id="rId18" w:type="default"/>
          <w:pgSz w:w="11906" w:h="16838"/>
          <w:pgMar w:top="1440" w:right="1077" w:bottom="1440" w:left="1077" w:header="851" w:footer="992" w:gutter="0"/>
          <w:cols w:space="720" w:num="1"/>
          <w:docGrid w:type="lines" w:linePitch="312" w:charSpace="0"/>
        </w:sectPr>
      </w:pPr>
    </w:p>
    <w:p w14:paraId="316CC2B7">
      <w:pPr>
        <w:pStyle w:val="3"/>
        <w:ind w:firstLine="562"/>
        <w:rPr>
          <w:color w:val="auto"/>
        </w:rPr>
      </w:pPr>
      <w:r>
        <w:rPr>
          <w:rFonts w:hint="eastAsia"/>
          <w:color w:val="auto"/>
        </w:rPr>
        <w:t>一、说明</w:t>
      </w:r>
    </w:p>
    <w:p w14:paraId="6E8EE617">
      <w:pPr>
        <w:ind w:firstLine="562" w:firstLineChars="201"/>
        <w:rPr>
          <w:rFonts w:ascii="仿宋_GB2312" w:hAnsi="宋体"/>
          <w:color w:val="auto"/>
          <w:szCs w:val="28"/>
        </w:rPr>
      </w:pPr>
      <w:r>
        <w:rPr>
          <w:rFonts w:hint="eastAsia" w:ascii="仿宋_GB2312" w:hAnsi="宋体"/>
          <w:color w:val="auto"/>
          <w:szCs w:val="28"/>
        </w:rPr>
        <w:t>本文件依据《中华人民共和国政府采购法》、《中华人民共和国政府采购法实施条例》和财政部《政府采购竞争性磋商采购方式管理暂行办法》及国家和山东省有关法律、法规、规章制度编制。参加本项目供应商应接受本采购文件关于电子招投标各项规定。</w:t>
      </w:r>
    </w:p>
    <w:p w14:paraId="2D85A8D3">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1.适用范围</w:t>
      </w:r>
    </w:p>
    <w:p w14:paraId="60B4BC5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1.1本竞争性磋商文件仅适用于本次采购公告中所涉及的项目和内容。</w:t>
      </w:r>
    </w:p>
    <w:p w14:paraId="4F7CA47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1.2本竞争性磋商文件的解释权为 乳山市方正房地产测绘中心</w:t>
      </w:r>
      <w:r>
        <w:rPr>
          <w:rFonts w:hint="eastAsia" w:ascii="仿宋_GB2312" w:hAnsi="仿宋" w:cs="宋体"/>
          <w:color w:val="auto"/>
          <w:szCs w:val="28"/>
        </w:rPr>
        <w:t>，以书面解释为准。</w:t>
      </w:r>
    </w:p>
    <w:p w14:paraId="0D83A637">
      <w:pPr>
        <w:snapToGrid w:val="0"/>
        <w:spacing w:line="560" w:lineRule="exact"/>
        <w:ind w:firstLine="562" w:firstLineChars="201"/>
        <w:rPr>
          <w:rFonts w:ascii="仿宋_GB2312" w:hAnsi="宋体"/>
          <w:color w:val="auto"/>
          <w:szCs w:val="28"/>
        </w:rPr>
      </w:pPr>
      <w:r>
        <w:rPr>
          <w:rFonts w:hint="eastAsia" w:ascii="仿宋_GB2312" w:hAnsi="仿宋" w:cs="宋体"/>
          <w:color w:val="auto"/>
          <w:szCs w:val="28"/>
        </w:rPr>
        <w:t>1.3本竞争性磋商文件未做须知明示，而又有相关法律、法规规定的，从其规定。</w:t>
      </w:r>
    </w:p>
    <w:p w14:paraId="57BC75D5">
      <w:pPr>
        <w:spacing w:line="560" w:lineRule="exact"/>
        <w:ind w:firstLine="565" w:firstLineChars="201"/>
        <w:rPr>
          <w:rFonts w:ascii="楷体_GB2312" w:hAnsi="仿宋" w:eastAsia="楷体_GB2312" w:cs="宋体"/>
          <w:b/>
          <w:color w:val="auto"/>
          <w:szCs w:val="28"/>
        </w:rPr>
      </w:pPr>
      <w:r>
        <w:rPr>
          <w:rFonts w:hint="eastAsia" w:ascii="楷体_GB2312" w:hAnsi="仿宋" w:eastAsia="楷体_GB2312" w:cs="宋体"/>
          <w:b/>
          <w:color w:val="auto"/>
          <w:szCs w:val="28"/>
        </w:rPr>
        <w:t>2.采购人、采购代理机构及供应商</w:t>
      </w:r>
    </w:p>
    <w:p w14:paraId="7CC1F2C4">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2.1采购人：是指</w:t>
      </w:r>
      <w:r>
        <w:rPr>
          <w:rFonts w:ascii="仿宋_GB2312" w:hAnsi="仿宋" w:cs="宋体"/>
          <w:color w:val="auto"/>
          <w:szCs w:val="28"/>
        </w:rPr>
        <w:t>依法</w:t>
      </w:r>
      <w:r>
        <w:rPr>
          <w:rFonts w:hint="eastAsia" w:ascii="仿宋_GB2312" w:hAnsi="仿宋" w:cs="宋体"/>
          <w:color w:val="auto"/>
          <w:szCs w:val="28"/>
        </w:rPr>
        <w:t>开展</w:t>
      </w:r>
      <w:r>
        <w:rPr>
          <w:rFonts w:ascii="仿宋_GB2312" w:hAnsi="仿宋" w:cs="宋体"/>
          <w:color w:val="auto"/>
          <w:szCs w:val="28"/>
        </w:rPr>
        <w:t>政府采购</w:t>
      </w:r>
      <w:r>
        <w:rPr>
          <w:rFonts w:hint="eastAsia" w:ascii="仿宋_GB2312" w:hAnsi="仿宋" w:cs="宋体"/>
          <w:color w:val="auto"/>
          <w:szCs w:val="28"/>
        </w:rPr>
        <w:t>活动</w:t>
      </w:r>
      <w:r>
        <w:rPr>
          <w:rFonts w:ascii="仿宋_GB2312" w:hAnsi="仿宋" w:cs="宋体"/>
          <w:color w:val="auto"/>
          <w:szCs w:val="28"/>
        </w:rPr>
        <w:t>的国家机</w:t>
      </w:r>
      <w:r>
        <w:rPr>
          <w:rFonts w:hint="eastAsia" w:ascii="仿宋_GB2312" w:hAnsi="仿宋" w:cs="宋体"/>
          <w:color w:val="auto"/>
          <w:szCs w:val="28"/>
        </w:rPr>
        <w:t>关</w:t>
      </w:r>
      <w:r>
        <w:rPr>
          <w:rFonts w:ascii="仿宋_GB2312" w:hAnsi="仿宋" w:cs="宋体"/>
          <w:color w:val="auto"/>
          <w:szCs w:val="28"/>
        </w:rPr>
        <w:t>、事业单位、团体组织</w:t>
      </w:r>
      <w:r>
        <w:rPr>
          <w:rFonts w:hint="eastAsia" w:ascii="仿宋_GB2312" w:hAnsi="仿宋" w:cs="宋体"/>
          <w:color w:val="auto"/>
          <w:szCs w:val="28"/>
        </w:rPr>
        <w:t>。</w:t>
      </w:r>
    </w:p>
    <w:p w14:paraId="22D5251F">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本项目的采购人见</w:t>
      </w:r>
      <w:r>
        <w:rPr>
          <w:rFonts w:hint="eastAsia" w:ascii="仿宋_GB2312" w:hAnsi="仿宋" w:cs="宋体"/>
          <w:color w:val="auto"/>
          <w:szCs w:val="28"/>
          <w:u w:val="single"/>
        </w:rPr>
        <w:t>响应须知前附表</w:t>
      </w:r>
      <w:r>
        <w:rPr>
          <w:rFonts w:hint="eastAsia" w:ascii="仿宋_GB2312" w:hAnsi="仿宋" w:cs="宋体"/>
          <w:color w:val="auto"/>
          <w:szCs w:val="28"/>
        </w:rPr>
        <w:t>。</w:t>
      </w:r>
    </w:p>
    <w:p w14:paraId="560D2EDA">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2.2采购代理机构：是指采购代理机构或从事采购代理业务的社会中介机构。本项目的采购代理机构见</w:t>
      </w:r>
      <w:r>
        <w:rPr>
          <w:rFonts w:hint="eastAsia" w:ascii="仿宋_GB2312" w:hAnsi="仿宋" w:cs="宋体"/>
          <w:color w:val="auto"/>
          <w:szCs w:val="28"/>
          <w:u w:val="single"/>
        </w:rPr>
        <w:t>响应须知前附表</w:t>
      </w:r>
      <w:r>
        <w:rPr>
          <w:rFonts w:hint="eastAsia" w:ascii="仿宋_GB2312" w:hAnsi="仿宋" w:cs="宋体"/>
          <w:color w:val="auto"/>
          <w:szCs w:val="28"/>
        </w:rPr>
        <w:t>。</w:t>
      </w:r>
    </w:p>
    <w:p w14:paraId="4B908DF8">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2.3供应商</w:t>
      </w:r>
      <w:r>
        <w:rPr>
          <w:rFonts w:ascii="仿宋_GB2312" w:hAnsi="仿宋" w:cs="宋体"/>
          <w:color w:val="auto"/>
          <w:szCs w:val="28"/>
        </w:rPr>
        <w:t>：是指向采购人提供货物</w:t>
      </w:r>
      <w:r>
        <w:rPr>
          <w:rFonts w:hint="eastAsia" w:ascii="仿宋_GB2312" w:hAnsi="仿宋" w:cs="宋体"/>
          <w:color w:val="auto"/>
          <w:szCs w:val="28"/>
        </w:rPr>
        <w:t>及伴随的</w:t>
      </w:r>
      <w:r>
        <w:rPr>
          <w:rFonts w:ascii="仿宋_GB2312" w:hAnsi="仿宋" w:cs="宋体"/>
          <w:color w:val="auto"/>
          <w:szCs w:val="28"/>
        </w:rPr>
        <w:t>服务的法人、其他组织或者自然人。</w:t>
      </w:r>
      <w:r>
        <w:rPr>
          <w:rFonts w:hint="eastAsia" w:ascii="仿宋_GB2312" w:hAnsi="仿宋" w:cs="宋体"/>
          <w:color w:val="auto"/>
          <w:szCs w:val="28"/>
        </w:rPr>
        <w:t>潜在</w:t>
      </w:r>
      <w:r>
        <w:rPr>
          <w:rFonts w:ascii="仿宋_GB2312" w:hAnsi="仿宋" w:cs="宋体"/>
          <w:color w:val="auto"/>
          <w:szCs w:val="28"/>
        </w:rPr>
        <w:t>供应商：是指</w:t>
      </w:r>
      <w:r>
        <w:rPr>
          <w:rFonts w:hint="eastAsia" w:ascii="仿宋_GB2312" w:hAnsi="仿宋" w:cs="宋体"/>
          <w:color w:val="auto"/>
          <w:szCs w:val="28"/>
        </w:rPr>
        <w:t>响应招标</w:t>
      </w:r>
      <w:r>
        <w:rPr>
          <w:rFonts w:ascii="仿宋_GB2312" w:hAnsi="仿宋" w:cs="宋体"/>
          <w:color w:val="auto"/>
          <w:szCs w:val="28"/>
        </w:rPr>
        <w:t>、参加投标竞争的法人、其他组织或者自然人</w:t>
      </w:r>
      <w:r>
        <w:rPr>
          <w:rFonts w:hint="eastAsia" w:ascii="仿宋_GB2312" w:hAnsi="仿宋" w:cs="宋体"/>
          <w:color w:val="auto"/>
          <w:szCs w:val="28"/>
        </w:rPr>
        <w:t>，以采购文件规定</w:t>
      </w:r>
      <w:r>
        <w:rPr>
          <w:rFonts w:ascii="仿宋_GB2312" w:hAnsi="仿宋" w:cs="宋体"/>
          <w:color w:val="auto"/>
          <w:szCs w:val="28"/>
        </w:rPr>
        <w:t>的方式</w:t>
      </w:r>
      <w:r>
        <w:rPr>
          <w:rFonts w:hint="eastAsia" w:ascii="仿宋_GB2312" w:hAnsi="仿宋" w:cs="宋体"/>
          <w:color w:val="auto"/>
          <w:szCs w:val="28"/>
        </w:rPr>
        <w:t>获取本项目</w:t>
      </w:r>
      <w:r>
        <w:rPr>
          <w:rFonts w:ascii="仿宋_GB2312" w:hAnsi="仿宋" w:cs="宋体"/>
          <w:color w:val="auto"/>
          <w:szCs w:val="28"/>
        </w:rPr>
        <w:t>采购文件的法人、其他组织或者自然人。</w:t>
      </w:r>
    </w:p>
    <w:p w14:paraId="71C4F729">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本项目的供应商须满足以下条件：</w:t>
      </w:r>
    </w:p>
    <w:p w14:paraId="61CBC729">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2.3.1具备《中华人民共和国政府采购法》第二十二条(第一款 银行、保险、石油石化、电力、电信等特殊行业除外)关于供应商条件的规定，遵守本项目采购人本级</w:t>
      </w:r>
      <w:r>
        <w:rPr>
          <w:rFonts w:ascii="仿宋_GB2312" w:hAnsi="仿宋" w:cs="宋体"/>
          <w:color w:val="auto"/>
          <w:szCs w:val="28"/>
        </w:rPr>
        <w:t>和上级财政部门</w:t>
      </w:r>
      <w:r>
        <w:rPr>
          <w:rFonts w:hint="eastAsia" w:ascii="仿宋_GB2312" w:hAnsi="仿宋" w:cs="宋体"/>
          <w:color w:val="auto"/>
          <w:szCs w:val="28"/>
        </w:rPr>
        <w:t>政府采购的有关规定。</w:t>
      </w:r>
    </w:p>
    <w:p w14:paraId="3529BF48">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w:t>
      </w:r>
      <w:r>
        <w:rPr>
          <w:rFonts w:ascii="仿宋_GB2312" w:hAnsi="仿宋" w:cs="宋体"/>
          <w:color w:val="auto"/>
          <w:szCs w:val="28"/>
        </w:rPr>
        <w:t>3.</w:t>
      </w:r>
      <w:r>
        <w:rPr>
          <w:rFonts w:hint="eastAsia" w:ascii="仿宋_GB2312" w:hAnsi="仿宋" w:cs="宋体"/>
          <w:color w:val="auto"/>
          <w:szCs w:val="28"/>
        </w:rPr>
        <w:t>2以采购文件规定</w:t>
      </w:r>
      <w:r>
        <w:rPr>
          <w:rFonts w:ascii="仿宋_GB2312" w:hAnsi="仿宋" w:cs="宋体"/>
          <w:color w:val="auto"/>
          <w:szCs w:val="28"/>
        </w:rPr>
        <w:t>的方式</w:t>
      </w:r>
      <w:r>
        <w:rPr>
          <w:rFonts w:hint="eastAsia" w:ascii="仿宋_GB2312" w:hAnsi="仿宋" w:cs="宋体"/>
          <w:color w:val="auto"/>
          <w:szCs w:val="28"/>
        </w:rPr>
        <w:t>获得了本项目的采购文件。</w:t>
      </w:r>
    </w:p>
    <w:p w14:paraId="4FBA3AAB">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w:t>
      </w:r>
      <w:r>
        <w:rPr>
          <w:rFonts w:ascii="仿宋_GB2312" w:hAnsi="仿宋" w:cs="宋体"/>
          <w:color w:val="auto"/>
          <w:szCs w:val="28"/>
        </w:rPr>
        <w:t>3</w:t>
      </w:r>
      <w:r>
        <w:rPr>
          <w:rFonts w:hint="eastAsia" w:ascii="仿宋_GB2312" w:hAnsi="仿宋" w:cs="宋体"/>
          <w:color w:val="auto"/>
          <w:szCs w:val="28"/>
        </w:rPr>
        <w:t>.3符合</w:t>
      </w:r>
      <w:r>
        <w:rPr>
          <w:rFonts w:hint="eastAsia" w:ascii="仿宋_GB2312" w:hAnsi="仿宋" w:cs="宋体"/>
          <w:color w:val="auto"/>
          <w:szCs w:val="28"/>
          <w:u w:val="single"/>
        </w:rPr>
        <w:t>响应须知前附表</w:t>
      </w:r>
      <w:r>
        <w:rPr>
          <w:rFonts w:hint="eastAsia" w:ascii="仿宋_GB2312" w:hAnsi="仿宋" w:cs="宋体"/>
          <w:color w:val="auto"/>
          <w:szCs w:val="28"/>
        </w:rPr>
        <w:t>中规定的其他要求。</w:t>
      </w:r>
    </w:p>
    <w:p w14:paraId="23E49551">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w:t>
      </w:r>
      <w:r>
        <w:rPr>
          <w:rFonts w:ascii="仿宋_GB2312" w:hAnsi="仿宋" w:cs="宋体"/>
          <w:color w:val="auto"/>
          <w:szCs w:val="28"/>
        </w:rPr>
        <w:t>3</w:t>
      </w:r>
      <w:r>
        <w:rPr>
          <w:rFonts w:hint="eastAsia" w:ascii="仿宋_GB2312" w:hAnsi="仿宋" w:cs="宋体"/>
          <w:color w:val="auto"/>
          <w:szCs w:val="28"/>
        </w:rPr>
        <w:t>.4若响应须知前附表中写明</w:t>
      </w:r>
      <w:r>
        <w:rPr>
          <w:rFonts w:ascii="仿宋_GB2312" w:hAnsi="仿宋" w:cs="宋体"/>
          <w:color w:val="auto"/>
          <w:szCs w:val="28"/>
        </w:rPr>
        <w:t>专门面向中小企业采购</w:t>
      </w:r>
      <w:r>
        <w:rPr>
          <w:rFonts w:hint="eastAsia" w:ascii="仿宋_GB2312" w:hAnsi="仿宋" w:cs="宋体"/>
          <w:color w:val="auto"/>
          <w:szCs w:val="28"/>
        </w:rPr>
        <w:t>的，按货物类实施采购的，其货物应由中小企业制造，即货物由中小企业生产且使用该中小企业商号或者注册商标；按工程类实施采购的，工程应由中小企业承建，即工程施工单位应为中小企业；按服务类实施采购的，服务应由中小企业承接，即提供服务的人员为中小企业按照《中华人民共和国劳动合同法》订立劳动合同的从业人员。否则，其报价将被认定为</w:t>
      </w:r>
      <w:r>
        <w:rPr>
          <w:rFonts w:hint="eastAsia" w:ascii="仿宋_GB2312" w:hAnsi="仿宋" w:cs="宋体"/>
          <w:b/>
          <w:bCs/>
          <w:color w:val="auto"/>
          <w:szCs w:val="28"/>
        </w:rPr>
        <w:t>无效</w:t>
      </w:r>
      <w:r>
        <w:rPr>
          <w:rFonts w:hint="eastAsia" w:ascii="仿宋_GB2312" w:hAnsi="仿宋" w:cs="宋体"/>
          <w:color w:val="auto"/>
          <w:szCs w:val="28"/>
        </w:rPr>
        <w:t>。</w:t>
      </w:r>
    </w:p>
    <w:p w14:paraId="328470A9">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2.4货物，是指供应商按采购文件要求，向采购人提供全新的、未使用过的各种形态和种类的物品，包括原材料、燃料、设备、产品等。</w:t>
      </w:r>
    </w:p>
    <w:p w14:paraId="2BEBE2A2">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2.5服务，是指供应商按采购文件要求，完成规定的货物供货过程中须承担的制造、运输、吊拉、安装、调试、技术协助、培训及其他各项义务。</w:t>
      </w:r>
    </w:p>
    <w:p w14:paraId="74B0581E">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2.6单位</w:t>
      </w:r>
      <w:r>
        <w:rPr>
          <w:rFonts w:ascii="仿宋_GB2312" w:hAnsi="仿宋" w:cs="宋体"/>
          <w:color w:val="auto"/>
          <w:szCs w:val="28"/>
        </w:rPr>
        <w:t>负责人为同一</w:t>
      </w:r>
      <w:r>
        <w:rPr>
          <w:rFonts w:hint="eastAsia" w:ascii="仿宋_GB2312" w:hAnsi="仿宋" w:cs="宋体"/>
          <w:color w:val="auto"/>
          <w:szCs w:val="28"/>
        </w:rPr>
        <w:t>人</w:t>
      </w:r>
      <w:r>
        <w:rPr>
          <w:rFonts w:ascii="仿宋_GB2312" w:hAnsi="仿宋" w:cs="宋体"/>
          <w:color w:val="auto"/>
          <w:szCs w:val="28"/>
        </w:rPr>
        <w:t>或者存在</w:t>
      </w:r>
      <w:r>
        <w:rPr>
          <w:rFonts w:hint="eastAsia" w:ascii="仿宋_GB2312" w:hAnsi="仿宋" w:cs="宋体"/>
          <w:color w:val="auto"/>
          <w:szCs w:val="28"/>
        </w:rPr>
        <w:t>直接</w:t>
      </w:r>
      <w:r>
        <w:rPr>
          <w:rFonts w:ascii="仿宋_GB2312" w:hAnsi="仿宋" w:cs="宋体"/>
          <w:color w:val="auto"/>
          <w:szCs w:val="28"/>
        </w:rPr>
        <w:t>控股、管理</w:t>
      </w:r>
      <w:r>
        <w:rPr>
          <w:rFonts w:hint="eastAsia" w:ascii="仿宋_GB2312" w:hAnsi="仿宋" w:cs="宋体"/>
          <w:color w:val="auto"/>
          <w:szCs w:val="28"/>
        </w:rPr>
        <w:t>关系</w:t>
      </w:r>
      <w:r>
        <w:rPr>
          <w:rFonts w:ascii="仿宋_GB2312" w:hAnsi="仿宋" w:cs="宋体"/>
          <w:color w:val="auto"/>
          <w:szCs w:val="28"/>
        </w:rPr>
        <w:t>的不同供应商，不得</w:t>
      </w:r>
      <w:r>
        <w:rPr>
          <w:rFonts w:hint="eastAsia" w:ascii="仿宋_GB2312" w:hAnsi="仿宋" w:cs="宋体"/>
          <w:color w:val="auto"/>
          <w:szCs w:val="28"/>
        </w:rPr>
        <w:t>参加同一合同项下的政府采购活动，否则其相关报价均将被认定为</w:t>
      </w:r>
      <w:r>
        <w:rPr>
          <w:rFonts w:hint="eastAsia" w:ascii="仿宋_GB2312" w:hAnsi="仿宋" w:cs="宋体"/>
          <w:b/>
          <w:bCs/>
          <w:color w:val="auto"/>
          <w:szCs w:val="28"/>
        </w:rPr>
        <w:t>无效</w:t>
      </w:r>
      <w:r>
        <w:rPr>
          <w:rFonts w:ascii="仿宋_GB2312" w:hAnsi="仿宋" w:cs="宋体"/>
          <w:color w:val="auto"/>
          <w:szCs w:val="28"/>
        </w:rPr>
        <w:t>。</w:t>
      </w:r>
    </w:p>
    <w:p w14:paraId="1BEF15A3">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2.7供应商在响应过程中不得向采购人提供或给予影响其正常决策行为的任何有</w:t>
      </w:r>
      <w:r>
        <w:rPr>
          <w:rFonts w:ascii="仿宋_GB2312" w:hAnsi="仿宋" w:cs="宋体"/>
          <w:color w:val="auto"/>
          <w:szCs w:val="28"/>
        </w:rPr>
        <w:t>价值物品</w:t>
      </w:r>
      <w:r>
        <w:rPr>
          <w:rFonts w:hint="eastAsia" w:ascii="仿宋_GB2312" w:hAnsi="仿宋" w:cs="宋体"/>
          <w:color w:val="auto"/>
          <w:szCs w:val="28"/>
        </w:rPr>
        <w:t>或</w:t>
      </w:r>
      <w:r>
        <w:rPr>
          <w:rFonts w:ascii="仿宋_GB2312" w:hAnsi="仿宋" w:cs="宋体"/>
          <w:color w:val="auto"/>
          <w:szCs w:val="28"/>
        </w:rPr>
        <w:t>服务</w:t>
      </w:r>
      <w:r>
        <w:rPr>
          <w:rFonts w:hint="eastAsia" w:ascii="仿宋_GB2312" w:hAnsi="仿宋" w:cs="宋体"/>
          <w:color w:val="auto"/>
          <w:szCs w:val="28"/>
        </w:rPr>
        <w:t>。</w:t>
      </w:r>
    </w:p>
    <w:p w14:paraId="42D42EFC">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w:t>
      </w:r>
      <w:r>
        <w:rPr>
          <w:rFonts w:ascii="仿宋_GB2312" w:hAnsi="仿宋" w:cs="宋体"/>
          <w:color w:val="auto"/>
          <w:szCs w:val="28"/>
        </w:rPr>
        <w:t>.</w:t>
      </w:r>
      <w:r>
        <w:rPr>
          <w:rFonts w:hint="eastAsia" w:ascii="仿宋_GB2312" w:hAnsi="仿宋" w:cs="宋体"/>
          <w:color w:val="auto"/>
          <w:szCs w:val="28"/>
        </w:rPr>
        <w:t>8供应商须对本项目指定一个项目负责人，对本项目所有事宜全程负责。未经采购人同意中途不得更换项目负责人。</w:t>
      </w:r>
    </w:p>
    <w:p w14:paraId="693AE06D">
      <w:pPr>
        <w:spacing w:line="560" w:lineRule="exact"/>
        <w:ind w:firstLine="565" w:firstLineChars="201"/>
        <w:rPr>
          <w:rFonts w:ascii="楷体_GB2312" w:hAnsi="仿宋" w:eastAsia="楷体_GB2312" w:cs="宋体"/>
          <w:b/>
          <w:color w:val="auto"/>
          <w:szCs w:val="28"/>
        </w:rPr>
      </w:pPr>
      <w:r>
        <w:rPr>
          <w:rFonts w:hint="eastAsia" w:ascii="楷体_GB2312" w:hAnsi="仿宋" w:eastAsia="楷体_GB2312" w:cs="宋体"/>
          <w:b/>
          <w:color w:val="auto"/>
          <w:szCs w:val="28"/>
        </w:rPr>
        <w:t>3.资金来源</w:t>
      </w:r>
    </w:p>
    <w:p w14:paraId="788DB61A">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3</w:t>
      </w:r>
      <w:r>
        <w:rPr>
          <w:rFonts w:ascii="仿宋_GB2312" w:hAnsi="仿宋" w:cs="宋体"/>
          <w:color w:val="auto"/>
          <w:szCs w:val="28"/>
        </w:rPr>
        <w:t>.1</w:t>
      </w:r>
      <w:r>
        <w:rPr>
          <w:rFonts w:hint="eastAsia" w:ascii="仿宋_GB2312" w:hAnsi="仿宋" w:cs="宋体"/>
          <w:color w:val="auto"/>
          <w:szCs w:val="28"/>
        </w:rPr>
        <w:t>本项目的采购人已获得足以支付本次采购后所签订的合同项下的资金（包括财政性资金和本项目采购</w:t>
      </w:r>
      <w:r>
        <w:rPr>
          <w:rFonts w:ascii="仿宋_GB2312" w:hAnsi="仿宋" w:cs="宋体"/>
          <w:color w:val="auto"/>
          <w:szCs w:val="28"/>
        </w:rPr>
        <w:t>中无法</w:t>
      </w:r>
      <w:r>
        <w:rPr>
          <w:rFonts w:hint="eastAsia" w:ascii="仿宋_GB2312" w:hAnsi="仿宋" w:cs="宋体"/>
          <w:color w:val="auto"/>
          <w:szCs w:val="28"/>
        </w:rPr>
        <w:t>与</w:t>
      </w:r>
      <w:r>
        <w:rPr>
          <w:rFonts w:ascii="仿宋_GB2312" w:hAnsi="仿宋" w:cs="宋体"/>
          <w:color w:val="auto"/>
          <w:szCs w:val="28"/>
        </w:rPr>
        <w:t>财政性资金分割的非财政性资金</w:t>
      </w:r>
      <w:r>
        <w:rPr>
          <w:rFonts w:hint="eastAsia" w:ascii="仿宋_GB2312" w:hAnsi="仿宋" w:cs="宋体"/>
          <w:color w:val="auto"/>
          <w:szCs w:val="28"/>
        </w:rPr>
        <w:t>，预采购项目除外）。</w:t>
      </w:r>
    </w:p>
    <w:p w14:paraId="4D99C5A4">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3.2项目预算金额和分项或分包最高限价见</w:t>
      </w:r>
      <w:r>
        <w:rPr>
          <w:rFonts w:hint="eastAsia" w:ascii="仿宋_GB2312" w:hAnsi="仿宋" w:cs="宋体"/>
          <w:color w:val="auto"/>
          <w:szCs w:val="28"/>
          <w:u w:val="single"/>
        </w:rPr>
        <w:t>响应须知前附表</w:t>
      </w:r>
      <w:r>
        <w:rPr>
          <w:rFonts w:hint="eastAsia" w:ascii="仿宋_GB2312" w:hAnsi="仿宋" w:cs="宋体"/>
          <w:color w:val="auto"/>
          <w:szCs w:val="28"/>
        </w:rPr>
        <w:t>。</w:t>
      </w:r>
    </w:p>
    <w:p w14:paraId="583EFDD9">
      <w:pPr>
        <w:snapToGrid w:val="0"/>
        <w:spacing w:line="560" w:lineRule="exact"/>
        <w:ind w:firstLine="562" w:firstLineChars="201"/>
        <w:rPr>
          <w:rFonts w:ascii="楷体_GB2312" w:hAnsi="宋体" w:eastAsia="楷体_GB2312"/>
          <w:b/>
          <w:color w:val="auto"/>
          <w:szCs w:val="28"/>
        </w:rPr>
      </w:pPr>
      <w:r>
        <w:rPr>
          <w:rFonts w:hint="eastAsia" w:ascii="仿宋_GB2312" w:hAnsi="仿宋" w:cs="宋体"/>
          <w:color w:val="auto"/>
          <w:szCs w:val="28"/>
        </w:rPr>
        <w:t>3.3供应商报价超过采购文件规定的预算金额或者分项、分包最高限价的，其报价将被认定为</w:t>
      </w:r>
      <w:r>
        <w:rPr>
          <w:rFonts w:hint="eastAsia" w:ascii="仿宋_GB2312" w:hAnsi="仿宋" w:cs="宋体"/>
          <w:b/>
          <w:bCs/>
          <w:color w:val="auto"/>
          <w:szCs w:val="28"/>
        </w:rPr>
        <w:t>无效</w:t>
      </w:r>
      <w:r>
        <w:rPr>
          <w:rFonts w:ascii="仿宋_GB2312" w:hAnsi="仿宋" w:cs="宋体"/>
          <w:color w:val="auto"/>
          <w:szCs w:val="28"/>
        </w:rPr>
        <w:t>。</w:t>
      </w:r>
    </w:p>
    <w:p w14:paraId="5E346F04">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4.相关要求</w:t>
      </w:r>
    </w:p>
    <w:p w14:paraId="34760C7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4.1供应商应承担所有与准备和参加报价的全部费用。不论电子响应结果如何，采购人和采购代理机构均无义务和责任承担这些费用。</w:t>
      </w:r>
    </w:p>
    <w:p w14:paraId="20FA698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4.2本项目若涉及采购货物，则合格的货物及相应服务应满足以下要求：</w:t>
      </w:r>
    </w:p>
    <w:p w14:paraId="7222C8D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4.2.1必须是全新、未使用过的原装合格正品（包括零部件），如安装或配置了软件的，须为正版软件。</w:t>
      </w:r>
    </w:p>
    <w:p w14:paraId="14A09D8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4.2.2国产的货物及其有关服务必须符合中华人民共和国的设计和制造生产标准或行业标准。磋商公告有其他要求的，亦应符合其要求。</w:t>
      </w:r>
    </w:p>
    <w:p w14:paraId="64C3FEF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4.2.3进口货物及其有关服务必须符合原产地和/或中华人民共和国的设计和制造生产标准或行业标准。进口的货物必须具有合法的进口手续和途径，并通过中华人民共和国商检部门检验。磋商公告有其他要求的，亦应符合其要求。</w:t>
      </w:r>
    </w:p>
    <w:p w14:paraId="11E1B56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4.2.4供应商应保证，其所提供的货物在提供给采购单位前具有完全的所有权，采购单位在中华人民共和国使用该货物或货物的任何一部分时，不会产生因第三方提出的包括但不限于侵犯其专利权、商标权、工业设计权等知识产权和侵犯其所有权、抵押权等物权及其他权利而引发的纠纷。如有纠纷，供应商应承担全部责任。</w:t>
      </w:r>
    </w:p>
    <w:p w14:paraId="72DB4D2B">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4.3供应商应通过威海市公共资源交易网（乳山分中心）登录威海市政府采购电子交易系统获取磋商文件，并通过威海市政府采购电子交易系统网上上传电子响应文件，电子响应文件成功上传后，将会生成投标回执，未通过威海市政府采购电子交易系统上传电子响应文件的，为无效响应。获取采购文件的供应商不足3家的，本项目直接废标。</w:t>
      </w:r>
    </w:p>
    <w:p w14:paraId="1D3B9A8A">
      <w:pPr>
        <w:spacing w:line="560" w:lineRule="exact"/>
        <w:ind w:firstLine="565" w:firstLineChars="201"/>
        <w:rPr>
          <w:rFonts w:ascii="楷体_GB2312" w:hAnsi="仿宋" w:eastAsia="楷体_GB2312" w:cs="宋体"/>
          <w:b/>
          <w:color w:val="auto"/>
          <w:szCs w:val="28"/>
        </w:rPr>
      </w:pPr>
      <w:r>
        <w:rPr>
          <w:rFonts w:hint="eastAsia" w:ascii="楷体_GB2312" w:hAnsi="仿宋" w:eastAsia="楷体_GB2312" w:cs="宋体"/>
          <w:b/>
          <w:color w:val="auto"/>
          <w:szCs w:val="28"/>
        </w:rPr>
        <w:t>5.电子报价特别提示</w:t>
      </w:r>
    </w:p>
    <w:p w14:paraId="676B4F57">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本项目供应商必须在中国山东政府采购网（网址：http://www.ccgp-shandong.gov.cn/sdgp2017/site/index.jsp）完成注册入库（已注册用户无需重复注册），然后登录威海市公共资源交易网（乳山分中心）（</w:t>
      </w:r>
      <w:r>
        <w:rPr>
          <w:rFonts w:ascii="仿宋_GB2312" w:hAnsi="仿宋" w:cs="宋体"/>
          <w:color w:val="auto"/>
          <w:szCs w:val="28"/>
        </w:rPr>
        <w:t>http://ggzyjy.weihai.cn/rushan/</w:t>
      </w:r>
      <w:r>
        <w:rPr>
          <w:rFonts w:hint="eastAsia" w:ascii="仿宋_GB2312" w:hAnsi="仿宋" w:cs="宋体"/>
          <w:color w:val="auto"/>
          <w:szCs w:val="28"/>
        </w:rPr>
        <w:t>），点击右侧【交易服务一网通办】按钮，进入“威海市交易服务一网通办系统”进行注册，取得用户名和密码（已经完成注册的供应商无须重复注册）；首次注册供应商应及时在威海市公共资源交易网（乳山分中心）申请办理安全证书（CA锁）及电子签章。</w:t>
      </w:r>
    </w:p>
    <w:p w14:paraId="00F6F0DA">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本项目必须</w:t>
      </w:r>
      <w:r>
        <w:rPr>
          <w:rFonts w:hint="eastAsia" w:ascii="仿宋_GB2312" w:hAnsi="仿宋" w:cs="宋体"/>
          <w:b/>
          <w:bCs/>
          <w:color w:val="auto"/>
          <w:szCs w:val="28"/>
        </w:rPr>
        <w:t>网上递交响应文件</w:t>
      </w:r>
      <w:r>
        <w:rPr>
          <w:rFonts w:hint="eastAsia" w:ascii="仿宋_GB2312" w:hAnsi="仿宋" w:cs="宋体"/>
          <w:color w:val="auto"/>
          <w:szCs w:val="28"/>
        </w:rPr>
        <w:t>，参与本项目报价的供应商应利用办理好的CA锁登录威海市政府采购电子交易系统获取采购文件、文件下载和网上报价，且安全证书（CA锁）在有效期内。</w:t>
      </w:r>
    </w:p>
    <w:p w14:paraId="7A841486">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 xml:space="preserve">网上报价时，登录交易平台的电脑须满足以下环境要求：（1）操作系统：Windows 7 </w:t>
      </w:r>
      <w:r>
        <w:rPr>
          <w:rFonts w:ascii="仿宋_GB2312" w:hAnsi="仿宋" w:cs="宋体"/>
          <w:color w:val="auto"/>
          <w:szCs w:val="28"/>
        </w:rPr>
        <w:t>/</w:t>
      </w:r>
      <w:r>
        <w:rPr>
          <w:rFonts w:hint="eastAsia" w:ascii="仿宋_GB2312" w:hAnsi="仿宋" w:cs="宋体"/>
          <w:color w:val="auto"/>
          <w:szCs w:val="28"/>
        </w:rPr>
        <w:t xml:space="preserve"> Windows </w:t>
      </w:r>
      <w:r>
        <w:rPr>
          <w:rFonts w:ascii="仿宋_GB2312" w:hAnsi="仿宋" w:cs="宋体"/>
          <w:color w:val="auto"/>
          <w:szCs w:val="28"/>
        </w:rPr>
        <w:t>10</w:t>
      </w:r>
      <w:r>
        <w:rPr>
          <w:rFonts w:hint="eastAsia" w:ascii="仿宋_GB2312" w:hAnsi="仿宋" w:cs="宋体"/>
          <w:color w:val="auto"/>
          <w:szCs w:val="28"/>
        </w:rPr>
        <w:t>（2）浏览器：Internet Explorer 11、10 （3）办公软件：Microsoft Office 2007、2010 （4）PDF软件推荐：Adobe Reader。非以上环境可能出现错误影响其报价，登录交易平台时如提示更新插件则必须更新，否则影响其电子响应。投标（响应）文件制作及递交等有关操作见本文件及威海市公共资源交易网（乳山分中心）-办事指南栏目-政府采购专区-《威海市政府采购电子交易系统供应商使用指南》，投标（响应）文件制作及系统使用咨询电话：</w:t>
      </w:r>
      <w:r>
        <w:rPr>
          <w:rFonts w:ascii="仿宋_GB2312" w:hAnsi="仿宋" w:cs="宋体"/>
          <w:color w:val="auto"/>
          <w:szCs w:val="28"/>
        </w:rPr>
        <w:t>4009</w:t>
      </w:r>
      <w:r>
        <w:rPr>
          <w:rFonts w:hint="eastAsia" w:ascii="仿宋_GB2312" w:hAnsi="仿宋" w:cs="宋体"/>
          <w:color w:val="auto"/>
          <w:szCs w:val="28"/>
        </w:rPr>
        <w:t>-</w:t>
      </w:r>
      <w:r>
        <w:rPr>
          <w:rFonts w:ascii="仿宋_GB2312" w:hAnsi="仿宋" w:cs="宋体"/>
          <w:color w:val="auto"/>
          <w:szCs w:val="28"/>
        </w:rPr>
        <w:t>913</w:t>
      </w:r>
      <w:r>
        <w:rPr>
          <w:rFonts w:hint="eastAsia" w:ascii="仿宋_GB2312" w:hAnsi="仿宋" w:cs="宋体"/>
          <w:color w:val="auto"/>
          <w:szCs w:val="28"/>
        </w:rPr>
        <w:t>-</w:t>
      </w:r>
      <w:r>
        <w:rPr>
          <w:rFonts w:ascii="仿宋_GB2312" w:hAnsi="仿宋" w:cs="宋体"/>
          <w:color w:val="auto"/>
          <w:szCs w:val="28"/>
        </w:rPr>
        <w:t>966</w:t>
      </w:r>
      <w:r>
        <w:rPr>
          <w:rFonts w:hint="eastAsia" w:ascii="仿宋_GB2312" w:hAnsi="仿宋" w:cs="宋体"/>
          <w:color w:val="auto"/>
          <w:szCs w:val="28"/>
        </w:rPr>
        <w:t>,18769124292。</w:t>
      </w:r>
    </w:p>
    <w:p w14:paraId="5F678124">
      <w:pPr>
        <w:snapToGrid w:val="0"/>
        <w:spacing w:line="560" w:lineRule="exact"/>
        <w:ind w:firstLine="562" w:firstLineChars="201"/>
        <w:rPr>
          <w:rFonts w:ascii="仿宋_GB2312" w:hAnsi="仿宋" w:cs="宋体"/>
          <w:color w:val="auto"/>
          <w:szCs w:val="28"/>
        </w:rPr>
      </w:pPr>
      <w:r>
        <w:rPr>
          <w:rFonts w:hint="eastAsia" w:ascii="仿宋_GB2312" w:hAnsi="仿宋" w:cs="宋体"/>
          <w:color w:val="auto"/>
          <w:szCs w:val="28"/>
        </w:rPr>
        <w:t>供应商提交的电子报价文件应按照本采购文件《第五章 投标文件格式》进行编制，数据文件（excel格式）必须从本项目的报价文件压缩包内的对应包段目录下获取，且必须在原文件上严格按照其中要求填写。电子报价文件编制不规范导致报价文件内容无法导入系统的，该报价文件将被视为无效报价文件。</w:t>
      </w:r>
    </w:p>
    <w:p w14:paraId="00D2B84B">
      <w:pPr>
        <w:snapToGrid w:val="0"/>
        <w:spacing w:line="560" w:lineRule="exact"/>
        <w:ind w:firstLine="562" w:firstLineChars="201"/>
        <w:rPr>
          <w:rFonts w:ascii="仿宋_GB2312" w:hAnsi="仿宋" w:cs="宋体"/>
          <w:color w:val="auto"/>
          <w:szCs w:val="28"/>
        </w:rPr>
      </w:pPr>
      <w:r>
        <w:rPr>
          <w:rFonts w:hint="eastAsia" w:ascii="仿宋_GB2312" w:hAnsi="仿宋" w:cs="宋体"/>
          <w:color w:val="auto"/>
          <w:szCs w:val="28"/>
        </w:rPr>
        <w:t>电子报价文件必需有电子签章方为合法的投标文件，未对电子报价文件进行电子签章签名的，将作为无效投标处理。电子报价文件的电子签章要求：在生成电子报价文件pdf格式时，都必须对电子报价文件进行电子签章；签章时需要将电子签章签署到相应的位置中。</w:t>
      </w:r>
    </w:p>
    <w:p w14:paraId="29E29FD9">
      <w:pPr>
        <w:snapToGrid w:val="0"/>
        <w:spacing w:line="560" w:lineRule="exact"/>
        <w:ind w:firstLine="562" w:firstLineChars="201"/>
        <w:rPr>
          <w:rFonts w:ascii="仿宋_GB2312" w:hAnsi="仿宋" w:cs="宋体"/>
          <w:color w:val="auto"/>
          <w:szCs w:val="28"/>
        </w:rPr>
      </w:pPr>
      <w:r>
        <w:rPr>
          <w:rFonts w:hint="eastAsia" w:ascii="仿宋_GB2312" w:hAnsi="仿宋" w:cs="宋体"/>
          <w:color w:val="auto"/>
          <w:szCs w:val="28"/>
        </w:rPr>
        <w:t>报价文件中的相关扫描件应保证清晰度，无法辨认的评审时受到影响的，由供应商承担相应责任。</w:t>
      </w:r>
    </w:p>
    <w:p w14:paraId="7E0923C6">
      <w:pPr>
        <w:snapToGrid w:val="0"/>
        <w:spacing w:line="560" w:lineRule="exact"/>
        <w:ind w:firstLine="562" w:firstLineChars="201"/>
        <w:rPr>
          <w:rFonts w:ascii="仿宋_GB2312" w:hAnsi="宋体"/>
          <w:color w:val="auto"/>
          <w:szCs w:val="28"/>
        </w:rPr>
      </w:pPr>
      <w:r>
        <w:rPr>
          <w:rFonts w:hint="eastAsia" w:ascii="仿宋_GB2312" w:hAnsi="仿宋" w:cs="宋体"/>
          <w:color w:val="auto"/>
          <w:szCs w:val="28"/>
        </w:rPr>
        <w:t>供应商应充分考虑到网上报价会发生的故障和风险。对发生的任何故障和风险造成供应商报价内容不一致或利益受损或报价失败的，采购人及采购代理机构不承担任何责任。</w:t>
      </w:r>
    </w:p>
    <w:p w14:paraId="1BE5DA81">
      <w:pPr>
        <w:pStyle w:val="3"/>
        <w:ind w:firstLine="562"/>
        <w:rPr>
          <w:color w:val="auto"/>
        </w:rPr>
      </w:pPr>
      <w:r>
        <w:rPr>
          <w:rFonts w:hint="eastAsia"/>
          <w:color w:val="auto"/>
        </w:rPr>
        <w:t>二、竞争性磋商文件</w:t>
      </w:r>
    </w:p>
    <w:p w14:paraId="2AE9DE99">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6.竞争性磋商文件的构成</w:t>
      </w:r>
    </w:p>
    <w:p w14:paraId="64C3532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由各包段本文件（</w:t>
      </w:r>
      <w:r>
        <w:rPr>
          <w:rFonts w:ascii="仿宋_GB2312" w:hAnsi="宋体"/>
          <w:color w:val="auto"/>
          <w:szCs w:val="28"/>
        </w:rPr>
        <w:t>WORD</w:t>
      </w:r>
      <w:r>
        <w:rPr>
          <w:rFonts w:hint="eastAsia" w:ascii="仿宋_GB2312" w:hAnsi="宋体"/>
          <w:color w:val="auto"/>
          <w:szCs w:val="28"/>
        </w:rPr>
        <w:t>格式）和各包段的数据文件（</w:t>
      </w:r>
      <w:r>
        <w:rPr>
          <w:rFonts w:ascii="仿宋_GB2312" w:hAnsi="宋体"/>
          <w:color w:val="auto"/>
          <w:szCs w:val="28"/>
        </w:rPr>
        <w:t>EXCEL</w:t>
      </w:r>
      <w:r>
        <w:rPr>
          <w:rFonts w:hint="eastAsia" w:ascii="仿宋_GB2312" w:hAnsi="宋体"/>
          <w:color w:val="auto"/>
          <w:szCs w:val="28"/>
        </w:rPr>
        <w:t>格式）构成，采用压缩包电子版文件格式提供。</w:t>
      </w:r>
    </w:p>
    <w:p w14:paraId="260FFC3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6.1本文件（</w:t>
      </w:r>
      <w:r>
        <w:rPr>
          <w:rFonts w:ascii="仿宋_GB2312" w:hAnsi="宋体"/>
          <w:color w:val="auto"/>
          <w:szCs w:val="28"/>
        </w:rPr>
        <w:t>WORD</w:t>
      </w:r>
      <w:r>
        <w:rPr>
          <w:rFonts w:hint="eastAsia" w:ascii="仿宋_GB2312" w:hAnsi="宋体"/>
          <w:color w:val="auto"/>
          <w:szCs w:val="28"/>
        </w:rPr>
        <w:t>格式）由下列文件组成：</w:t>
      </w:r>
    </w:p>
    <w:p w14:paraId="1D22A82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（1）采购公告</w:t>
      </w:r>
    </w:p>
    <w:p w14:paraId="5015723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（2）响应须知</w:t>
      </w:r>
    </w:p>
    <w:p w14:paraId="4A66411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（3）采购内容与要求</w:t>
      </w:r>
    </w:p>
    <w:p w14:paraId="2770A9D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（4）评审原则和方法</w:t>
      </w:r>
    </w:p>
    <w:p w14:paraId="2EEEA77A">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（5）投标（响应）文件格式</w:t>
      </w:r>
    </w:p>
    <w:p w14:paraId="27707A5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（6）政府采购合同（范本）</w:t>
      </w:r>
    </w:p>
    <w:p w14:paraId="716D4E9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（7）在采购过程中由采购人或采购代理机构发出的修正和补充文件等(如有）</w:t>
      </w:r>
    </w:p>
    <w:p w14:paraId="5B1E944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6.2数据文件（</w:t>
      </w:r>
      <w:r>
        <w:rPr>
          <w:rFonts w:ascii="仿宋_GB2312" w:hAnsi="宋体"/>
          <w:color w:val="auto"/>
          <w:szCs w:val="28"/>
        </w:rPr>
        <w:t>EXCEL</w:t>
      </w:r>
      <w:r>
        <w:rPr>
          <w:rFonts w:hint="eastAsia" w:ascii="仿宋_GB2312" w:hAnsi="宋体"/>
          <w:color w:val="auto"/>
          <w:szCs w:val="28"/>
        </w:rPr>
        <w:t>格式）由下列文件组成：</w:t>
      </w:r>
    </w:p>
    <w:p w14:paraId="37A35B1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（1）封面</w:t>
      </w:r>
    </w:p>
    <w:p w14:paraId="03A7D6B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（2）投标报价表</w:t>
      </w:r>
    </w:p>
    <w:p w14:paraId="3E44D6E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（3）需求响应表（如有）</w:t>
      </w:r>
    </w:p>
    <w:p w14:paraId="5CD10BB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（4）评审对照表</w:t>
      </w:r>
    </w:p>
    <w:p w14:paraId="2198329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（5）评分对照表</w:t>
      </w:r>
    </w:p>
    <w:p w14:paraId="1DE1A712">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6.3供应商应认真阅读采购文件中所有的事项、格式、条款和技术规范、参数及要求等，如果供应商没有按照采购文件要求提交全部资料，或者供应商没有对采购文件在各方面都做出实质性响应，</w:t>
      </w:r>
      <w:r>
        <w:rPr>
          <w:rFonts w:hint="eastAsia" w:ascii="仿宋_GB2312" w:hAnsi="仿宋" w:cs="宋体"/>
          <w:b/>
          <w:bCs/>
          <w:color w:val="auto"/>
          <w:szCs w:val="28"/>
        </w:rPr>
        <w:t>其风险应由供应商自行承担并根据有关政策和条款规定</w:t>
      </w:r>
      <w:r>
        <w:rPr>
          <w:rFonts w:hint="eastAsia" w:ascii="仿宋_GB2312" w:hAnsi="仿宋" w:cs="宋体"/>
          <w:color w:val="auto"/>
          <w:szCs w:val="28"/>
        </w:rPr>
        <w:t>，</w:t>
      </w:r>
      <w:r>
        <w:rPr>
          <w:rFonts w:hint="eastAsia" w:ascii="仿宋_GB2312" w:hAnsi="宋体"/>
          <w:color w:val="auto"/>
          <w:szCs w:val="28"/>
        </w:rPr>
        <w:t>其响应有可能被拒绝，或者被认定为</w:t>
      </w:r>
      <w:r>
        <w:rPr>
          <w:rFonts w:hint="eastAsia" w:ascii="仿宋_GB2312" w:hAnsi="宋体"/>
          <w:b/>
          <w:color w:val="auto"/>
          <w:szCs w:val="28"/>
        </w:rPr>
        <w:t>无效</w:t>
      </w:r>
      <w:r>
        <w:rPr>
          <w:rFonts w:hint="eastAsia" w:ascii="仿宋_GB2312" w:hAnsi="仿宋" w:cs="宋体"/>
          <w:b/>
          <w:color w:val="auto"/>
          <w:szCs w:val="28"/>
        </w:rPr>
        <w:t>投标（响应）</w:t>
      </w:r>
      <w:r>
        <w:rPr>
          <w:rFonts w:hint="eastAsia" w:ascii="仿宋_GB2312" w:hAnsi="宋体"/>
          <w:color w:val="auto"/>
          <w:szCs w:val="28"/>
        </w:rPr>
        <w:t>。</w:t>
      </w:r>
    </w:p>
    <w:p w14:paraId="682FB7E8">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6</w:t>
      </w:r>
      <w:r>
        <w:rPr>
          <w:rFonts w:ascii="仿宋_GB2312" w:hAnsi="仿宋" w:cs="宋体"/>
          <w:color w:val="auto"/>
          <w:szCs w:val="28"/>
        </w:rPr>
        <w:t>.</w:t>
      </w:r>
      <w:r>
        <w:rPr>
          <w:rFonts w:hint="eastAsia" w:ascii="仿宋_GB2312" w:hAnsi="仿宋" w:cs="宋体"/>
          <w:color w:val="auto"/>
          <w:szCs w:val="28"/>
        </w:rPr>
        <w:t>4采购文件</w:t>
      </w:r>
      <w:r>
        <w:rPr>
          <w:rFonts w:ascii="仿宋_GB2312" w:hAnsi="仿宋" w:cs="宋体"/>
          <w:color w:val="auto"/>
          <w:szCs w:val="28"/>
        </w:rPr>
        <w:t>中有不一致的，有澄清的部分</w:t>
      </w:r>
      <w:r>
        <w:rPr>
          <w:rFonts w:hint="eastAsia" w:ascii="仿宋_GB2312" w:hAnsi="仿宋" w:cs="宋体"/>
          <w:color w:val="auto"/>
          <w:szCs w:val="28"/>
        </w:rPr>
        <w:t>以</w:t>
      </w:r>
      <w:r>
        <w:rPr>
          <w:rFonts w:ascii="仿宋_GB2312" w:hAnsi="仿宋" w:cs="宋体"/>
          <w:color w:val="auto"/>
          <w:szCs w:val="28"/>
        </w:rPr>
        <w:t>最终的澄清更正内容为准</w:t>
      </w:r>
      <w:r>
        <w:rPr>
          <w:rFonts w:hint="eastAsia" w:ascii="仿宋_GB2312" w:hAnsi="仿宋" w:cs="宋体"/>
          <w:color w:val="auto"/>
          <w:szCs w:val="28"/>
        </w:rPr>
        <w:t>；未澄清的，</w:t>
      </w:r>
      <w:r>
        <w:rPr>
          <w:rFonts w:ascii="仿宋_GB2312" w:hAnsi="仿宋" w:cs="宋体"/>
          <w:color w:val="auto"/>
          <w:szCs w:val="28"/>
        </w:rPr>
        <w:t>以</w:t>
      </w:r>
      <w:r>
        <w:rPr>
          <w:rFonts w:ascii="仿宋_GB2312" w:hAnsi="仿宋" w:cs="宋体"/>
          <w:color w:val="auto"/>
          <w:szCs w:val="28"/>
          <w:u w:val="single"/>
        </w:rPr>
        <w:t>响应须知前附表</w:t>
      </w:r>
      <w:r>
        <w:rPr>
          <w:rFonts w:ascii="仿宋_GB2312" w:hAnsi="仿宋" w:cs="宋体"/>
          <w:color w:val="auto"/>
          <w:szCs w:val="28"/>
        </w:rPr>
        <w:t>为准</w:t>
      </w:r>
      <w:r>
        <w:rPr>
          <w:rFonts w:hint="eastAsia" w:ascii="仿宋_GB2312" w:hAnsi="仿宋" w:cs="宋体"/>
          <w:color w:val="auto"/>
          <w:szCs w:val="28"/>
        </w:rPr>
        <w:t>；</w:t>
      </w:r>
      <w:r>
        <w:rPr>
          <w:rFonts w:ascii="仿宋_GB2312" w:hAnsi="仿宋" w:cs="宋体"/>
          <w:color w:val="auto"/>
          <w:szCs w:val="28"/>
          <w:u w:val="single"/>
        </w:rPr>
        <w:t>响应须知前附表</w:t>
      </w:r>
      <w:r>
        <w:rPr>
          <w:rFonts w:hint="eastAsia" w:ascii="仿宋_GB2312" w:hAnsi="仿宋" w:cs="宋体"/>
          <w:color w:val="auto"/>
          <w:szCs w:val="28"/>
        </w:rPr>
        <w:t>不涉及的内容，以编排在后的描述为准。</w:t>
      </w:r>
    </w:p>
    <w:p w14:paraId="68DBC52B">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6.5采购文件以中文编印，且以中文为准。</w:t>
      </w:r>
    </w:p>
    <w:p w14:paraId="445E7C68">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6.6除非有特殊要求，采购文件不单独提供采购货物使用地的自然环境、气候条件、公用设施等情况，供应商被视为熟悉上述与履行合同有关的一切情况。</w:t>
      </w:r>
    </w:p>
    <w:p w14:paraId="14446F26">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6.7除采购文件中另有规定外，采购文件所使用的时间单位“天”、“日”均指日历天，且所有时刻均为北京时间。</w:t>
      </w:r>
    </w:p>
    <w:p w14:paraId="6C414871">
      <w:pPr>
        <w:snapToGrid w:val="0"/>
        <w:spacing w:line="560" w:lineRule="exact"/>
        <w:ind w:firstLine="562" w:firstLineChars="201"/>
        <w:rPr>
          <w:rFonts w:ascii="仿宋_GB2312" w:hAnsi="宋体"/>
          <w:color w:val="auto"/>
          <w:szCs w:val="28"/>
        </w:rPr>
      </w:pPr>
      <w:r>
        <w:rPr>
          <w:rFonts w:hint="eastAsia" w:ascii="仿宋_GB2312" w:hAnsi="仿宋" w:cs="宋体"/>
          <w:color w:val="auto"/>
          <w:szCs w:val="28"/>
        </w:rPr>
        <w:t>6.8参与本次采购活动的各方应对采购文件和响应文件中的商业和技术等秘密保密，违者应对由此造成的后果承担法律责任。</w:t>
      </w:r>
    </w:p>
    <w:p w14:paraId="2C7399FC">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7.竞争性磋商文件的澄清</w:t>
      </w:r>
    </w:p>
    <w:p w14:paraId="40B26F6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7.1供应商在收到磋商文件后，对磋商文件若有任何疑问或要求澄清磋商文件的，应在有效期内按“</w:t>
      </w:r>
      <w:r>
        <w:rPr>
          <w:rFonts w:hint="eastAsia" w:ascii="仿宋_GB2312" w:hAnsi="宋体"/>
          <w:color w:val="auto"/>
          <w:szCs w:val="28"/>
          <w:u w:val="single"/>
        </w:rPr>
        <w:t>响应须知前附表</w:t>
      </w:r>
      <w:r>
        <w:rPr>
          <w:rFonts w:hint="eastAsia" w:ascii="仿宋_GB2312" w:hAnsi="宋体"/>
          <w:color w:val="auto"/>
          <w:szCs w:val="28"/>
        </w:rPr>
        <w:t>”第四项向采购代理机构提出，必要时采购代理机构将协助采购人组织所有获取采购文件的供应商举行答疑会，采购代理机构根据需要主动对磋商文件进行必要的澄清或根据供应商的要求对磋商文件做出澄清，都将以原网站公开发布形式（包括电子交易系统推送）答复或发送给所有供应商。澄清文件作为磋商文件的组成部分，对供应商起约束作用。</w:t>
      </w:r>
    </w:p>
    <w:p w14:paraId="649C588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7.2供应商在规定的时间内未对磋商文件澄清或提出疑问的，采购代理机构将视其为接受磋商文件的所有条款，对磋商文件没有异议，此后也不再受理对磋商文件的相关质疑。</w:t>
      </w:r>
    </w:p>
    <w:p w14:paraId="15E77DB5">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8.竞争性磋商文件的修改</w:t>
      </w:r>
    </w:p>
    <w:p w14:paraId="474E012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8.</w:t>
      </w:r>
      <w:r>
        <w:rPr>
          <w:rFonts w:ascii="仿宋_GB2312" w:hAnsi="宋体"/>
          <w:color w:val="auto"/>
          <w:szCs w:val="28"/>
        </w:rPr>
        <w:t>1</w:t>
      </w:r>
      <w:r>
        <w:rPr>
          <w:rFonts w:hint="eastAsia" w:ascii="仿宋_GB2312" w:hAnsi="宋体"/>
          <w:color w:val="auto"/>
          <w:szCs w:val="28"/>
        </w:rPr>
        <w:t xml:space="preserve"> 在响应截止时间5日以前，无论出于何种原因，采购人或采购代理机构可主动或在解答供应商提出的疑问时对磋商文件进行修改。</w:t>
      </w:r>
    </w:p>
    <w:p w14:paraId="444387B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8.2 修改后的内容是磋商文件的组成部分，采购人、采购代理机构将会通过“中国山东政府采购网”、“威海市公共资源交易网”、“威海市公共资源交易网（乳山分中心）”，以更正公告形式（电子交易系统发送更正提醒通知）一并告知所有潜在供应商，并对潜在供应商具有约束力。潜在供应商在收到上述通知后，应立即以书面形式向采购代理机构或采购人确认，如在24小时内无书面回函则视为同意修改内容，并有义务履行相应的义务。</w:t>
      </w:r>
      <w:r>
        <w:rPr>
          <w:rFonts w:hint="eastAsia" w:ascii="仿宋_GB2312" w:hAnsi="仿宋" w:cs="宋体"/>
          <w:color w:val="auto"/>
          <w:szCs w:val="28"/>
        </w:rPr>
        <w:t>因潜在供应商原因或通讯线路故障导致逾期送达或无法送达，采购代理机构不因此承担任何责任，有关的采购活动可以继续有效进行。</w:t>
      </w:r>
    </w:p>
    <w:p w14:paraId="1A8D101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8.3 澄清或者修改的内容可能影响响应文件编制的，采购人或采购代理机构将在响应截止时间5日前，通过原网站发布公告的形式（电子交易系统内发送更正提醒通知）通知所有获取磋商文件的潜在供应商（采购文件变更的，供应商必须从电子交易系统中重新下载采购文件，并在新下载文件的基础上编制响应文件）；不足5日的，采购人或者采购代理机构将顺延提交响应文件的截止时间。</w:t>
      </w:r>
    </w:p>
    <w:p w14:paraId="26E85FD5">
      <w:pPr>
        <w:pStyle w:val="3"/>
        <w:ind w:firstLine="562"/>
        <w:rPr>
          <w:color w:val="auto"/>
        </w:rPr>
      </w:pPr>
      <w:r>
        <w:rPr>
          <w:rFonts w:hint="eastAsia"/>
          <w:color w:val="auto"/>
        </w:rPr>
        <w:t>三、响应文件的编制</w:t>
      </w:r>
    </w:p>
    <w:p w14:paraId="6814C52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本项目须提交两阶段响应文件，分别包括第一阶段响应文件、第二阶段响应文件（采购人实质性变动采购要求的情况下编制）。第一阶段提交首次响应文件，文件由资质、技术及商务和报价四部分组成。第二阶段按照磋商文件的变动情况和磋商小组的要求重新提交响应文件，并由其法定代表人（签章）或被授权人签字或者加盖公章。由被授权人签字的，应当附法定代表人授权书。供应商为自然人的，应当由本人签字并附身份证明。</w:t>
      </w:r>
    </w:p>
    <w:p w14:paraId="54558C62">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9.响应文件编制要求</w:t>
      </w:r>
    </w:p>
    <w:p w14:paraId="334750C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9.1供应商编写的文件和往来信件应以简体中文书写。如果响应文件或与响应有关的其它文件、信件及来往函电以其它语言书写的，供应商应将其译成中文，如未翻译该文件为无效文件。</w:t>
      </w:r>
    </w:p>
    <w:p w14:paraId="7F707D1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9.2响应文件中使用的计量单位应使用中华人民共和国法定计量单位。</w:t>
      </w:r>
    </w:p>
    <w:p w14:paraId="2AF18F2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9.3供应商必须保证响应文件所提供的全部资料真实可靠，并接受采购人或采购代理机构对其中任何资料进一步核实的要求。如果因为响应文件填报的内容不详，或没有提供竞争性磋商中所要求的全部资料及数据，或提供虚假文件，由此造成的后果由供应商自负。</w:t>
      </w:r>
    </w:p>
    <w:p w14:paraId="186B98FA">
      <w:pPr>
        <w:snapToGrid w:val="0"/>
        <w:spacing w:line="560" w:lineRule="exact"/>
        <w:ind w:firstLine="562" w:firstLineChars="201"/>
        <w:rPr>
          <w:rFonts w:ascii="仿宋_GB2312" w:hAnsi="宋体"/>
          <w:color w:val="auto"/>
          <w:szCs w:val="28"/>
        </w:rPr>
      </w:pPr>
      <w:r>
        <w:rPr>
          <w:rFonts w:hint="eastAsia" w:ascii="仿宋_GB2312" w:hAnsi="宋体"/>
          <w:color w:val="auto"/>
          <w:szCs w:val="28"/>
        </w:rPr>
        <w:t>9.4供应商应按磋商文件中提供的响应文件格式（详见第五章 投标（响应）文件格式）按包段编写响应文件，并使用A4规格编制。响应文件应编写目录，具有结构清晰的文档结构图（打开word视图中的“文档结构图”后能看到详细章节），页码连续。</w:t>
      </w:r>
    </w:p>
    <w:p w14:paraId="005DBCB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9.5供应商按照竞争性磋商要求所提供的各种证明文件必须真实且合法有效,经扫描后粘贴到响应文件的相关页上，确保清晰度可辨认，评审时由于无法辨认所产生的后果，由供应商自行承担。</w:t>
      </w:r>
    </w:p>
    <w:p w14:paraId="302F3C47">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9.6供应商应自行确保本文件的内容已充分覆盖了数据文件中《评审对照表》和《评分对照表(如有)》中的各项要求，并准确将对应的起止页码填写到数据文件《评审对照表》、《评分对照表(如有)》表格中每项后的起始页码和终止页码栏位上。对于不涉及或无法填写的评审项（评分项）（例如：报价），可在页码索引处填写1。</w:t>
      </w:r>
    </w:p>
    <w:p w14:paraId="1BBBA2EA">
      <w:pPr>
        <w:snapToGrid w:val="0"/>
        <w:spacing w:line="560" w:lineRule="exact"/>
        <w:ind w:firstLine="562" w:firstLineChars="201"/>
        <w:rPr>
          <w:rFonts w:ascii="仿宋_GB2312" w:hAnsi="宋体"/>
          <w:color w:val="auto"/>
          <w:szCs w:val="28"/>
        </w:rPr>
      </w:pPr>
      <w:r>
        <w:rPr>
          <w:rFonts w:hint="eastAsia" w:ascii="仿宋_GB2312" w:hAnsi="宋体"/>
          <w:color w:val="auto"/>
          <w:szCs w:val="28"/>
        </w:rPr>
        <w:t>9.7为了保证系统整体效率，系统对所投递的电子文件有大小的限制，因此，供应商应尽可能降低本文件的大小，小尺寸响应文件将使递交更快捷、减少差错发生几率，避免响应截止时间前未能完整上传文件。</w:t>
      </w:r>
    </w:p>
    <w:p w14:paraId="6A4ABA5A">
      <w:pPr>
        <w:snapToGrid w:val="0"/>
        <w:spacing w:line="560" w:lineRule="exact"/>
        <w:ind w:firstLine="562" w:firstLineChars="201"/>
        <w:rPr>
          <w:rFonts w:ascii="仿宋_GB2312" w:hAnsi="宋体"/>
          <w:color w:val="auto"/>
          <w:szCs w:val="28"/>
        </w:rPr>
      </w:pPr>
      <w:r>
        <w:rPr>
          <w:rFonts w:hint="eastAsia" w:ascii="仿宋_GB2312" w:hAnsi="宋体"/>
          <w:color w:val="auto"/>
          <w:szCs w:val="28"/>
        </w:rPr>
        <w:t>9.8响应文件具有法律效力，供应商与采购代理机构或采购人任何人的口头协议不影响响应文件的任何条款和内容。</w:t>
      </w:r>
    </w:p>
    <w:p w14:paraId="312B20F7">
      <w:pPr>
        <w:spacing w:line="560" w:lineRule="exact"/>
        <w:ind w:firstLine="562" w:firstLineChars="201"/>
        <w:rPr>
          <w:rFonts w:ascii="仿宋_GB2312" w:hAnsi="仿宋" w:cs="宋体"/>
          <w:color w:val="auto"/>
          <w:szCs w:val="28"/>
        </w:rPr>
      </w:pPr>
      <w:r>
        <w:rPr>
          <w:rFonts w:hint="eastAsia" w:ascii="仿宋_GB2312" w:hAnsi="宋体"/>
          <w:color w:val="auto"/>
          <w:szCs w:val="28"/>
        </w:rPr>
        <w:t>9</w:t>
      </w:r>
      <w:r>
        <w:rPr>
          <w:rFonts w:hint="eastAsia" w:ascii="仿宋_GB2312" w:hAnsi="仿宋" w:cs="宋体"/>
          <w:color w:val="auto"/>
          <w:szCs w:val="28"/>
        </w:rPr>
        <w:t>.9供应商应自行承担其准备和参加报价活动发生的所有费用。不论结果如何，采购人及采购代理机构在任何情况下无义务也无责任承担这些费用。</w:t>
      </w:r>
    </w:p>
    <w:p w14:paraId="2C2A473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9.10采购人或采购代理机构均无义务向供应商解释其成交或未成交的原因，且无论供应商是否成交，供应商所递交的响应文件均不予退还，不提供副本拷贝。</w:t>
      </w:r>
    </w:p>
    <w:p w14:paraId="085265ED">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10.数据文件编制要求</w:t>
      </w:r>
    </w:p>
    <w:p w14:paraId="1A20D22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10.1供应商须从所报项目的竞争性磋商文件压缩包内对应包段目录下获取本文件（变更后的数据文件需要重新下载），必须在原文件上严格按照其中要求填写，其内部已约定好固定格式和相关内容，且带有特定的唯一性数字指纹，</w:t>
      </w:r>
      <w:r>
        <w:rPr>
          <w:rFonts w:ascii="仿宋_GB2312" w:hAnsi="仿宋" w:cs="宋体"/>
          <w:color w:val="auto"/>
          <w:szCs w:val="28"/>
        </w:rPr>
        <w:t>必须在原表上填写，</w:t>
      </w:r>
      <w:r>
        <w:rPr>
          <w:rFonts w:hint="eastAsia" w:ascii="仿宋_GB2312" w:hAnsi="仿宋" w:cs="宋体"/>
          <w:color w:val="auto"/>
          <w:szCs w:val="28"/>
        </w:rPr>
        <w:t>对采用非该文件基础上编制或对该文件进行任何工作表、表格行、表格列的增减</w:t>
      </w:r>
      <w:r>
        <w:rPr>
          <w:rFonts w:ascii="Calibri" w:hAnsi="Calibri" w:cs="宋体"/>
          <w:color w:val="auto"/>
          <w:szCs w:val="28"/>
        </w:rPr>
        <w:t>、对工作表先后顺序的变动，</w:t>
      </w:r>
      <w:r>
        <w:rPr>
          <w:rFonts w:hint="eastAsia" w:ascii="仿宋_GB2312" w:hAnsi="仿宋" w:cs="宋体"/>
          <w:color w:val="auto"/>
          <w:szCs w:val="28"/>
        </w:rPr>
        <w:t>以及对锁定区域内的数据进行更改、</w:t>
      </w:r>
      <w:r>
        <w:rPr>
          <w:rFonts w:hint="eastAsia" w:ascii="仿宋_GB2312" w:hAnsi="仿宋" w:cs="宋体"/>
          <w:b/>
          <w:color w:val="auto"/>
          <w:szCs w:val="28"/>
        </w:rPr>
        <w:t>文件另存到其他文件</w:t>
      </w:r>
      <w:r>
        <w:rPr>
          <w:rFonts w:hint="eastAsia" w:ascii="仿宋_GB2312" w:hAnsi="仿宋" w:cs="宋体"/>
          <w:color w:val="auto"/>
          <w:szCs w:val="28"/>
        </w:rPr>
        <w:t>等违规性操作</w:t>
      </w:r>
      <w:r>
        <w:rPr>
          <w:rFonts w:hint="eastAsia" w:ascii="仿宋_GB2312" w:hAnsi="宋体"/>
          <w:color w:val="auto"/>
          <w:szCs w:val="28"/>
        </w:rPr>
        <w:t>，都会破坏本文件中的数字指纹，导致系统无法接收该文件使其响应失败。</w:t>
      </w:r>
    </w:p>
    <w:p w14:paraId="5F0CEFD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10.2供应商应按数据文件中规定的要求，完整、准确地填写《封面》《投标报价表（含明细）》《需求响应表（如有）》《评审对照表》《评分对照表（如有）》，任何的漏表、漏项及信息不完整、填写数据不规范或不正确，都将导致电子交易平台无法接收该文件使其</w:t>
      </w:r>
      <w:r>
        <w:rPr>
          <w:rFonts w:hint="eastAsia" w:ascii="仿宋_GB2312" w:hAnsi="宋体"/>
          <w:b/>
          <w:color w:val="auto"/>
          <w:szCs w:val="28"/>
        </w:rPr>
        <w:t>响应失败</w:t>
      </w:r>
      <w:r>
        <w:rPr>
          <w:rFonts w:hint="eastAsia" w:ascii="仿宋_GB2312" w:hAnsi="宋体"/>
          <w:color w:val="auto"/>
          <w:szCs w:val="28"/>
        </w:rPr>
        <w:t>。</w:t>
      </w:r>
    </w:p>
    <w:p w14:paraId="665DF995">
      <w:pPr>
        <w:spacing w:line="560" w:lineRule="exact"/>
        <w:ind w:firstLine="562" w:firstLineChars="201"/>
        <w:rPr>
          <w:rFonts w:ascii="仿宋_GB2312" w:hAnsi="仿宋" w:cs="宋体"/>
          <w:color w:val="auto"/>
          <w:szCs w:val="28"/>
        </w:rPr>
      </w:pPr>
      <w:r>
        <w:rPr>
          <w:rFonts w:hint="eastAsia" w:ascii="仿宋_GB2312" w:hAnsi="宋体"/>
          <w:color w:val="auto"/>
          <w:szCs w:val="28"/>
        </w:rPr>
        <w:t>10</w:t>
      </w:r>
      <w:r>
        <w:rPr>
          <w:rFonts w:hint="eastAsia" w:ascii="仿宋_GB2312" w:hAnsi="仿宋" w:cs="宋体"/>
          <w:color w:val="auto"/>
          <w:szCs w:val="28"/>
        </w:rPr>
        <w:t>.3供应商在对数据文件电子签章前，应按照上述2项的要求进行认真检查、确认。因供应商自身原因所导致其报价失败的，须自行承担相关责任。</w:t>
      </w:r>
    </w:p>
    <w:p w14:paraId="3754D40D">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11.文件构成</w:t>
      </w:r>
    </w:p>
    <w:p w14:paraId="52E808F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供应商应按不同包段分别编制响应文件，每个包段的响应文件必须包括：响应文件（pdf格式）（第一册）、数据文件（PDF格式）（第二册），以上内容缺一不可，否则为</w:t>
      </w:r>
      <w:r>
        <w:rPr>
          <w:rFonts w:hint="eastAsia" w:ascii="仿宋_GB2312" w:hAnsi="宋体"/>
          <w:b/>
          <w:color w:val="auto"/>
          <w:szCs w:val="28"/>
        </w:rPr>
        <w:t>无效响应</w:t>
      </w:r>
      <w:r>
        <w:rPr>
          <w:rFonts w:hint="eastAsia" w:ascii="仿宋_GB2312" w:hAnsi="宋体"/>
          <w:color w:val="auto"/>
          <w:szCs w:val="28"/>
        </w:rPr>
        <w:t>。</w:t>
      </w:r>
    </w:p>
    <w:p w14:paraId="72BE99F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11.1供应商编制的响应文件（pdf格式）（第一册）应包括但不少于下列内容：</w:t>
      </w:r>
    </w:p>
    <w:p w14:paraId="58FDD07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（1）响应文件封面（格式见</w:t>
      </w:r>
      <w:r>
        <w:rPr>
          <w:rFonts w:hint="eastAsia" w:ascii="仿宋_GB2312" w:hAnsi="仿宋" w:cs="宋体"/>
          <w:color w:val="auto"/>
          <w:szCs w:val="28"/>
        </w:rPr>
        <w:t>本文件第五章</w:t>
      </w:r>
      <w:r>
        <w:rPr>
          <w:rFonts w:hint="eastAsia" w:ascii="仿宋_GB2312" w:hAnsi="宋体"/>
          <w:color w:val="auto"/>
          <w:szCs w:val="28"/>
        </w:rPr>
        <w:t>）</w:t>
      </w:r>
    </w:p>
    <w:p w14:paraId="646E4DF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（2）响应文件目录（格式见</w:t>
      </w:r>
      <w:r>
        <w:rPr>
          <w:rFonts w:hint="eastAsia" w:ascii="仿宋_GB2312" w:hAnsi="仿宋" w:cs="宋体"/>
          <w:color w:val="auto"/>
          <w:szCs w:val="28"/>
        </w:rPr>
        <w:t>本文件第五章</w:t>
      </w:r>
      <w:r>
        <w:rPr>
          <w:rFonts w:hint="eastAsia" w:ascii="仿宋_GB2312" w:hAnsi="宋体"/>
          <w:color w:val="auto"/>
          <w:szCs w:val="28"/>
        </w:rPr>
        <w:t>）</w:t>
      </w:r>
    </w:p>
    <w:p w14:paraId="51C79DB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（3）报价承诺函（格式见</w:t>
      </w:r>
      <w:r>
        <w:rPr>
          <w:rFonts w:hint="eastAsia" w:ascii="仿宋_GB2312" w:hAnsi="仿宋" w:cs="宋体"/>
          <w:color w:val="auto"/>
          <w:szCs w:val="28"/>
        </w:rPr>
        <w:t>本文件第五章</w:t>
      </w:r>
      <w:r>
        <w:rPr>
          <w:rFonts w:hint="eastAsia" w:ascii="仿宋_GB2312" w:hAnsi="宋体"/>
          <w:color w:val="auto"/>
          <w:szCs w:val="28"/>
        </w:rPr>
        <w:t>）</w:t>
      </w:r>
    </w:p>
    <w:p w14:paraId="433BEC9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（4）供应商信用承诺书（格式见</w:t>
      </w:r>
      <w:r>
        <w:rPr>
          <w:rFonts w:hint="eastAsia" w:ascii="仿宋_GB2312" w:hAnsi="仿宋" w:cs="宋体"/>
          <w:color w:val="auto"/>
          <w:szCs w:val="28"/>
        </w:rPr>
        <w:t>本文件第五章</w:t>
      </w:r>
      <w:r>
        <w:rPr>
          <w:rFonts w:hint="eastAsia" w:ascii="仿宋_GB2312" w:hAnsi="宋体"/>
          <w:color w:val="auto"/>
          <w:szCs w:val="28"/>
        </w:rPr>
        <w:t>）</w:t>
      </w:r>
    </w:p>
    <w:p w14:paraId="0931924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（5）供应商资格证明文件</w:t>
      </w:r>
    </w:p>
    <w:p w14:paraId="316E5B64">
      <w:pPr>
        <w:snapToGrid w:val="0"/>
        <w:spacing w:line="560" w:lineRule="exact"/>
        <w:ind w:firstLine="562" w:firstLineChars="201"/>
        <w:rPr>
          <w:rFonts w:ascii="仿宋_GB2312" w:hAnsi="宋体"/>
          <w:color w:val="auto"/>
          <w:szCs w:val="28"/>
        </w:rPr>
      </w:pPr>
      <w:r>
        <w:rPr>
          <w:rFonts w:ascii="仿宋_GB2312" w:hAnsi="宋体"/>
          <w:color w:val="auto"/>
          <w:szCs w:val="28"/>
        </w:rPr>
        <w:t>①法人或其他组织的营业执照等证明文件扫描件；</w:t>
      </w:r>
    </w:p>
    <w:p w14:paraId="5ED18878">
      <w:pPr>
        <w:snapToGrid w:val="0"/>
        <w:spacing w:line="560" w:lineRule="exact"/>
        <w:ind w:firstLine="562" w:firstLineChars="201"/>
        <w:rPr>
          <w:rFonts w:ascii="仿宋_GB2312" w:hAnsi="宋体"/>
          <w:color w:val="auto"/>
          <w:szCs w:val="28"/>
        </w:rPr>
      </w:pPr>
      <w:r>
        <w:rPr>
          <w:rFonts w:ascii="仿宋_GB2312" w:hAnsi="宋体"/>
          <w:color w:val="auto"/>
          <w:szCs w:val="28"/>
        </w:rPr>
        <w:t>②具有水利水电施工总承包三级及以上资质证书扫描件；具有行政主管部门颁发的安全生产许可证扫描件；</w:t>
      </w:r>
    </w:p>
    <w:p w14:paraId="5C050B68">
      <w:pPr>
        <w:snapToGrid w:val="0"/>
        <w:spacing w:line="560" w:lineRule="exact"/>
        <w:ind w:firstLine="562" w:firstLineChars="201"/>
        <w:rPr>
          <w:rFonts w:ascii="仿宋_GB2312" w:hAnsi="宋体"/>
          <w:color w:val="auto"/>
          <w:szCs w:val="28"/>
        </w:rPr>
      </w:pPr>
      <w:r>
        <w:rPr>
          <w:rFonts w:ascii="仿宋_GB2312" w:hAnsi="宋体"/>
          <w:color w:val="auto"/>
          <w:szCs w:val="28"/>
        </w:rPr>
        <w:t>③项目负责人具有水利水电工程专业贰级及以上注册建造师执业资格</w:t>
      </w:r>
      <w:r>
        <w:rPr>
          <w:rFonts w:hint="eastAsia" w:ascii="仿宋_GB2312" w:hAnsi="宋体"/>
          <w:color w:val="auto"/>
          <w:szCs w:val="28"/>
        </w:rPr>
        <w:t>，</w:t>
      </w:r>
      <w:r>
        <w:rPr>
          <w:rFonts w:ascii="仿宋_GB2312" w:hAnsi="宋体"/>
          <w:color w:val="auto"/>
          <w:szCs w:val="28"/>
        </w:rPr>
        <w:t>同时应具有安全生产考核合格证（B证）证书扫描件。</w:t>
      </w:r>
    </w:p>
    <w:p w14:paraId="11729E70">
      <w:pPr>
        <w:snapToGrid w:val="0"/>
        <w:spacing w:line="560" w:lineRule="exact"/>
        <w:ind w:firstLine="562" w:firstLineChars="201"/>
        <w:rPr>
          <w:rFonts w:ascii="仿宋_GB2312" w:hAnsi="宋体"/>
          <w:color w:val="auto"/>
          <w:szCs w:val="28"/>
        </w:rPr>
      </w:pPr>
      <w:r>
        <w:rPr>
          <w:rFonts w:ascii="仿宋_GB2312" w:hAnsi="宋体"/>
          <w:color w:val="auto"/>
          <w:szCs w:val="28"/>
        </w:rPr>
        <w:t>④法定代表人授权委托书；被授权人身份证扫描件；</w:t>
      </w:r>
    </w:p>
    <w:p w14:paraId="15912BBC">
      <w:pPr>
        <w:snapToGrid w:val="0"/>
        <w:spacing w:line="560" w:lineRule="exact"/>
        <w:ind w:firstLine="562" w:firstLineChars="201"/>
        <w:rPr>
          <w:rFonts w:ascii="仿宋_GB2312" w:hAnsi="宋体"/>
          <w:color w:val="auto"/>
          <w:szCs w:val="28"/>
        </w:rPr>
      </w:pPr>
      <w:r>
        <w:rPr>
          <w:rFonts w:ascii="仿宋_GB2312" w:hAnsi="宋体"/>
          <w:color w:val="auto"/>
          <w:szCs w:val="28"/>
        </w:rPr>
        <w:t>若响应单位代表为企业法定代表人/单位负责人的，则只需提供企业法定代表人/单位负责人身份证扫描件；</w:t>
      </w:r>
    </w:p>
    <w:p w14:paraId="4DA8B37B">
      <w:pPr>
        <w:snapToGrid w:val="0"/>
        <w:spacing w:line="560" w:lineRule="exact"/>
        <w:ind w:firstLine="562" w:firstLineChars="201"/>
        <w:rPr>
          <w:rFonts w:ascii="仿宋_GB2312" w:hAnsi="宋体"/>
          <w:color w:val="auto"/>
          <w:szCs w:val="28"/>
        </w:rPr>
      </w:pPr>
      <w:r>
        <w:rPr>
          <w:rFonts w:ascii="仿宋_GB2312" w:hAnsi="宋体"/>
          <w:color w:val="auto"/>
          <w:szCs w:val="28"/>
        </w:rPr>
        <w:t>⑤依法缴纳税收和社会保障资金的声明（格式自拟）；近期的完税凭证及交纳社保资金凭证的扫描件（依法免税或不需要缴纳社会保障资金的供应商，应提供相关证明材料）；</w:t>
      </w:r>
    </w:p>
    <w:p w14:paraId="37327CCE">
      <w:pPr>
        <w:snapToGrid w:val="0"/>
        <w:spacing w:line="560" w:lineRule="exact"/>
        <w:ind w:firstLine="562" w:firstLineChars="201"/>
        <w:rPr>
          <w:rFonts w:ascii="仿宋_GB2312" w:hAnsi="宋体"/>
          <w:color w:val="auto"/>
          <w:szCs w:val="28"/>
        </w:rPr>
      </w:pPr>
      <w:r>
        <w:rPr>
          <w:rFonts w:ascii="仿宋_GB2312" w:hAnsi="宋体"/>
          <w:color w:val="auto"/>
          <w:szCs w:val="28"/>
        </w:rPr>
        <w:t>⑥参加本项目报价前三年内无重大违法记录声明（格式自定）；</w:t>
      </w:r>
    </w:p>
    <w:p w14:paraId="373CC498">
      <w:pPr>
        <w:snapToGrid w:val="0"/>
        <w:spacing w:line="560" w:lineRule="exact"/>
        <w:ind w:firstLine="562" w:firstLineChars="201"/>
        <w:rPr>
          <w:rFonts w:ascii="仿宋_GB2312" w:hAnsi="宋体"/>
          <w:color w:val="auto"/>
          <w:szCs w:val="28"/>
        </w:rPr>
      </w:pPr>
      <w:r>
        <w:rPr>
          <w:rFonts w:ascii="仿宋_GB2312" w:hAnsi="宋体"/>
          <w:color w:val="auto"/>
          <w:szCs w:val="28"/>
        </w:rPr>
        <w:t>⑦由代理机构查询“信用中国”、报价供应商所在地省级信用官方网站(如:“信用山东)、“中国政府采购网”，对已列入失信被执行人、重大税收违法案件当事人名单、政府采购严重违法失信行为记录名单的供应商，将拒绝其继续参与政府采购活动；</w:t>
      </w:r>
    </w:p>
    <w:p w14:paraId="24E248F6">
      <w:pPr>
        <w:snapToGrid w:val="0"/>
        <w:spacing w:line="560" w:lineRule="exact"/>
        <w:ind w:firstLine="562" w:firstLineChars="201"/>
        <w:rPr>
          <w:rFonts w:ascii="仿宋_GB2312" w:hAnsi="宋体"/>
          <w:color w:val="auto"/>
          <w:szCs w:val="28"/>
        </w:rPr>
      </w:pPr>
      <w:r>
        <w:rPr>
          <w:rFonts w:ascii="仿宋_GB2312" w:hAnsi="宋体"/>
          <w:color w:val="auto"/>
          <w:szCs w:val="28"/>
        </w:rPr>
        <w:t>⑧财务状况报告等相关材料</w:t>
      </w:r>
    </w:p>
    <w:p w14:paraId="580C09F8">
      <w:pPr>
        <w:snapToGrid w:val="0"/>
        <w:spacing w:line="560" w:lineRule="exact"/>
        <w:ind w:firstLine="562" w:firstLineChars="201"/>
        <w:rPr>
          <w:rFonts w:hint="eastAsia" w:ascii="仿宋_GB2312" w:hAnsi="宋体"/>
          <w:color w:val="auto"/>
          <w:szCs w:val="28"/>
        </w:rPr>
      </w:pPr>
      <w:r>
        <w:rPr>
          <w:rFonts w:ascii="仿宋_GB2312" w:hAnsi="宋体"/>
          <w:color w:val="auto"/>
          <w:szCs w:val="28"/>
        </w:rPr>
        <w:t>A.供应商自行编制的近一年度公司财务报表或由中介机构出具的近一年度财务审计报告书扫描件；</w:t>
      </w:r>
      <w:r>
        <w:rPr>
          <w:rFonts w:hint="eastAsia" w:ascii="仿宋_GB2312" w:hAnsi="宋体"/>
          <w:color w:val="auto"/>
          <w:szCs w:val="28"/>
        </w:rPr>
        <w:t>（2</w:t>
      </w:r>
      <w:r>
        <w:rPr>
          <w:rFonts w:ascii="仿宋_GB2312" w:hAnsi="宋体"/>
          <w:color w:val="auto"/>
          <w:szCs w:val="28"/>
        </w:rPr>
        <w:t>022</w:t>
      </w:r>
      <w:r>
        <w:rPr>
          <w:rFonts w:hint="eastAsia" w:ascii="仿宋_GB2312" w:hAnsi="宋体"/>
          <w:color w:val="auto"/>
          <w:szCs w:val="28"/>
        </w:rPr>
        <w:t>年度或2</w:t>
      </w:r>
      <w:r>
        <w:rPr>
          <w:rFonts w:ascii="仿宋_GB2312" w:hAnsi="宋体"/>
          <w:color w:val="auto"/>
          <w:szCs w:val="28"/>
        </w:rPr>
        <w:t>023</w:t>
      </w:r>
      <w:r>
        <w:rPr>
          <w:rFonts w:hint="eastAsia" w:ascii="仿宋_GB2312" w:hAnsi="宋体"/>
          <w:color w:val="auto"/>
          <w:szCs w:val="28"/>
        </w:rPr>
        <w:t>年度）</w:t>
      </w:r>
    </w:p>
    <w:p w14:paraId="5FA5EA37">
      <w:pPr>
        <w:snapToGrid w:val="0"/>
        <w:spacing w:line="560" w:lineRule="exact"/>
        <w:ind w:firstLine="562" w:firstLineChars="201"/>
        <w:rPr>
          <w:rFonts w:ascii="仿宋_GB2312" w:hAnsi="宋体"/>
          <w:color w:val="auto"/>
          <w:szCs w:val="28"/>
        </w:rPr>
      </w:pPr>
      <w:r>
        <w:rPr>
          <w:rFonts w:ascii="仿宋_GB2312" w:hAnsi="宋体"/>
          <w:color w:val="auto"/>
          <w:szCs w:val="28"/>
        </w:rPr>
        <w:t>B.银行出具的有效期内的资信证明扫描件。</w:t>
      </w:r>
    </w:p>
    <w:p w14:paraId="6D3D5BB9">
      <w:pPr>
        <w:snapToGrid w:val="0"/>
        <w:spacing w:line="560" w:lineRule="exact"/>
        <w:ind w:firstLine="562" w:firstLineChars="201"/>
        <w:rPr>
          <w:rFonts w:ascii="仿宋_GB2312" w:hAnsi="宋体"/>
          <w:color w:val="auto"/>
          <w:szCs w:val="28"/>
        </w:rPr>
      </w:pPr>
      <w:r>
        <w:rPr>
          <w:rFonts w:ascii="仿宋_GB2312" w:hAnsi="宋体"/>
          <w:color w:val="auto"/>
          <w:szCs w:val="28"/>
        </w:rPr>
        <w:t>注：A、B两项提供任意一项均可。</w:t>
      </w:r>
    </w:p>
    <w:p w14:paraId="2A261FA6">
      <w:pPr>
        <w:snapToGrid w:val="0"/>
        <w:spacing w:line="560" w:lineRule="exact"/>
        <w:ind w:firstLine="562" w:firstLineChars="201"/>
        <w:rPr>
          <w:rFonts w:ascii="仿宋_GB2312" w:hAnsi="宋体"/>
          <w:color w:val="auto"/>
          <w:szCs w:val="28"/>
        </w:rPr>
      </w:pPr>
      <w:r>
        <w:rPr>
          <w:rFonts w:ascii="仿宋_GB2312" w:hAnsi="宋体"/>
          <w:color w:val="auto"/>
          <w:szCs w:val="28"/>
        </w:rPr>
        <w:t>⑨具有履行合同所必需的设备和专业技术能力承诺函（格式自拟）；</w:t>
      </w:r>
    </w:p>
    <w:p w14:paraId="327F46A5">
      <w:pPr>
        <w:snapToGrid w:val="0"/>
        <w:spacing w:line="560" w:lineRule="exact"/>
        <w:ind w:firstLine="562" w:firstLineChars="201"/>
        <w:rPr>
          <w:rFonts w:ascii="仿宋_GB2312" w:hAnsi="宋体"/>
          <w:color w:val="auto"/>
          <w:szCs w:val="28"/>
        </w:rPr>
      </w:pPr>
      <w:r>
        <w:rPr>
          <w:rFonts w:ascii="仿宋_GB2312" w:hAnsi="宋体"/>
          <w:color w:val="auto"/>
          <w:szCs w:val="28"/>
        </w:rPr>
        <w:t>⑩中小企业声明函声明为中小企业；</w:t>
      </w:r>
    </w:p>
    <w:p w14:paraId="03D56831">
      <w:pPr>
        <w:snapToGrid w:val="0"/>
        <w:spacing w:line="560" w:lineRule="exact"/>
        <w:ind w:firstLine="562" w:firstLineChars="201"/>
        <w:rPr>
          <w:rFonts w:ascii="仿宋_GB2312" w:hAnsi="宋体"/>
          <w:color w:val="auto"/>
          <w:szCs w:val="28"/>
        </w:rPr>
      </w:pPr>
      <w:r>
        <w:rPr>
          <w:rFonts w:ascii="Cambria Math" w:hAnsi="Cambria Math" w:cs="Cambria Math"/>
          <w:color w:val="auto"/>
          <w:szCs w:val="28"/>
        </w:rPr>
        <w:t>⑪</w:t>
      </w:r>
      <w:r>
        <w:rPr>
          <w:rFonts w:hint="eastAsia" w:ascii="仿宋_GB2312" w:hAnsi="仿宋_GB2312" w:cs="仿宋_GB2312"/>
          <w:color w:val="auto"/>
          <w:szCs w:val="28"/>
        </w:rPr>
        <w:t>报价供应商认为需要提供的资质资格证明文件。</w:t>
      </w:r>
    </w:p>
    <w:p w14:paraId="56EC4006">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以上所有资质资格证明文件均需加盖供应商签章。</w:t>
      </w:r>
    </w:p>
    <w:p w14:paraId="3CA3E55A">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（6）商务文件</w:t>
      </w:r>
    </w:p>
    <w:p w14:paraId="087686DB">
      <w:pPr>
        <w:snapToGrid w:val="0"/>
        <w:spacing w:line="560" w:lineRule="exact"/>
        <w:ind w:firstLine="565" w:firstLineChars="202"/>
        <w:rPr>
          <w:rFonts w:ascii="仿宋_GB2312" w:hAnsi="宋体" w:cs="Times New Roman"/>
          <w:szCs w:val="28"/>
        </w:rPr>
      </w:pPr>
      <w:r>
        <w:rPr>
          <w:rFonts w:hint="eastAsia" w:ascii="仿宋_GB2312" w:hAnsi="宋体" w:cs="Times New Roman"/>
          <w:szCs w:val="28"/>
        </w:rPr>
        <w:t>①</w:t>
      </w:r>
      <w:r>
        <w:rPr>
          <w:rFonts w:ascii="仿宋_GB2312" w:hAnsi="宋体" w:cs="Times New Roman"/>
          <w:szCs w:val="28"/>
        </w:rPr>
        <w:t>报价编制说明</w:t>
      </w:r>
      <w:r>
        <w:rPr>
          <w:rFonts w:hint="eastAsia" w:ascii="仿宋_GB2312" w:hAnsi="宋体" w:cs="Times New Roman"/>
          <w:szCs w:val="28"/>
        </w:rPr>
        <w:t>；</w:t>
      </w:r>
    </w:p>
    <w:p w14:paraId="46202912">
      <w:pPr>
        <w:snapToGrid w:val="0"/>
        <w:spacing w:line="560" w:lineRule="exact"/>
        <w:ind w:firstLine="565" w:firstLineChars="202"/>
        <w:rPr>
          <w:rFonts w:ascii="仿宋_GB2312" w:hAnsi="宋体" w:cs="Times New Roman"/>
          <w:szCs w:val="28"/>
        </w:rPr>
      </w:pPr>
      <w:r>
        <w:rPr>
          <w:rFonts w:hint="eastAsia" w:ascii="仿宋_GB2312" w:hAnsi="宋体" w:cs="Times New Roman"/>
          <w:szCs w:val="28"/>
        </w:rPr>
        <w:t>②工程量</w:t>
      </w:r>
      <w:r>
        <w:rPr>
          <w:rFonts w:ascii="仿宋_GB2312" w:hAnsi="宋体" w:cs="Times New Roman"/>
          <w:szCs w:val="28"/>
        </w:rPr>
        <w:t>清单</w:t>
      </w:r>
      <w:r>
        <w:rPr>
          <w:rFonts w:hint="eastAsia" w:ascii="仿宋_GB2312" w:hAnsi="宋体" w:cs="Times New Roman"/>
          <w:szCs w:val="28"/>
        </w:rPr>
        <w:t>；</w:t>
      </w:r>
    </w:p>
    <w:p w14:paraId="5AD46324">
      <w:pPr>
        <w:snapToGrid w:val="0"/>
        <w:spacing w:line="560" w:lineRule="exact"/>
        <w:ind w:firstLine="565" w:firstLineChars="202"/>
        <w:rPr>
          <w:rFonts w:ascii="仿宋_GB2312" w:hAnsi="宋体" w:cs="Times New Roman"/>
          <w:szCs w:val="28"/>
        </w:rPr>
      </w:pPr>
      <w:r>
        <w:rPr>
          <w:rFonts w:ascii="仿宋_GB2312" w:hAnsi="宋体" w:cs="Times New Roman"/>
          <w:szCs w:val="28"/>
        </w:rPr>
        <w:t>③供应商基本情况；</w:t>
      </w:r>
    </w:p>
    <w:p w14:paraId="20EC407C">
      <w:pPr>
        <w:snapToGrid w:val="0"/>
        <w:spacing w:line="560" w:lineRule="exact"/>
        <w:ind w:firstLine="565" w:firstLineChars="202"/>
        <w:rPr>
          <w:rFonts w:ascii="仿宋_GB2312" w:hAnsi="宋体" w:cs="Times New Roman"/>
          <w:szCs w:val="28"/>
        </w:rPr>
      </w:pPr>
      <w:r>
        <w:rPr>
          <w:rFonts w:ascii="仿宋_GB2312" w:hAnsi="宋体" w:cs="Times New Roman"/>
          <w:szCs w:val="28"/>
        </w:rPr>
        <w:t>④</w:t>
      </w:r>
      <w:r>
        <w:rPr>
          <w:rFonts w:hint="eastAsia" w:ascii="仿宋_GB2312" w:hAnsi="宋体" w:cs="Times New Roman"/>
          <w:szCs w:val="28"/>
        </w:rPr>
        <w:t>供应商实力</w:t>
      </w:r>
      <w:r>
        <w:rPr>
          <w:rFonts w:ascii="仿宋_GB2312" w:hAnsi="宋体" w:cs="Times New Roman"/>
          <w:szCs w:val="28"/>
        </w:rPr>
        <w:t>；</w:t>
      </w:r>
    </w:p>
    <w:p w14:paraId="227297CF">
      <w:pPr>
        <w:snapToGrid w:val="0"/>
        <w:spacing w:line="560" w:lineRule="exact"/>
        <w:ind w:firstLine="565" w:firstLineChars="202"/>
        <w:rPr>
          <w:rFonts w:ascii="仿宋_GB2312" w:hAnsi="宋体" w:cs="Times New Roman"/>
          <w:szCs w:val="28"/>
        </w:rPr>
      </w:pPr>
      <w:r>
        <w:rPr>
          <w:rFonts w:ascii="仿宋_GB2312" w:hAnsi="宋体" w:cs="Times New Roman"/>
          <w:szCs w:val="28"/>
        </w:rPr>
        <w:t>⑤</w:t>
      </w:r>
      <w:r>
        <w:rPr>
          <w:rFonts w:hint="eastAsia" w:ascii="仿宋_GB2312" w:hAnsi="宋体" w:cs="Times New Roman"/>
          <w:szCs w:val="28"/>
        </w:rPr>
        <w:t>项目经理及关键岗位人员配备情况;</w:t>
      </w:r>
    </w:p>
    <w:p w14:paraId="2136B3F9">
      <w:pPr>
        <w:snapToGrid w:val="0"/>
        <w:spacing w:line="560" w:lineRule="exact"/>
        <w:ind w:firstLine="565" w:firstLineChars="202"/>
        <w:rPr>
          <w:rFonts w:ascii="仿宋_GB2312" w:hAnsi="宋体" w:cs="Times New Roman"/>
          <w:szCs w:val="28"/>
        </w:rPr>
      </w:pPr>
      <w:r>
        <w:rPr>
          <w:rFonts w:ascii="仿宋_GB2312" w:hAnsi="宋体" w:cs="Times New Roman"/>
          <w:szCs w:val="28"/>
        </w:rPr>
        <w:t>⑥拟投入本工程的主要设备；</w:t>
      </w:r>
    </w:p>
    <w:p w14:paraId="4AA30DC8">
      <w:pPr>
        <w:snapToGrid w:val="0"/>
        <w:spacing w:line="560" w:lineRule="exact"/>
        <w:ind w:firstLine="565" w:firstLineChars="202"/>
        <w:rPr>
          <w:rFonts w:ascii="仿宋_GB2312" w:hAnsi="宋体" w:cs="Times New Roman"/>
          <w:szCs w:val="28"/>
        </w:rPr>
      </w:pPr>
      <w:r>
        <w:rPr>
          <w:rFonts w:ascii="仿宋_GB2312" w:hAnsi="宋体" w:cs="Times New Roman"/>
          <w:szCs w:val="28"/>
        </w:rPr>
        <w:t>⑦同类项目业绩；</w:t>
      </w:r>
    </w:p>
    <w:p w14:paraId="6C547F94">
      <w:pPr>
        <w:snapToGrid w:val="0"/>
        <w:spacing w:line="560" w:lineRule="exact"/>
        <w:ind w:firstLine="565" w:firstLineChars="202"/>
        <w:rPr>
          <w:rFonts w:ascii="仿宋_GB2312" w:hAnsi="宋体" w:cs="Times New Roman"/>
          <w:szCs w:val="28"/>
        </w:rPr>
      </w:pPr>
      <w:r>
        <w:rPr>
          <w:rFonts w:hint="eastAsia" w:ascii="仿宋_GB2312" w:hAnsi="宋体" w:cs="Times New Roman"/>
          <w:szCs w:val="28"/>
        </w:rPr>
        <w:t>⑧关于质量、工期、服务等方面的承诺及合理化建议；</w:t>
      </w:r>
    </w:p>
    <w:p w14:paraId="00AF4D60">
      <w:pPr>
        <w:snapToGrid w:val="0"/>
        <w:spacing w:line="560" w:lineRule="exact"/>
        <w:ind w:firstLine="565" w:firstLineChars="202"/>
        <w:rPr>
          <w:rFonts w:ascii="宋体" w:hAnsi="宋体" w:cs="宋体"/>
          <w:kern w:val="0"/>
          <w:sz w:val="24"/>
        </w:rPr>
      </w:pPr>
      <w:r>
        <w:rPr>
          <w:rFonts w:hint="eastAsia" w:ascii="仿宋_GB2312" w:hAnsi="宋体" w:cs="Times New Roman"/>
          <w:szCs w:val="28"/>
        </w:rPr>
        <w:t>⑨符合政府采购优惠政策的证明材料（申报格式见本文件第五章）：</w:t>
      </w:r>
    </w:p>
    <w:p w14:paraId="4654179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A所报产品属于政府采购节能、环保优先采购的产品,按照《关于调整优化节能产品、环境标志产品政府采购执行机制的通知》（财库〔2019〕9号）的规定执行：</w:t>
      </w:r>
    </w:p>
    <w:p w14:paraId="23A3255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a.《节能产品政府采购品目清单》</w:t>
      </w:r>
    </w:p>
    <w:p w14:paraId="124E8B2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b.《环境标志产品政府采购品目清单》或者符合政府采购“优先采购”政策的其他证明文件</w:t>
      </w:r>
    </w:p>
    <w:p w14:paraId="2094FD9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说明：（1）以上的货物需为本项目的采购标的；</w:t>
      </w:r>
    </w:p>
    <w:p w14:paraId="2EA5BE81">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2）《节能产品政府采购品目清单》中标注★的台式计算机、便携式计算机、平板式微型计算机、激光打印机、针式打印机、液晶显示器、制冷压缩机、空调机组、专用制冷、空调设备、镇流器、空调机、电热水器、普通照明用双端荧光灯、电视设备、视频设备、便器、水嘴为政府强制采购节能品目。供应商所报产品为以上品目的,必须在供货时向采购人提供国家确定的认证机构出具的、处于有效期之内的节能产品认证证书。</w:t>
      </w:r>
    </w:p>
    <w:p w14:paraId="4C2163C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B货物制造商（工程、服务供应商）为中小企业的，须提供《中小企业声明函》。（格式见本文件第五章）</w:t>
      </w:r>
    </w:p>
    <w:p w14:paraId="64A596B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C供应商为监狱企业的，须提供省级以上监狱管理局、戒毒管理局（含新疆生产建设兵团）出具的属于监狱企业的证明文件。</w:t>
      </w:r>
    </w:p>
    <w:p w14:paraId="52B64E1E">
      <w:pPr>
        <w:snapToGrid w:val="0"/>
        <w:spacing w:line="560" w:lineRule="exact"/>
        <w:ind w:firstLine="562" w:firstLineChars="201"/>
        <w:rPr>
          <w:rFonts w:ascii="仿宋_GB2312" w:hAnsi="宋体"/>
          <w:b/>
          <w:color w:val="auto"/>
          <w:szCs w:val="28"/>
        </w:rPr>
      </w:pPr>
      <w:r>
        <w:rPr>
          <w:rFonts w:hint="eastAsia" w:ascii="仿宋_GB2312" w:hAnsi="宋体"/>
          <w:color w:val="auto"/>
          <w:szCs w:val="28"/>
        </w:rPr>
        <w:t>D供应商为残疾人福利性单位的，须提供《残疾人福利性单位声明函》。（格式见</w:t>
      </w:r>
      <w:r>
        <w:rPr>
          <w:rFonts w:hint="eastAsia" w:ascii="仿宋_GB2312" w:hAnsi="仿宋" w:cs="宋体"/>
          <w:color w:val="auto"/>
          <w:szCs w:val="28"/>
        </w:rPr>
        <w:t>本文件第五章</w:t>
      </w:r>
      <w:r>
        <w:rPr>
          <w:rFonts w:hint="eastAsia" w:ascii="仿宋_GB2312" w:hAnsi="宋体"/>
          <w:color w:val="auto"/>
          <w:szCs w:val="28"/>
        </w:rPr>
        <w:t>）</w:t>
      </w:r>
    </w:p>
    <w:p w14:paraId="2D94AD5B">
      <w:pPr>
        <w:snapToGrid w:val="0"/>
        <w:spacing w:line="560" w:lineRule="exact"/>
        <w:ind w:firstLine="562" w:firstLineChars="201"/>
        <w:rPr>
          <w:rFonts w:ascii="仿宋_GB2312" w:hAnsi="宋体"/>
          <w:color w:val="auto"/>
          <w:szCs w:val="28"/>
        </w:rPr>
      </w:pPr>
      <w:r>
        <w:rPr>
          <w:rFonts w:hint="eastAsia" w:ascii="仿宋_GB2312" w:hAnsi="宋体"/>
          <w:color w:val="auto"/>
          <w:szCs w:val="28"/>
        </w:rPr>
        <w:t>⑨要求采购人提供的配合；</w:t>
      </w:r>
    </w:p>
    <w:p w14:paraId="2B5DEDC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⑩供应商认为需要提供的其他资料（如投标人在开标前48小时内登录山东省水利建设市场监管服务平台，打印本次投标信用档案等）。</w:t>
      </w:r>
    </w:p>
    <w:p w14:paraId="0EE91892">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w:t>
      </w:r>
      <w:r>
        <w:rPr>
          <w:rFonts w:hint="eastAsia" w:ascii="仿宋_GB2312" w:hAnsi="宋体"/>
          <w:color w:val="auto"/>
          <w:szCs w:val="28"/>
          <w:lang w:val="en-US" w:eastAsia="zh-CN"/>
        </w:rPr>
        <w:t>6</w:t>
      </w:r>
      <w:r>
        <w:rPr>
          <w:rFonts w:hint="eastAsia" w:ascii="仿宋_GB2312" w:hAnsi="宋体"/>
          <w:color w:val="auto"/>
          <w:szCs w:val="28"/>
        </w:rPr>
        <w:t>）技术文件，包括但不限于以下内容：</w:t>
      </w:r>
    </w:p>
    <w:p w14:paraId="031FA7F6">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①施工总平面图布置设计合理</w:t>
      </w:r>
    </w:p>
    <w:p w14:paraId="707B3C24">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②施工方案和技术措施合理，对关键工序有针对性等</w:t>
      </w:r>
    </w:p>
    <w:p w14:paraId="42BF1EA0">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③针对本工程的通病治理措施</w:t>
      </w:r>
    </w:p>
    <w:p w14:paraId="3906C01C">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④安全文明措施和应急救援预案</w:t>
      </w:r>
    </w:p>
    <w:p w14:paraId="5304BFCC">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⑤环境、地下管网、地上设施保护，冬季、雨季施工方案</w:t>
      </w:r>
    </w:p>
    <w:p w14:paraId="783ED5D7">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⑥绿色建筑、新技术、新产品、新工艺、新材料应用</w:t>
      </w:r>
    </w:p>
    <w:p w14:paraId="1D9E860E">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⑦施工进度计划和进度措施</w:t>
      </w:r>
    </w:p>
    <w:p w14:paraId="65897EC1">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⑧资源配备计划</w:t>
      </w:r>
    </w:p>
    <w:p w14:paraId="66D0B0BD">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⑨项目管理机构人员配备齐全合理</w:t>
      </w:r>
    </w:p>
    <w:p w14:paraId="6F1941D0">
      <w:pPr>
        <w:snapToGrid w:val="0"/>
        <w:spacing w:line="560" w:lineRule="exact"/>
        <w:ind w:firstLine="565" w:firstLineChars="202"/>
        <w:rPr>
          <w:rFonts w:hint="eastAsia" w:ascii="仿宋_GB2312" w:hAnsi="宋体"/>
          <w:color w:val="auto"/>
          <w:szCs w:val="28"/>
        </w:rPr>
      </w:pPr>
      <w:r>
        <w:rPr>
          <w:rFonts w:hint="eastAsia" w:ascii="仿宋_GB2312" w:hAnsi="宋体"/>
          <w:color w:val="auto"/>
          <w:szCs w:val="28"/>
        </w:rPr>
        <w:t>⑩成品保护、工程保修制度</w:t>
      </w:r>
    </w:p>
    <w:p w14:paraId="05910B7B">
      <w:pPr>
        <w:snapToGrid w:val="0"/>
        <w:spacing w:line="560" w:lineRule="exact"/>
        <w:ind w:firstLine="565" w:firstLineChars="202"/>
        <w:rPr>
          <w:rFonts w:ascii="仿宋_GB2312" w:hAnsi="宋体"/>
          <w:color w:val="auto"/>
          <w:szCs w:val="28"/>
          <w:lang w:bidi="zh-CN"/>
        </w:rPr>
      </w:pPr>
      <w:r>
        <w:rPr>
          <w:rFonts w:hint="eastAsia" w:ascii="仿宋_GB2312" w:hAnsi="宋体"/>
          <w:color w:val="auto"/>
          <w:szCs w:val="28"/>
        </w:rPr>
        <w:t>（</w:t>
      </w:r>
      <w:r>
        <w:rPr>
          <w:rFonts w:hint="eastAsia" w:ascii="仿宋_GB2312" w:hAnsi="宋体"/>
          <w:color w:val="auto"/>
          <w:szCs w:val="28"/>
          <w:lang w:val="en-US" w:eastAsia="zh-CN"/>
        </w:rPr>
        <w:t>7</w:t>
      </w:r>
      <w:r>
        <w:rPr>
          <w:rFonts w:hint="eastAsia" w:ascii="仿宋_GB2312" w:hAnsi="宋体"/>
          <w:color w:val="auto"/>
          <w:szCs w:val="28"/>
        </w:rPr>
        <w:t>）</w:t>
      </w:r>
      <w:r>
        <w:rPr>
          <w:rFonts w:hint="eastAsia" w:ascii="仿宋_GB2312" w:hAnsi="仿宋"/>
          <w:color w:val="auto"/>
          <w:szCs w:val="28"/>
        </w:rPr>
        <w:t>供应商认为需要说明的及竞争性磋商文件要求的其他内容。</w:t>
      </w:r>
    </w:p>
    <w:p w14:paraId="15B75D0E">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供应商提交的政府采购优惠政策的证明材料、工程量清单、业绩表材料在成交公告一并予以公示。</w:t>
      </w:r>
    </w:p>
    <w:p w14:paraId="55FE6AA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11.2</w:t>
      </w:r>
      <w:r>
        <w:rPr>
          <w:rFonts w:hint="eastAsia" w:ascii="仿宋_GB2312" w:hAnsi="仿宋" w:cs="宋体"/>
          <w:color w:val="auto"/>
          <w:szCs w:val="28"/>
        </w:rPr>
        <w:t>数据文件（PDF格式）（第二册）</w:t>
      </w:r>
    </w:p>
    <w:p w14:paraId="6494CF9D">
      <w:pPr>
        <w:snapToGrid w:val="0"/>
        <w:spacing w:line="560" w:lineRule="exact"/>
        <w:ind w:firstLine="562" w:firstLineChars="201"/>
        <w:rPr>
          <w:rFonts w:ascii="仿宋_GB2312" w:hAnsi="宋体"/>
          <w:color w:val="auto"/>
          <w:szCs w:val="28"/>
        </w:rPr>
      </w:pPr>
      <w:r>
        <w:rPr>
          <w:rFonts w:hint="eastAsia" w:ascii="仿宋_GB2312" w:hAnsi="仿宋" w:cs="宋体"/>
          <w:color w:val="auto"/>
          <w:szCs w:val="28"/>
        </w:rPr>
        <w:t>供应商须从本项目采购文件压缩包内获取对应包段的数据文件（EXCEL格式），并严格按照要求填写。填写完成后在威海市政府采购电子交易系统中上传该数据文件（EXCEL格式），系统将自动转换为PDF格式，再加盖供应商电子印章，未按要求填写或盖章为</w:t>
      </w:r>
      <w:r>
        <w:rPr>
          <w:rFonts w:hint="eastAsia" w:ascii="仿宋_GB2312" w:hAnsi="仿宋" w:cs="宋体"/>
          <w:b/>
          <w:color w:val="auto"/>
          <w:szCs w:val="28"/>
        </w:rPr>
        <w:t>无效投标（响应）</w:t>
      </w:r>
      <w:r>
        <w:rPr>
          <w:rFonts w:hint="eastAsia" w:ascii="仿宋_GB2312" w:hAnsi="仿宋" w:cs="宋体"/>
          <w:color w:val="auto"/>
          <w:szCs w:val="28"/>
        </w:rPr>
        <w:t>。</w:t>
      </w:r>
      <w:r>
        <w:rPr>
          <w:rFonts w:hint="eastAsia" w:ascii="仿宋_GB2312" w:hAnsi="宋体"/>
          <w:color w:val="auto"/>
          <w:szCs w:val="28"/>
        </w:rPr>
        <w:t>数据文件（PDF格式）包含下列内容：</w:t>
      </w:r>
    </w:p>
    <w:p w14:paraId="5FEC7DA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（1）封面</w:t>
      </w:r>
    </w:p>
    <w:p w14:paraId="465BDF8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（2）投标报价表（含明细）</w:t>
      </w:r>
    </w:p>
    <w:p w14:paraId="397F9AF9">
      <w:pPr>
        <w:snapToGrid w:val="0"/>
        <w:spacing w:line="560" w:lineRule="exact"/>
        <w:ind w:firstLine="562" w:firstLineChars="201"/>
        <w:rPr>
          <w:rFonts w:ascii="仿宋_GB2312"/>
          <w:color w:val="auto"/>
          <w:szCs w:val="28"/>
        </w:rPr>
      </w:pPr>
      <w:r>
        <w:rPr>
          <w:rFonts w:hint="eastAsia" w:ascii="仿宋_GB2312"/>
          <w:color w:val="auto"/>
          <w:szCs w:val="28"/>
        </w:rPr>
        <w:t>注：中标（成交）公告将对中标人（供应商）提交的数据文件中的报价明细表（有二次报价的项目须公示中标人（供应商）按照最终报价重新制作的报价明细表，分项报价项目须与投标（响应）文件保持一致，但分项报价价格应逐项重新调整或整体等比例下调）、需求响应表一并予以公示。</w:t>
      </w:r>
    </w:p>
    <w:p w14:paraId="163893AC">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12.报价</w:t>
      </w:r>
    </w:p>
    <w:p w14:paraId="76EEC06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12.1供应商均以人民币报价，精确到小数点后两位。</w:t>
      </w:r>
    </w:p>
    <w:p w14:paraId="543C6ED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12.2供应商应按照“第三章 采购内容与要求”或磋商小组最终确定的内容、责任范围以及合同条款进行报价。并按数据文件中“投标报价表（含明细）”规定的格式报出分项价格和总价。总价中不得包含竞争性磋商文件要求以外的内容，否则，在评审时不予核减。</w:t>
      </w:r>
    </w:p>
    <w:p w14:paraId="1354A34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12.3供应商应按数据文件中“投标报价表”要求的统一格式填写，并加盖电子公章。</w:t>
      </w:r>
    </w:p>
    <w:p w14:paraId="388DF0E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12.4《投标报价表（含明细）》填写时应响应下列要求：</w:t>
      </w:r>
    </w:p>
    <w:p w14:paraId="37E45999">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（1）供应商须严格按照投标报价表（含明细）说明进行填写，报价明细表投标报价表（含明细）中“*”是必填项，任何必填项为空时都可能导致本次投标无效。</w:t>
      </w:r>
    </w:p>
    <w:p w14:paraId="33BB6A5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（2）供应商应对本次磋商的全部内容进行报价，缺项报价响应无效。如因供应商自身的原因报价失误而造成的损失，由供应商自行承担。</w:t>
      </w:r>
    </w:p>
    <w:p w14:paraId="2A45559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w:t>
      </w:r>
      <w:r>
        <w:rPr>
          <w:rFonts w:hint="eastAsia" w:ascii="仿宋_GB2312" w:hAnsi="仿宋" w:cs="宋体"/>
          <w:color w:val="auto"/>
          <w:szCs w:val="28"/>
        </w:rPr>
        <w:t>《投标报价表</w:t>
      </w:r>
      <w:r>
        <w:rPr>
          <w:rFonts w:hint="eastAsia" w:ascii="仿宋_GB2312" w:hAnsi="宋体"/>
          <w:color w:val="auto"/>
          <w:szCs w:val="28"/>
        </w:rPr>
        <w:t>（含明细）</w:t>
      </w:r>
      <w:r>
        <w:rPr>
          <w:rFonts w:hint="eastAsia" w:ascii="仿宋_GB2312" w:hAnsi="仿宋" w:cs="宋体"/>
          <w:color w:val="auto"/>
          <w:szCs w:val="28"/>
        </w:rPr>
        <w:t>》</w:t>
      </w:r>
      <w:r>
        <w:rPr>
          <w:rFonts w:hint="eastAsia" w:ascii="仿宋_GB2312" w:hAnsi="宋体"/>
          <w:color w:val="auto"/>
          <w:szCs w:val="28"/>
        </w:rPr>
        <w:t>中合价将由单价*数量自动计算，无需手工录入。</w:t>
      </w:r>
    </w:p>
    <w:p w14:paraId="710FF986">
      <w:pPr>
        <w:spacing w:line="560" w:lineRule="exact"/>
        <w:ind w:firstLine="565" w:firstLineChars="201"/>
        <w:rPr>
          <w:rFonts w:ascii="仿宋_GB2312" w:hAnsi="仿宋" w:cs="宋体"/>
          <w:color w:val="auto"/>
          <w:szCs w:val="28"/>
        </w:rPr>
      </w:pPr>
      <w:r>
        <w:rPr>
          <w:rFonts w:hint="eastAsia" w:ascii="仿宋_GB2312" w:hAnsi="仿宋" w:cs="宋体"/>
          <w:b/>
          <w:color w:val="auto"/>
          <w:szCs w:val="28"/>
        </w:rPr>
        <w:t>（4）本次采购项目质保期见</w:t>
      </w:r>
      <w:r>
        <w:rPr>
          <w:rFonts w:hint="eastAsia" w:ascii="仿宋_GB2312" w:hAnsi="仿宋" w:cs="宋体"/>
          <w:b/>
          <w:color w:val="auto"/>
          <w:szCs w:val="28"/>
          <w:u w:val="single"/>
        </w:rPr>
        <w:t>响应须知前附表</w:t>
      </w:r>
      <w:r>
        <w:rPr>
          <w:rFonts w:hint="eastAsia" w:ascii="仿宋_GB2312" w:hAnsi="仿宋" w:cs="宋体"/>
          <w:b/>
          <w:color w:val="auto"/>
          <w:szCs w:val="28"/>
        </w:rPr>
        <w:t>或第3章。</w:t>
      </w:r>
    </w:p>
    <w:p w14:paraId="191E886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w:t>
      </w:r>
      <w:r>
        <w:rPr>
          <w:rFonts w:ascii="仿宋_GB2312" w:hAnsi="宋体"/>
          <w:color w:val="auto"/>
          <w:szCs w:val="28"/>
        </w:rPr>
        <w:t>供应商参照竞争性磋商文件，结合企业自身情况和市场价格进行报价。</w:t>
      </w:r>
      <w:r>
        <w:rPr>
          <w:rFonts w:ascii="仿宋_GB2312" w:hAnsi="宋体"/>
          <w:b/>
          <w:color w:val="auto"/>
          <w:szCs w:val="28"/>
        </w:rPr>
        <w:t>本项目采用固定</w:t>
      </w:r>
      <w:r>
        <w:rPr>
          <w:rFonts w:hint="eastAsia" w:ascii="仿宋_GB2312" w:hAnsi="宋体"/>
          <w:b/>
          <w:color w:val="auto"/>
          <w:szCs w:val="28"/>
        </w:rPr>
        <w:t>单</w:t>
      </w:r>
      <w:r>
        <w:rPr>
          <w:rFonts w:ascii="仿宋_GB2312" w:hAnsi="宋体"/>
          <w:b/>
          <w:color w:val="auto"/>
          <w:szCs w:val="28"/>
        </w:rPr>
        <w:t>价合同。包括设备设施费、安装调试费、人工费、材料费、机械费、管理费、临时设施、施工现场安全文明措施费用、利润、</w:t>
      </w:r>
      <w:r>
        <w:rPr>
          <w:rFonts w:ascii="仿宋_GB2312" w:hAnsi="宋体"/>
          <w:color w:val="auto"/>
          <w:szCs w:val="28"/>
        </w:rPr>
        <w:t>规费、税金、各种措施费、建筑垃圾清运费、所有各项试验检测费（包括但不限于消防、环保、质量与安全等要求工程项目应有的费用）、需与相关单位配合发生的水电费、垂直运输费、二次搬运、竣工清理等各种费用、办理各种必要手续的费用、政策性文件规定及合同包含的所有风险、责任、咨询费、税费等完成本项目的所有费用。</w:t>
      </w:r>
      <w:r>
        <w:rPr>
          <w:rFonts w:hint="eastAsia" w:ascii="仿宋_GB2312" w:hAnsi="宋体"/>
          <w:color w:val="auto"/>
          <w:szCs w:val="28"/>
        </w:rPr>
        <w:t>所有根据合同或其它原因应由供应商支付的税款和其它应交纳的费用都要包括在供应商提交的报价中；</w:t>
      </w:r>
    </w:p>
    <w:p w14:paraId="770D99C0">
      <w:pPr>
        <w:snapToGrid w:val="0"/>
        <w:spacing w:line="560" w:lineRule="exact"/>
        <w:ind w:firstLine="562" w:firstLineChars="201"/>
        <w:rPr>
          <w:rFonts w:ascii="仿宋_GB2312" w:hAnsi="宋体"/>
          <w:color w:val="auto"/>
          <w:szCs w:val="28"/>
        </w:rPr>
      </w:pPr>
      <w:r>
        <w:rPr>
          <w:rFonts w:ascii="仿宋_GB2312" w:hAnsi="宋体"/>
          <w:color w:val="auto"/>
          <w:szCs w:val="28"/>
        </w:rPr>
        <w:t>（</w:t>
      </w:r>
      <w:r>
        <w:rPr>
          <w:rFonts w:hint="eastAsia" w:ascii="仿宋_GB2312" w:hAnsi="宋体"/>
          <w:color w:val="auto"/>
          <w:szCs w:val="28"/>
        </w:rPr>
        <w:t>6</w:t>
      </w:r>
      <w:r>
        <w:rPr>
          <w:rFonts w:ascii="仿宋_GB2312" w:hAnsi="宋体"/>
          <w:color w:val="auto"/>
          <w:szCs w:val="28"/>
        </w:rPr>
        <w:t>）主要材料价格的合理性对形成准确报价至关重要，供应商必须在充分市场调研的基础上，确定合理的材料价格，否则，影响成交；成交后，如因采购人要求须更换的材料设备，采购人不予调整价差。</w:t>
      </w:r>
    </w:p>
    <w:p w14:paraId="42E3BFF5">
      <w:pPr>
        <w:snapToGrid w:val="0"/>
        <w:spacing w:line="560" w:lineRule="exact"/>
        <w:ind w:firstLine="562" w:firstLineChars="201"/>
        <w:rPr>
          <w:rFonts w:ascii="仿宋_GB2312" w:hAnsi="宋体"/>
          <w:color w:val="auto"/>
          <w:szCs w:val="28"/>
        </w:rPr>
      </w:pPr>
      <w:r>
        <w:rPr>
          <w:rFonts w:ascii="仿宋_GB2312" w:hAnsi="宋体"/>
          <w:color w:val="auto"/>
          <w:szCs w:val="28"/>
        </w:rPr>
        <w:t>（</w:t>
      </w:r>
      <w:r>
        <w:rPr>
          <w:rFonts w:hint="eastAsia" w:ascii="仿宋_GB2312" w:hAnsi="宋体"/>
          <w:color w:val="auto"/>
          <w:szCs w:val="28"/>
        </w:rPr>
        <w:t>7</w:t>
      </w:r>
      <w:r>
        <w:rPr>
          <w:rFonts w:ascii="仿宋_GB2312" w:hAnsi="宋体"/>
          <w:color w:val="auto"/>
          <w:szCs w:val="28"/>
        </w:rPr>
        <w:t>）供应商应充分考虑项目特点及前期项目情况、认真理解采购需求，结合本企业自身优势，为项目的顺利实施提供相应设施保障，最终的交付内容必须满足采购人使用要求，并作出最大承诺。报价时应充分考虑竞争性磋商文件、合同中所明示或暗示的一切费用与价格，最终报价为供应商的响应文件中提出的各项支付金额的总和。</w:t>
      </w:r>
    </w:p>
    <w:p w14:paraId="466AD2F7">
      <w:pPr>
        <w:snapToGrid w:val="0"/>
        <w:spacing w:line="560" w:lineRule="exact"/>
        <w:ind w:firstLine="562" w:firstLineChars="201"/>
        <w:rPr>
          <w:rFonts w:ascii="仿宋_GB2312" w:hAnsi="宋体"/>
          <w:color w:val="auto"/>
          <w:szCs w:val="28"/>
        </w:rPr>
      </w:pPr>
      <w:r>
        <w:rPr>
          <w:rFonts w:ascii="仿宋_GB2312" w:hAnsi="宋体"/>
          <w:color w:val="auto"/>
          <w:szCs w:val="28"/>
        </w:rPr>
        <w:t>（</w:t>
      </w:r>
      <w:r>
        <w:rPr>
          <w:rFonts w:hint="eastAsia" w:ascii="仿宋_GB2312" w:hAnsi="宋体"/>
          <w:color w:val="auto"/>
          <w:szCs w:val="28"/>
        </w:rPr>
        <w:t>8</w:t>
      </w:r>
      <w:r>
        <w:rPr>
          <w:rFonts w:ascii="仿宋_GB2312" w:hAnsi="宋体"/>
          <w:color w:val="auto"/>
          <w:szCs w:val="28"/>
        </w:rPr>
        <w:t>）供应商所报价格在合同实施期间不因市场变化因素而变动，工程延期，致使服务期延长，本竞争性磋商范围内的费用不再调整。供应商应在响应文件中列明各项费用的支出，未列出的视为对采购人的优惠，供应商不得因此而要求采购人增加其他费用。</w:t>
      </w:r>
    </w:p>
    <w:p w14:paraId="352839EA">
      <w:pPr>
        <w:snapToGrid w:val="0"/>
        <w:spacing w:line="560" w:lineRule="exact"/>
        <w:ind w:firstLine="562" w:firstLineChars="201"/>
        <w:rPr>
          <w:rFonts w:ascii="仿宋_GB2312" w:hAnsi="宋体"/>
          <w:color w:val="auto"/>
          <w:szCs w:val="28"/>
        </w:rPr>
      </w:pPr>
      <w:r>
        <w:rPr>
          <w:rFonts w:ascii="仿宋_GB2312" w:hAnsi="宋体"/>
          <w:color w:val="auto"/>
          <w:szCs w:val="28"/>
        </w:rPr>
        <w:t>（</w:t>
      </w:r>
      <w:r>
        <w:rPr>
          <w:rFonts w:hint="eastAsia" w:ascii="仿宋_GB2312" w:hAnsi="宋体"/>
          <w:color w:val="auto"/>
          <w:szCs w:val="28"/>
        </w:rPr>
        <w:t>9</w:t>
      </w:r>
      <w:r>
        <w:rPr>
          <w:rFonts w:ascii="仿宋_GB2312" w:hAnsi="宋体"/>
          <w:color w:val="auto"/>
          <w:szCs w:val="28"/>
        </w:rPr>
        <w:t>）供应商应先充分了解项目情况及任何其它足以影响报价的情况，任何因忽视或误解现场情况而导致的索赔或工期延长申请将不获批准。</w:t>
      </w:r>
    </w:p>
    <w:p w14:paraId="7F27850C">
      <w:pPr>
        <w:snapToGrid w:val="0"/>
        <w:spacing w:line="560" w:lineRule="exact"/>
        <w:ind w:firstLine="562" w:firstLineChars="201"/>
        <w:rPr>
          <w:rFonts w:ascii="仿宋_GB2312" w:hAnsi="宋体"/>
          <w:color w:val="auto"/>
          <w:szCs w:val="28"/>
        </w:rPr>
      </w:pPr>
      <w:r>
        <w:rPr>
          <w:rFonts w:ascii="仿宋_GB2312" w:hAnsi="宋体"/>
          <w:color w:val="auto"/>
          <w:szCs w:val="28"/>
        </w:rPr>
        <w:t>（</w:t>
      </w:r>
      <w:r>
        <w:rPr>
          <w:rFonts w:hint="eastAsia" w:ascii="仿宋_GB2312" w:hAnsi="宋体"/>
          <w:color w:val="auto"/>
          <w:szCs w:val="28"/>
        </w:rPr>
        <w:t>10</w:t>
      </w:r>
      <w:r>
        <w:rPr>
          <w:rFonts w:ascii="仿宋_GB2312" w:hAnsi="宋体"/>
          <w:color w:val="auto"/>
          <w:szCs w:val="28"/>
        </w:rPr>
        <w:t>）享受政府采购优惠政策的，须对每个产品申报，申报小微企业、残疾人企业、监狱企业优惠政策的项目（只享受一种），需按采购文件要求在响应文件中申报并提交证明文件（格式见附件）。</w:t>
      </w:r>
    </w:p>
    <w:p w14:paraId="2C68D9C7">
      <w:pPr>
        <w:spacing w:line="560" w:lineRule="exact"/>
        <w:ind w:firstLine="565" w:firstLineChars="201"/>
        <w:rPr>
          <w:rFonts w:ascii="仿宋_GB2312" w:hAnsi="仿宋" w:cs="宋体"/>
          <w:b/>
          <w:color w:val="auto"/>
          <w:szCs w:val="28"/>
        </w:rPr>
      </w:pPr>
      <w:r>
        <w:rPr>
          <w:rFonts w:hint="eastAsia" w:ascii="仿宋_GB2312" w:hAnsi="仿宋" w:cs="宋体"/>
          <w:b/>
          <w:color w:val="auto"/>
          <w:szCs w:val="28"/>
        </w:rPr>
        <w:t>（11）未经检验的新产品、试制品不能参加本次报价。</w:t>
      </w:r>
    </w:p>
    <w:p w14:paraId="214A42B4">
      <w:pPr>
        <w:snapToGrid w:val="0"/>
        <w:spacing w:line="560" w:lineRule="exact"/>
        <w:ind w:firstLine="562" w:firstLineChars="201"/>
        <w:rPr>
          <w:rFonts w:ascii="仿宋_GB2312" w:hAnsi="宋体"/>
          <w:color w:val="auto"/>
          <w:szCs w:val="28"/>
        </w:rPr>
      </w:pPr>
      <w:r>
        <w:rPr>
          <w:rFonts w:hint="eastAsia" w:ascii="仿宋_GB2312" w:hAnsi="仿宋" w:cs="宋体"/>
          <w:color w:val="auto"/>
          <w:szCs w:val="28"/>
        </w:rPr>
        <w:t>（12）</w:t>
      </w:r>
      <w:r>
        <w:rPr>
          <w:rFonts w:hint="eastAsia" w:ascii="仿宋_GB2312" w:hAnsi="宋体"/>
          <w:color w:val="auto"/>
          <w:szCs w:val="28"/>
        </w:rPr>
        <w:t>供应商的报价在合同执行过程中是固定不变的，不得以任何理由改变。所有价格折扣、优惠条件必须在报价明细表中注明，否则评审时不予认可。</w:t>
      </w:r>
    </w:p>
    <w:p w14:paraId="52DE5E36">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13.备选方案</w:t>
      </w:r>
    </w:p>
    <w:p w14:paraId="2BDB5EB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本采购项目不允许供应商有备选磋商方案。</w:t>
      </w:r>
    </w:p>
    <w:p w14:paraId="65E91F5C">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14.联合体报价</w:t>
      </w:r>
    </w:p>
    <w:p w14:paraId="5C85749F">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两个以上的自然人、法人或者其他组织可以组成一个联合体，以一个供应商的身份共同参加政府采购。</w:t>
      </w:r>
    </w:p>
    <w:p w14:paraId="43FB7F05">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14.1以联合体形式进行政府采购的，参加联合体的供应商均应当具备政府采购法第二十二条规定的条件，并应当向采购人提交联合协议，载明联合体各方承担的工作和义务。联合体各方应当共同与采购人签订采购合同，就采购合同约定的事项对采购人承担连带责任。</w:t>
      </w:r>
    </w:p>
    <w:p w14:paraId="4E92AAE8">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14.2联合体中有同类资质的供应商按照联合体分工承担相同工作的，应当按照资质等级较低的</w:t>
      </w:r>
      <w:r>
        <w:rPr>
          <w:rFonts w:hint="eastAsia" w:ascii="仿宋_GB2312" w:hAnsi="宋体"/>
          <w:color w:val="auto"/>
          <w:szCs w:val="28"/>
        </w:rPr>
        <w:t>供应商</w:t>
      </w:r>
      <w:r>
        <w:rPr>
          <w:rFonts w:hint="eastAsia" w:ascii="仿宋_GB2312" w:hAnsi="仿宋" w:cs="宋体"/>
          <w:color w:val="auto"/>
          <w:szCs w:val="28"/>
        </w:rPr>
        <w:t>确定资质等级。</w:t>
      </w:r>
    </w:p>
    <w:p w14:paraId="7A01F11C">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14.3联合体的各方应当共同推荐一名联合体报价授权代表方，由联合体各方提交一份授权书，证明其有资格代表联合体各方签署响应文件，该授权书作为响应文件的组成部分一并提交给</w:t>
      </w:r>
      <w:r>
        <w:rPr>
          <w:rFonts w:hint="eastAsia" w:ascii="仿宋_GB2312" w:hAnsi="宋体"/>
          <w:color w:val="auto"/>
          <w:szCs w:val="28"/>
        </w:rPr>
        <w:t>采购代理机构</w:t>
      </w:r>
      <w:r>
        <w:rPr>
          <w:rFonts w:hint="eastAsia" w:ascii="仿宋_GB2312" w:hAnsi="仿宋" w:cs="宋体"/>
          <w:color w:val="auto"/>
          <w:szCs w:val="28"/>
        </w:rPr>
        <w:t>。</w:t>
      </w:r>
    </w:p>
    <w:p w14:paraId="1D7ADD32">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14.4以联合体形式参加政府采购活动的，联合体各方不得再单独参加或者与其他</w:t>
      </w:r>
      <w:r>
        <w:rPr>
          <w:rFonts w:hint="eastAsia" w:ascii="仿宋_GB2312" w:hAnsi="宋体"/>
          <w:color w:val="auto"/>
          <w:szCs w:val="28"/>
        </w:rPr>
        <w:t>供应商</w:t>
      </w:r>
      <w:r>
        <w:rPr>
          <w:rFonts w:hint="eastAsia" w:ascii="仿宋_GB2312" w:hAnsi="仿宋" w:cs="宋体"/>
          <w:color w:val="auto"/>
          <w:szCs w:val="28"/>
        </w:rPr>
        <w:t>另外组成联合体参加同一合同项下的政府采购活动。</w:t>
      </w:r>
    </w:p>
    <w:p w14:paraId="5391024C">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14.5采购人根据采购项目对供应商的特殊要求，联合体中至少应当有一方符合相关规定。</w:t>
      </w:r>
    </w:p>
    <w:p w14:paraId="1FF6861F">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14.6联合体各方应签订共同报价协议，明确约定联合体各方承担的工作和相应的责任，并将共同报价协议连同作为响应文件的内容提交，否则报价将被认定为</w:t>
      </w:r>
      <w:r>
        <w:rPr>
          <w:rFonts w:hint="eastAsia" w:ascii="仿宋_GB2312" w:hAnsi="仿宋" w:cs="宋体"/>
          <w:b/>
          <w:bCs/>
          <w:color w:val="auto"/>
          <w:szCs w:val="28"/>
        </w:rPr>
        <w:t>无效</w:t>
      </w:r>
      <w:r>
        <w:rPr>
          <w:rFonts w:hint="eastAsia" w:ascii="仿宋_GB2312" w:hAnsi="仿宋" w:cs="宋体"/>
          <w:color w:val="auto"/>
          <w:szCs w:val="28"/>
        </w:rPr>
        <w:t>。</w:t>
      </w:r>
    </w:p>
    <w:p w14:paraId="2F32634A">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14.7</w:t>
      </w:r>
      <w:r>
        <w:rPr>
          <w:rFonts w:ascii="仿宋_GB2312" w:hAnsi="仿宋" w:cs="宋体"/>
          <w:color w:val="auto"/>
          <w:szCs w:val="28"/>
        </w:rPr>
        <w:t>大中型企业</w:t>
      </w:r>
      <w:r>
        <w:rPr>
          <w:rFonts w:hint="eastAsia" w:ascii="仿宋_GB2312" w:hAnsi="仿宋" w:cs="宋体"/>
          <w:color w:val="auto"/>
          <w:szCs w:val="28"/>
        </w:rPr>
        <w:t>、</w:t>
      </w:r>
      <w:r>
        <w:rPr>
          <w:rFonts w:ascii="仿宋_GB2312" w:hAnsi="仿宋" w:cs="宋体"/>
          <w:color w:val="auto"/>
          <w:szCs w:val="28"/>
        </w:rPr>
        <w:t>其他自然人、法人或者</w:t>
      </w:r>
      <w:r>
        <w:rPr>
          <w:rFonts w:hint="eastAsia" w:ascii="仿宋_GB2312" w:hAnsi="仿宋" w:cs="宋体"/>
          <w:color w:val="auto"/>
          <w:szCs w:val="28"/>
        </w:rPr>
        <w:t>其他组织</w:t>
      </w:r>
      <w:r>
        <w:rPr>
          <w:rFonts w:ascii="仿宋_GB2312" w:hAnsi="仿宋" w:cs="宋体"/>
          <w:color w:val="auto"/>
          <w:szCs w:val="28"/>
        </w:rPr>
        <w:t>与小型、微型企业组成联合体共同参加</w:t>
      </w:r>
      <w:r>
        <w:rPr>
          <w:rFonts w:hint="eastAsia" w:ascii="仿宋_GB2312" w:hAnsi="仿宋" w:cs="宋体"/>
          <w:color w:val="auto"/>
          <w:szCs w:val="28"/>
        </w:rPr>
        <w:t>报价，共同报价</w:t>
      </w:r>
      <w:r>
        <w:rPr>
          <w:rFonts w:ascii="仿宋_GB2312" w:hAnsi="仿宋" w:cs="宋体"/>
          <w:color w:val="auto"/>
          <w:szCs w:val="28"/>
        </w:rPr>
        <w:t>协议中</w:t>
      </w:r>
      <w:r>
        <w:rPr>
          <w:rFonts w:hint="eastAsia" w:ascii="仿宋_GB2312" w:hAnsi="仿宋" w:cs="宋体"/>
          <w:color w:val="auto"/>
          <w:szCs w:val="28"/>
        </w:rPr>
        <w:t>应写明</w:t>
      </w:r>
      <w:r>
        <w:rPr>
          <w:rFonts w:ascii="仿宋_GB2312" w:hAnsi="仿宋" w:cs="宋体"/>
          <w:color w:val="auto"/>
          <w:szCs w:val="28"/>
        </w:rPr>
        <w:t>小型、微型企业的协议合同金额占到</w:t>
      </w:r>
      <w:r>
        <w:rPr>
          <w:rFonts w:hint="eastAsia" w:ascii="仿宋_GB2312" w:hAnsi="仿宋" w:cs="宋体"/>
          <w:color w:val="auto"/>
          <w:szCs w:val="28"/>
        </w:rPr>
        <w:t>共同</w:t>
      </w:r>
      <w:r>
        <w:rPr>
          <w:rFonts w:ascii="仿宋_GB2312" w:hAnsi="仿宋" w:cs="宋体"/>
          <w:color w:val="auto"/>
          <w:szCs w:val="28"/>
        </w:rPr>
        <w:t>协议</w:t>
      </w:r>
      <w:r>
        <w:rPr>
          <w:rFonts w:hint="eastAsia" w:ascii="仿宋_GB2312" w:hAnsi="仿宋" w:cs="宋体"/>
          <w:color w:val="auto"/>
          <w:szCs w:val="28"/>
        </w:rPr>
        <w:t>报价</w:t>
      </w:r>
      <w:r>
        <w:rPr>
          <w:rFonts w:ascii="仿宋_GB2312" w:hAnsi="仿宋" w:cs="宋体"/>
          <w:color w:val="auto"/>
          <w:szCs w:val="28"/>
        </w:rPr>
        <w:t>总金额</w:t>
      </w:r>
      <w:r>
        <w:rPr>
          <w:rFonts w:hint="eastAsia" w:ascii="仿宋_GB2312" w:hAnsi="仿宋" w:cs="宋体"/>
          <w:color w:val="auto"/>
          <w:szCs w:val="28"/>
        </w:rPr>
        <w:t>的比例。</w:t>
      </w:r>
    </w:p>
    <w:p w14:paraId="650CC901">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14.8以联合体形式参加政府采购活动，联合体各方均为中小企业的，联合体视同中小企业。联合体各方均为小微企业的，联合体视同小微企业。</w:t>
      </w:r>
    </w:p>
    <w:p w14:paraId="30840C07">
      <w:pPr>
        <w:snapToGrid w:val="0"/>
        <w:spacing w:line="560" w:lineRule="exact"/>
        <w:ind w:firstLine="565" w:firstLineChars="201"/>
        <w:rPr>
          <w:rFonts w:ascii="仿宋_GB2312" w:hAnsi="宋体"/>
          <w:b/>
          <w:color w:val="auto"/>
          <w:szCs w:val="28"/>
        </w:rPr>
      </w:pPr>
      <w:r>
        <w:rPr>
          <w:rFonts w:hint="eastAsia" w:ascii="仿宋_GB2312" w:hAnsi="仿宋" w:cs="宋体"/>
          <w:b/>
          <w:color w:val="auto"/>
          <w:szCs w:val="28"/>
        </w:rPr>
        <w:t>本项目是否接受联合体响应详见</w:t>
      </w:r>
      <w:r>
        <w:rPr>
          <w:rFonts w:hint="eastAsia" w:ascii="仿宋_GB2312" w:hAnsi="仿宋" w:cs="宋体"/>
          <w:b/>
          <w:color w:val="auto"/>
          <w:szCs w:val="28"/>
          <w:u w:val="single"/>
        </w:rPr>
        <w:t>响应须知前附表</w:t>
      </w:r>
      <w:r>
        <w:rPr>
          <w:rFonts w:hint="eastAsia" w:ascii="仿宋_GB2312" w:hAnsi="仿宋" w:cs="宋体"/>
          <w:b/>
          <w:color w:val="auto"/>
          <w:szCs w:val="28"/>
        </w:rPr>
        <w:t>。</w:t>
      </w:r>
    </w:p>
    <w:p w14:paraId="7A231680">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15.现场踏勘</w:t>
      </w:r>
    </w:p>
    <w:p w14:paraId="41166A53">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15.1</w:t>
      </w:r>
      <w:r>
        <w:rPr>
          <w:rFonts w:hint="eastAsia" w:ascii="仿宋_GB2312" w:hAnsi="仿宋" w:cs="宋体"/>
          <w:color w:val="auto"/>
          <w:szCs w:val="28"/>
          <w:u w:val="single"/>
        </w:rPr>
        <w:t>响应须知前附表中</w:t>
      </w:r>
      <w:r>
        <w:rPr>
          <w:rFonts w:hint="eastAsia" w:ascii="仿宋_GB2312" w:hAnsi="仿宋" w:cs="宋体"/>
          <w:color w:val="auto"/>
          <w:szCs w:val="28"/>
        </w:rPr>
        <w:t>规定组织踏勘现场的，采购人按规定的时间、地点组织供应商踏勘项目现场，踏勘现场所发生的费用由供应商承担。</w:t>
      </w:r>
    </w:p>
    <w:p w14:paraId="7B66FE86">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15.2采购人向供应商提供的有关现场的资料和数据，是采购人现有的能使供应商利用的资料，采购人对供应商由此而做出的推论、理解和结论概不负责。</w:t>
      </w:r>
    </w:p>
    <w:p w14:paraId="560AD6C9">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15.3供应商及其人员经过采购人的允许，可以踏勘目的进入采购单位的项目现场，对供货（或施工）现场及其范围环境进行考察，以获取有关编制响应文件和签署实施合同所需的各项资料，若本项目采购文件要求供应商于统一时间地点踏勘现场的，供应商应当按时前往。</w:t>
      </w:r>
    </w:p>
    <w:p w14:paraId="4E83F6F0">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15.4除采购人的原因外，供应商及其人员不得因此使采购人及其人员承担有关的责任和蒙受损失。供应商应自行负责由此次踏勘现场而造成的死亡、人身伤害、财产损失、损害以及任何其它损失、损害和引起的费用和开支承担责任。</w:t>
      </w:r>
    </w:p>
    <w:p w14:paraId="1818A341">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15.5未参与现场踏勘不作为否定供应商资格的理由。</w:t>
      </w:r>
    </w:p>
    <w:p w14:paraId="4B50DA44">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本项目是否组织现场踏勘详见</w:t>
      </w:r>
      <w:r>
        <w:rPr>
          <w:rFonts w:hint="eastAsia" w:ascii="仿宋_GB2312" w:hAnsi="宋体"/>
          <w:b/>
          <w:color w:val="auto"/>
          <w:szCs w:val="28"/>
          <w:u w:val="single"/>
        </w:rPr>
        <w:t>响应须知前附表</w:t>
      </w:r>
      <w:r>
        <w:rPr>
          <w:rFonts w:hint="eastAsia" w:ascii="仿宋_GB2312" w:hAnsi="宋体"/>
          <w:b/>
          <w:color w:val="auto"/>
          <w:szCs w:val="28"/>
        </w:rPr>
        <w:t>。</w:t>
      </w:r>
    </w:p>
    <w:p w14:paraId="42409A61">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16.关于分包</w:t>
      </w:r>
    </w:p>
    <w:p w14:paraId="216719E4">
      <w:pPr>
        <w:snapToGrid w:val="0"/>
        <w:spacing w:line="560" w:lineRule="exact"/>
        <w:ind w:firstLine="560"/>
        <w:rPr>
          <w:rFonts w:ascii="仿宋_GB2312" w:hAnsi="宋体"/>
          <w:color w:val="auto"/>
          <w:szCs w:val="28"/>
        </w:rPr>
      </w:pPr>
      <w:r>
        <w:rPr>
          <w:rFonts w:hint="eastAsia" w:ascii="仿宋_GB2312" w:hAnsi="宋体"/>
          <w:color w:val="auto"/>
          <w:szCs w:val="28"/>
        </w:rPr>
        <w:t>供应商拟将成交项目的非主体、非关键性工作分包的，应当在响应文件中载明分包承担主体，分包承担主体应当具备相应资质条件且不得再次分包。</w:t>
      </w:r>
    </w:p>
    <w:p w14:paraId="7A0D2939">
      <w:pPr>
        <w:snapToGrid w:val="0"/>
        <w:spacing w:line="560" w:lineRule="exact"/>
        <w:ind w:firstLine="560"/>
        <w:rPr>
          <w:rFonts w:ascii="仿宋_GB2312" w:hAnsi="宋体"/>
          <w:color w:val="auto"/>
          <w:szCs w:val="28"/>
        </w:rPr>
      </w:pPr>
      <w:r>
        <w:rPr>
          <w:rFonts w:hint="eastAsia" w:ascii="仿宋_GB2312" w:hAnsi="宋体"/>
          <w:color w:val="auto"/>
          <w:szCs w:val="28"/>
        </w:rPr>
        <w:t>供应商应当就分包项目向采购人负责，分包承担主体就分包项目承担责任。</w:t>
      </w:r>
    </w:p>
    <w:p w14:paraId="5F2A1818">
      <w:pPr>
        <w:snapToGrid w:val="0"/>
        <w:spacing w:line="560" w:lineRule="exact"/>
        <w:ind w:firstLine="562" w:firstLineChars="201"/>
        <w:rPr>
          <w:rFonts w:ascii="仿宋_GB2312" w:hAnsi="宋体"/>
          <w:color w:val="auto"/>
          <w:szCs w:val="28"/>
        </w:rPr>
      </w:pPr>
      <w:r>
        <w:rPr>
          <w:rFonts w:hint="eastAsia" w:ascii="仿宋_GB2312" w:hAnsi="仿宋" w:cs="宋体"/>
          <w:color w:val="auto"/>
          <w:szCs w:val="28"/>
        </w:rPr>
        <w:t>依据财政部、工信部等部委发布的《关于印发&lt;政府采购促进中小企业发展管理办法&gt;的通知》（财库〔2020〕46号）规定享受扶持政策获得政府采购合同的，小微企业不得将合同分包给大中型企业，中型企业不得将合同分包给大型企业。</w:t>
      </w:r>
    </w:p>
    <w:p w14:paraId="22A797C2">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17.报价的有效期</w:t>
      </w:r>
    </w:p>
    <w:p w14:paraId="5871E58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17.1报价应在</w:t>
      </w:r>
      <w:r>
        <w:rPr>
          <w:rFonts w:hint="eastAsia" w:ascii="仿宋_GB2312" w:hAnsi="宋体"/>
          <w:color w:val="auto"/>
          <w:szCs w:val="28"/>
          <w:u w:val="single"/>
        </w:rPr>
        <w:t>响应须知前附表</w:t>
      </w:r>
      <w:r>
        <w:rPr>
          <w:rFonts w:hint="eastAsia" w:ascii="仿宋_GB2312" w:hAnsi="宋体"/>
          <w:color w:val="auto"/>
          <w:szCs w:val="28"/>
        </w:rPr>
        <w:t>中规定时间内保持有效。报价有效期不满足要求的报价，其报价将被认定为</w:t>
      </w:r>
      <w:r>
        <w:rPr>
          <w:rFonts w:hint="eastAsia" w:ascii="仿宋_GB2312" w:hAnsi="宋体"/>
          <w:b/>
          <w:bCs/>
          <w:color w:val="auto"/>
          <w:szCs w:val="28"/>
        </w:rPr>
        <w:t>无效</w:t>
      </w:r>
      <w:r>
        <w:rPr>
          <w:rFonts w:hint="eastAsia" w:ascii="仿宋_GB2312" w:hAnsi="宋体"/>
          <w:color w:val="auto"/>
          <w:szCs w:val="28"/>
        </w:rPr>
        <w:t>。</w:t>
      </w:r>
    </w:p>
    <w:p w14:paraId="5341B6B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17.2特殊情况下，在报价有效期满之前，采购代理机构可以要求供应商延长报价有效期，供应商可以书面形式拒绝或接受上述要求。同意延长报价有效期的供应商不得修改响应文件的实质性内容。</w:t>
      </w:r>
    </w:p>
    <w:p w14:paraId="310430B7">
      <w:pPr>
        <w:spacing w:line="560" w:lineRule="exact"/>
        <w:ind w:firstLine="565" w:firstLineChars="201"/>
        <w:rPr>
          <w:rFonts w:ascii="楷体_GB2312" w:hAnsi="仿宋" w:eastAsia="楷体_GB2312" w:cs="宋体"/>
          <w:b/>
          <w:color w:val="auto"/>
          <w:szCs w:val="28"/>
        </w:rPr>
      </w:pPr>
      <w:r>
        <w:rPr>
          <w:rFonts w:ascii="楷体_GB2312" w:hAnsi="仿宋" w:eastAsia="楷体_GB2312" w:cs="宋体"/>
          <w:b/>
          <w:color w:val="auto"/>
          <w:szCs w:val="28"/>
        </w:rPr>
        <w:t>1</w:t>
      </w:r>
      <w:r>
        <w:rPr>
          <w:rFonts w:hint="eastAsia" w:ascii="楷体_GB2312" w:hAnsi="仿宋" w:eastAsia="楷体_GB2312" w:cs="宋体"/>
          <w:b/>
          <w:color w:val="auto"/>
          <w:szCs w:val="28"/>
        </w:rPr>
        <w:t>8.磋商保证金</w:t>
      </w:r>
    </w:p>
    <w:p w14:paraId="4FCB356D">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本项目不收取磋商保证金</w:t>
      </w:r>
      <w:r>
        <w:rPr>
          <w:rFonts w:ascii="仿宋_GB2312" w:hAnsi="仿宋" w:cs="宋体"/>
          <w:color w:val="auto"/>
          <w:szCs w:val="28"/>
        </w:rPr>
        <w:t>。</w:t>
      </w:r>
    </w:p>
    <w:p w14:paraId="08F03CB2">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19.响应文件的数量和签署</w:t>
      </w:r>
    </w:p>
    <w:p w14:paraId="6EDB257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19.1响应文件（pdf格式）1份（第一册）：</w:t>
      </w:r>
    </w:p>
    <w:p w14:paraId="379A540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19.1.1供应商应使用带电子签章功能的CA锁对响应文件须盖章或签名的部位加盖电子印章（单位电子公章、法定代表人电子人名章），电子印章与实物印章具有同等法律效力。</w:t>
      </w:r>
    </w:p>
    <w:p w14:paraId="465CF95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19.1.2 供应商应首先编制word格式响应文件，最后通过威海市政府采购电子交易系统的文件签章菜单的响应文件签章功能转换为pdf格式（或者其他pdf转换工具），之后通过签章功能在pdf文件上逐页加盖电子印章并保存到本地计算机，加盖了电子印章的pdf文件即为最终的响应文件。</w:t>
      </w:r>
    </w:p>
    <w:p w14:paraId="328EF63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19.1.3文件中要求法定代表人签字或签章的须加盖法定代表人电子人名章。</w:t>
      </w:r>
    </w:p>
    <w:p w14:paraId="3DB1CD1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19.1.4须被授权人签字的，被授权人又无电子章的，在word编制时可将被授权人手写签字扫描后的图片粘贴到响应文件中对应位置，并加盖单位电子公章。</w:t>
      </w:r>
    </w:p>
    <w:p w14:paraId="284A0E7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19.1.5可使用平台的批量盖章功能快速签章。但须逐页浏览检查并注意印章重叠及完整性。</w:t>
      </w:r>
    </w:p>
    <w:p w14:paraId="0F96EAB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19.1.6 采用扫描粘贴供应商公章或扫描法定代表人电子章而不加盖单位电子公章的为</w:t>
      </w:r>
      <w:r>
        <w:rPr>
          <w:rFonts w:hint="eastAsia" w:ascii="仿宋_GB2312" w:hAnsi="宋体"/>
          <w:b/>
          <w:color w:val="auto"/>
          <w:szCs w:val="28"/>
        </w:rPr>
        <w:t>无效投标（响应）</w:t>
      </w:r>
      <w:r>
        <w:rPr>
          <w:rFonts w:hint="eastAsia" w:ascii="仿宋_GB2312" w:hAnsi="宋体"/>
          <w:color w:val="auto"/>
          <w:szCs w:val="28"/>
        </w:rPr>
        <w:t>。</w:t>
      </w:r>
    </w:p>
    <w:p w14:paraId="4984359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19.2数据文件（PDF格式）（第二册）1份：</w:t>
      </w:r>
    </w:p>
    <w:p w14:paraId="4A89CC0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19.2.1供应商将填写完毕的数据文件（EXCEL格式），通过威海市政府采购电子交易系统中“文件签章”菜单的“数据签章”功能上传数据文件（EXCEL格式），系统自动转换为PDF格式，加盖电子印章后保存到本地计算机。加盖了电子印章的文件即为最终的数据文件（PDF格式）用于报价。</w:t>
      </w:r>
    </w:p>
    <w:p w14:paraId="7AD47C6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19.2.2文件中要求法定代表人签字或签章的须加盖法定代表人电子人名章。</w:t>
      </w:r>
    </w:p>
    <w:p w14:paraId="0A65CE6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19.2.3采用扫描粘贴供应商公章或法定代表人人名章的为</w:t>
      </w:r>
      <w:r>
        <w:rPr>
          <w:rFonts w:hint="eastAsia" w:ascii="仿宋_GB2312" w:hAnsi="宋体"/>
          <w:b/>
          <w:color w:val="auto"/>
          <w:szCs w:val="28"/>
        </w:rPr>
        <w:t>无效投标（响应）</w:t>
      </w:r>
      <w:r>
        <w:rPr>
          <w:rFonts w:hint="eastAsia" w:ascii="仿宋_GB2312" w:hAnsi="宋体"/>
          <w:color w:val="auto"/>
          <w:szCs w:val="28"/>
        </w:rPr>
        <w:t>。</w:t>
      </w:r>
    </w:p>
    <w:p w14:paraId="54D87404">
      <w:pPr>
        <w:pStyle w:val="3"/>
        <w:ind w:firstLine="562"/>
        <w:rPr>
          <w:color w:val="auto"/>
        </w:rPr>
      </w:pPr>
      <w:r>
        <w:rPr>
          <w:rFonts w:hint="eastAsia"/>
          <w:color w:val="auto"/>
        </w:rPr>
        <w:t>四、响应文件的递交</w:t>
      </w:r>
    </w:p>
    <w:p w14:paraId="57EA8B0A">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20.响应文件的密封和标记</w:t>
      </w:r>
    </w:p>
    <w:p w14:paraId="27B0385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20.1第一阶段电子响应文件的密封和标记</w:t>
      </w:r>
    </w:p>
    <w:p w14:paraId="7EBE948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20.1.1加盖了电子印章的</w:t>
      </w:r>
      <w:r>
        <w:rPr>
          <w:rFonts w:hint="eastAsia" w:ascii="仿宋_GB2312" w:hAnsi="仿宋" w:cs="宋体"/>
          <w:color w:val="auto"/>
          <w:szCs w:val="28"/>
        </w:rPr>
        <w:t>电子响应文件（PDF格式）和数据文件（PDF格式）</w:t>
      </w:r>
      <w:r>
        <w:rPr>
          <w:rFonts w:hint="eastAsia" w:ascii="仿宋_GB2312" w:hAnsi="宋体"/>
          <w:color w:val="auto"/>
          <w:szCs w:val="28"/>
        </w:rPr>
        <w:t>须在</w:t>
      </w:r>
      <w:r>
        <w:rPr>
          <w:rFonts w:hint="eastAsia" w:ascii="仿宋_GB2312" w:hAnsi="仿宋" w:cs="宋体"/>
          <w:color w:val="auto"/>
          <w:szCs w:val="28"/>
        </w:rPr>
        <w:t>威海市政府采购电子交易系统</w:t>
      </w:r>
      <w:r>
        <w:rPr>
          <w:rFonts w:hint="eastAsia" w:ascii="仿宋_GB2312" w:hAnsi="宋体"/>
          <w:color w:val="auto"/>
          <w:szCs w:val="28"/>
        </w:rPr>
        <w:t>的“我的投标”界面进行提交，提交前系统会自动在本地进行加密和电子签章，加密和数字签名后的文件除了会上传到系统中之外还会同步保存到本地计算机。</w:t>
      </w:r>
    </w:p>
    <w:p w14:paraId="4F2F4E7A">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21.磋商截止期</w:t>
      </w:r>
    </w:p>
    <w:p w14:paraId="11415620">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本次磋商第一阶段响应文件的递交截止期见</w:t>
      </w:r>
      <w:r>
        <w:rPr>
          <w:rFonts w:hint="eastAsia" w:ascii="仿宋_GB2312" w:hAnsi="宋体"/>
          <w:b/>
          <w:color w:val="auto"/>
          <w:szCs w:val="28"/>
          <w:u w:val="single"/>
        </w:rPr>
        <w:t>响应须知前附表</w:t>
      </w:r>
      <w:r>
        <w:rPr>
          <w:rFonts w:hint="eastAsia" w:ascii="仿宋_GB2312" w:hAnsi="宋体"/>
          <w:b/>
          <w:color w:val="auto"/>
          <w:szCs w:val="28"/>
        </w:rPr>
        <w:t>。</w:t>
      </w:r>
    </w:p>
    <w:p w14:paraId="4544DD56">
      <w:pPr>
        <w:spacing w:line="560" w:lineRule="exact"/>
        <w:ind w:firstLine="562" w:firstLineChars="201"/>
        <w:rPr>
          <w:rFonts w:ascii="仿宋_GB2312" w:hAnsi="仿宋" w:cs="宋体"/>
          <w:color w:val="auto"/>
          <w:szCs w:val="28"/>
        </w:rPr>
      </w:pPr>
      <w:r>
        <w:rPr>
          <w:rFonts w:hint="eastAsia" w:ascii="仿宋_GB2312" w:hAnsi="仿宋" w:cs="宋体"/>
          <w:color w:val="auto"/>
          <w:szCs w:val="28"/>
          <w:lang w:val="en-GB"/>
        </w:rPr>
        <w:t>采购人和</w:t>
      </w:r>
      <w:r>
        <w:rPr>
          <w:rFonts w:ascii="仿宋_GB2312" w:hAnsi="仿宋" w:cs="宋体"/>
          <w:color w:val="auto"/>
          <w:szCs w:val="28"/>
          <w:lang w:val="en-GB"/>
        </w:rPr>
        <w:t>采购代理机构</w:t>
      </w:r>
      <w:r>
        <w:rPr>
          <w:rFonts w:hint="eastAsia" w:ascii="仿宋_GB2312" w:hAnsi="仿宋" w:cs="宋体"/>
          <w:color w:val="auto"/>
          <w:szCs w:val="28"/>
          <w:lang w:val="en-GB"/>
        </w:rPr>
        <w:t>有权按本须知的规定，延迟报价截止时间。在此情况下，采购人、</w:t>
      </w:r>
      <w:r>
        <w:rPr>
          <w:rFonts w:ascii="仿宋_GB2312" w:hAnsi="仿宋" w:cs="宋体"/>
          <w:color w:val="auto"/>
          <w:szCs w:val="28"/>
          <w:lang w:val="en-GB"/>
        </w:rPr>
        <w:t>采购代理机构</w:t>
      </w:r>
      <w:r>
        <w:rPr>
          <w:rFonts w:hint="eastAsia" w:ascii="仿宋_GB2312" w:hAnsi="仿宋" w:cs="宋体"/>
          <w:color w:val="auto"/>
          <w:szCs w:val="28"/>
          <w:lang w:val="en-GB"/>
        </w:rPr>
        <w:t>和供应商受报价截止时间制约的所有权利和义务均应延长至新的截止时间。</w:t>
      </w:r>
    </w:p>
    <w:p w14:paraId="5721F668">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22.迟交的响应文件</w:t>
      </w:r>
    </w:p>
    <w:p w14:paraId="6719EA7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威海市政府采购电子交易系统无法接收响应截止期后递交的响应文件。</w:t>
      </w:r>
    </w:p>
    <w:p w14:paraId="168B5B22">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23.样品递交</w:t>
      </w:r>
      <w:r>
        <w:rPr>
          <w:rFonts w:ascii="楷体_GB2312" w:hAnsi="宋体" w:eastAsia="楷体_GB2312"/>
          <w:b/>
          <w:color w:val="auto"/>
          <w:szCs w:val="28"/>
        </w:rPr>
        <w:t>/</w:t>
      </w:r>
      <w:r>
        <w:rPr>
          <w:rFonts w:hint="eastAsia" w:ascii="楷体_GB2312" w:hAnsi="宋体" w:eastAsia="楷体_GB2312"/>
          <w:b/>
          <w:color w:val="auto"/>
          <w:szCs w:val="28"/>
        </w:rPr>
        <w:t>演示</w:t>
      </w:r>
    </w:p>
    <w:p w14:paraId="472F1AEB">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是否要求供应商提供演示/提交样品，详见磋商文件</w:t>
      </w:r>
      <w:r>
        <w:rPr>
          <w:rFonts w:hint="eastAsia" w:ascii="仿宋_GB2312" w:hAnsi="宋体"/>
          <w:b/>
          <w:color w:val="auto"/>
          <w:szCs w:val="28"/>
          <w:u w:val="single"/>
        </w:rPr>
        <w:t>响应须知前附表</w:t>
      </w:r>
      <w:r>
        <w:rPr>
          <w:rFonts w:hint="eastAsia" w:ascii="仿宋_GB2312" w:hAnsi="宋体"/>
          <w:b/>
          <w:color w:val="auto"/>
          <w:szCs w:val="28"/>
        </w:rPr>
        <w:t>规定。</w:t>
      </w:r>
    </w:p>
    <w:p w14:paraId="35C1B60C">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24.响应文件的修改和撤回</w:t>
      </w:r>
    </w:p>
    <w:p w14:paraId="03CBAC4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24.1供应商必须在规定的磋商截止期之前将修改的响应文件上传到威海市政府采购电子交易系统,在磋商截止期之后，供应商不得对其响应文件做任何修改。</w:t>
      </w:r>
    </w:p>
    <w:p w14:paraId="32B2E7F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24.2供应商在递交响应文件后，可以在磋商截止期之前撤回其响应。</w:t>
      </w:r>
    </w:p>
    <w:p w14:paraId="699C516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24.3从磋商截止期至磋商有效期这段时间内，供应商不得撤回其响应文件。</w:t>
      </w:r>
    </w:p>
    <w:p w14:paraId="158869D6">
      <w:pPr>
        <w:pStyle w:val="3"/>
        <w:ind w:firstLine="562"/>
        <w:rPr>
          <w:color w:val="auto"/>
        </w:rPr>
      </w:pPr>
      <w:r>
        <w:rPr>
          <w:rFonts w:hint="eastAsia"/>
          <w:color w:val="auto"/>
        </w:rPr>
        <w:t>五、响应文件解密与磋商</w:t>
      </w:r>
    </w:p>
    <w:p w14:paraId="0352BF26">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25.响应文件解密</w:t>
      </w:r>
    </w:p>
    <w:p w14:paraId="0C483EF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25.1响应文件递交截止时间后，提交响应文件的供应商不足3家的不得解密。</w:t>
      </w:r>
    </w:p>
    <w:p w14:paraId="559EBEE9">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25.2</w:t>
      </w:r>
      <w:r>
        <w:rPr>
          <w:rFonts w:hint="eastAsia" w:ascii="仿宋_GB2312" w:hAnsi="宋体"/>
          <w:color w:val="auto"/>
          <w:szCs w:val="28"/>
        </w:rPr>
        <w:t>采购代理机构</w:t>
      </w:r>
      <w:r>
        <w:rPr>
          <w:rFonts w:hint="eastAsia" w:ascii="仿宋_GB2312" w:hAnsi="仿宋" w:cs="宋体"/>
          <w:color w:val="auto"/>
          <w:szCs w:val="28"/>
        </w:rPr>
        <w:t>在响应须知前附表规定的时间和地点组织解密。拟到现场参与解密、磋商等环节的供应商须携带CA锁和笔记本电脑，以便进行解密、磋商等操作。拟不到现场参与解密、磋商等环节的供应商需提前准备已配置好环境的电脑,在规定的时间进行远程解密、磋商等各项操作。</w:t>
      </w:r>
    </w:p>
    <w:p w14:paraId="093176C2">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25.3供应商代表应于响应文件递交截止时间前，完成签到以证明其出席，除因应急情况外，未在采购文件规定的解密时间内解密的视为放弃响应。</w:t>
      </w:r>
    </w:p>
    <w:p w14:paraId="2CFF817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25.4</w:t>
      </w:r>
      <w:r>
        <w:rPr>
          <w:rFonts w:hint="eastAsia" w:ascii="仿宋_GB2312" w:hAnsi="宋体"/>
          <w:color w:val="auto"/>
          <w:szCs w:val="28"/>
          <w:u w:val="single"/>
        </w:rPr>
        <w:t>响应须知前附表</w:t>
      </w:r>
      <w:r>
        <w:rPr>
          <w:rFonts w:hint="eastAsia" w:ascii="仿宋_GB2312" w:hAnsi="宋体"/>
          <w:color w:val="auto"/>
          <w:szCs w:val="28"/>
        </w:rPr>
        <w:t>规定了文件解密时间，供应商输入密码错误（5次输入机会）、未能按时完成解密、其《数据文件》填写、盖章不规范等导致系统无法解析的，将会被视为</w:t>
      </w:r>
      <w:r>
        <w:rPr>
          <w:rFonts w:hint="eastAsia" w:ascii="仿宋_GB2312" w:hAnsi="宋体"/>
          <w:b/>
          <w:color w:val="auto"/>
          <w:szCs w:val="28"/>
        </w:rPr>
        <w:t>无效投标（响应）</w:t>
      </w:r>
      <w:r>
        <w:rPr>
          <w:rFonts w:hint="eastAsia" w:ascii="仿宋_GB2312" w:hAnsi="宋体"/>
          <w:color w:val="auto"/>
          <w:szCs w:val="28"/>
        </w:rPr>
        <w:t>。</w:t>
      </w:r>
    </w:p>
    <w:p w14:paraId="5530838B">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25.5供应商代表认为采购人、采购代理机构相关工作人员有需要回避的情形的，应当场提出询问或者回避申请。采购人、采购代理机构对供应商代表提出的询问或者回避申请应当及时处理。</w:t>
      </w:r>
    </w:p>
    <w:p w14:paraId="2A881B7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25.6录音、录像：威海市公共资源交易中心乳山分中心负责从递交响应文件开始到确定成交结果全过程的录音、录像工作，确保声音清楚、图像清晰、内容无遗漏。</w:t>
      </w:r>
    </w:p>
    <w:p w14:paraId="33BF2D5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25.7报价过程中，如遇特殊情况，服从威海市公共资源交易中心场地调配，并遵守相关规章制度。</w:t>
      </w:r>
    </w:p>
    <w:p w14:paraId="5C2F702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25.8对响应文件报价出现前后不一致的，按以下规定修正：</w:t>
      </w:r>
    </w:p>
    <w:p w14:paraId="55E86A1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（1）“投标（报价）一览表”的报价与“报价明细表”的报价不一致的，以“投标（报价）一览表”的报价为准；</w:t>
      </w:r>
    </w:p>
    <w:p w14:paraId="4CC9B7A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（2）大写金额和小写金额不一致的，以大写金额为准；</w:t>
      </w:r>
    </w:p>
    <w:p w14:paraId="7659F88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（3）单价金额小数点或者百分比有明显错位的，以投标（报价）一览表的总价为准，并修改单价。</w:t>
      </w:r>
    </w:p>
    <w:p w14:paraId="6AED726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（4）总价金额与按单价汇总金额不一致的，以单价金额计算结果为准。</w:t>
      </w:r>
    </w:p>
    <w:p w14:paraId="493B45F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（5）同时出现两种以上不一致的，按照前款规定的顺序修正。修正后的报价经供应商确认后产生约束力，供应商不确认的，其响应无效。</w:t>
      </w:r>
    </w:p>
    <w:p w14:paraId="2E22FDAD">
      <w:pPr>
        <w:snapToGrid w:val="0"/>
        <w:spacing w:line="560" w:lineRule="exact"/>
        <w:ind w:firstLine="565" w:firstLineChars="201"/>
        <w:rPr>
          <w:rFonts w:ascii="仿宋_GB2312" w:hAnsi="宋体"/>
          <w:color w:val="auto"/>
          <w:szCs w:val="28"/>
        </w:rPr>
      </w:pPr>
      <w:r>
        <w:rPr>
          <w:rFonts w:hint="eastAsia" w:ascii="仿宋_GB2312" w:hAnsi="仿宋" w:cs="宋体"/>
          <w:b/>
          <w:color w:val="auto"/>
          <w:szCs w:val="28"/>
        </w:rPr>
        <w:t>若供应商实名认证证书即将到期或已过期，请确保在公开报价时实名认证证书在有效期内，供应商实名认证证书在续期后务必在公开报价前重新制作和上传电子投标（响应）文件，否则将造成电子投标（响应）文件无法进行解密。</w:t>
      </w:r>
    </w:p>
    <w:p w14:paraId="685B9B5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25.9应急报价程序</w:t>
      </w:r>
    </w:p>
    <w:p w14:paraId="48A8418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电子报价过程中如出现下列情况，导致系统无法正常运行，或者无法保证报价过程的公平、公正和信息安全时，经与行政监督部门沟通后可启动应急报价程序。</w:t>
      </w:r>
    </w:p>
    <w:p w14:paraId="60D0A6C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（1）系统服务器发生故障，无法访问或无法使用系统；</w:t>
      </w:r>
    </w:p>
    <w:p w14:paraId="3DAABE3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（2）系统的软件或数据库出现错误，不能进行正常操作；</w:t>
      </w:r>
    </w:p>
    <w:p w14:paraId="6B9502E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（3）系统发现有安全漏洞，有潜在的泄密危险；</w:t>
      </w:r>
    </w:p>
    <w:p w14:paraId="2943B4D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（4）病毒发作或受到外来病毒的攻击；</w:t>
      </w:r>
    </w:p>
    <w:p w14:paraId="67764F6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（5）其他无法保证报价过程公平、公正和信息安全的情形。</w:t>
      </w:r>
    </w:p>
    <w:p w14:paraId="3D8054E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应急报价程序包括：</w:t>
      </w:r>
    </w:p>
    <w:p w14:paraId="6A87559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（1）对</w:t>
      </w:r>
      <w:r>
        <w:rPr>
          <w:rFonts w:ascii="仿宋_GB2312" w:hAnsi="宋体"/>
          <w:color w:val="auto"/>
          <w:szCs w:val="28"/>
        </w:rPr>
        <w:t>未在系统中</w:t>
      </w:r>
      <w:r>
        <w:rPr>
          <w:rFonts w:hint="eastAsia" w:ascii="仿宋_GB2312" w:hAnsi="宋体"/>
          <w:color w:val="auto"/>
          <w:szCs w:val="28"/>
        </w:rPr>
        <w:t>报价</w:t>
      </w:r>
      <w:r>
        <w:rPr>
          <w:rFonts w:ascii="仿宋_GB2312" w:hAnsi="宋体"/>
          <w:color w:val="auto"/>
          <w:szCs w:val="28"/>
        </w:rPr>
        <w:t>的可暂停</w:t>
      </w:r>
      <w:r>
        <w:rPr>
          <w:rFonts w:hint="eastAsia" w:ascii="仿宋_GB2312" w:hAnsi="宋体"/>
          <w:color w:val="auto"/>
          <w:szCs w:val="28"/>
        </w:rPr>
        <w:t>报价；</w:t>
      </w:r>
    </w:p>
    <w:p w14:paraId="49F19870">
      <w:pPr>
        <w:snapToGrid w:val="0"/>
        <w:spacing w:line="560" w:lineRule="exact"/>
        <w:ind w:firstLine="562" w:firstLineChars="201"/>
        <w:rPr>
          <w:rFonts w:ascii="仿宋_GB2312" w:hAnsi="宋体"/>
          <w:color w:val="auto"/>
          <w:szCs w:val="28"/>
        </w:rPr>
      </w:pPr>
      <w:r>
        <w:rPr>
          <w:rFonts w:ascii="仿宋_GB2312" w:hAnsi="宋体"/>
          <w:color w:val="auto"/>
          <w:szCs w:val="28"/>
        </w:rPr>
        <w:t>（2）对已在系统中报价的应停止，等待系统恢复正常后再组织进行报价。</w:t>
      </w:r>
    </w:p>
    <w:p w14:paraId="37C6CCAB">
      <w:pPr>
        <w:snapToGrid w:val="0"/>
        <w:spacing w:line="560" w:lineRule="exact"/>
        <w:ind w:firstLine="562" w:firstLineChars="201"/>
        <w:rPr>
          <w:rFonts w:ascii="仿宋_GB2312" w:hAnsi="宋体"/>
          <w:b/>
          <w:color w:val="auto"/>
          <w:szCs w:val="28"/>
        </w:rPr>
      </w:pPr>
      <w:r>
        <w:rPr>
          <w:rFonts w:hint="eastAsia" w:ascii="仿宋_GB2312" w:hAnsi="宋体"/>
          <w:color w:val="auto"/>
          <w:szCs w:val="28"/>
        </w:rPr>
        <w:t>（3）对解密环节出错（因系统故障原因导致）的供应商，通过系统的备案功能进行文件上传备案，对备案文件与网上递交的文件不一致（系统通过数字签名进行验证）或备案文件未按照本文件的要求进行编制、签署导致系统无法备案的供应商作</w:t>
      </w:r>
      <w:r>
        <w:rPr>
          <w:rFonts w:hint="eastAsia" w:ascii="仿宋_GB2312" w:hAnsi="宋体"/>
          <w:b/>
          <w:color w:val="auto"/>
          <w:szCs w:val="28"/>
        </w:rPr>
        <w:t>无效投标（响应）处理。</w:t>
      </w:r>
    </w:p>
    <w:p w14:paraId="0C6093C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备案功能故障且系统长时间无法恢复正常的，在采购人或代理机构的监督下可针对所有在平台中已报价的供应商，启用其电子邮件递交的响应文件进行报价，同时报价由线上转为线下，开标、评审均以电子邮件递交的响应文件为准，供应商必须在获取采购文件时留有本单位详细的邮箱和电话，否则由此产生的不利后果由供应商自行承担。对未按规定递交或递交的文件未按要求进行编制、签署的供应商作无效投标（响应）处理。</w:t>
      </w:r>
    </w:p>
    <w:p w14:paraId="590A7E4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25.10应急报价电子邮件递交规定</w:t>
      </w:r>
    </w:p>
    <w:p w14:paraId="3F71B1F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接收电子邮箱：</w:t>
      </w:r>
      <w:r>
        <w:rPr>
          <w:rFonts w:ascii="仿宋_GB2312" w:hAnsi="宋体"/>
          <w:color w:val="auto"/>
          <w:szCs w:val="28"/>
        </w:rPr>
        <w:t>rstprea@163.com</w:t>
      </w:r>
    </w:p>
    <w:p w14:paraId="164ACF2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递交时间：以电子邮件或电话通知的时间为准；</w:t>
      </w:r>
    </w:p>
    <w:p w14:paraId="13347EA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邮件数量：一封；</w:t>
      </w:r>
    </w:p>
    <w:p w14:paraId="532CC45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邮件主题：项目编号、供应商名称；</w:t>
      </w:r>
    </w:p>
    <w:p w14:paraId="2799861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邮件内容：附件含项目所有的已投包段，每个包段含已盖章且未加密的数据文件、响应文件各一份。数据文件、响应文件与网上最终递交的必须为同一文件（可将所投包段的所有文件打包压缩），如果不一致，系统后台会判定为无效投标（响应）文件，导致报价无效。</w:t>
      </w:r>
    </w:p>
    <w:p w14:paraId="31EEF02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25.11启动电子邮件报价流程</w:t>
      </w:r>
    </w:p>
    <w:p w14:paraId="41B5E50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工作人员电话通知所有供应商启动应急报价程序；</w:t>
      </w:r>
    </w:p>
    <w:p w14:paraId="34B105E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供应商收到通知后在规定时间内通过电子邮件递交响应文件（在非应急报价期间采购代理机构不接受、不处理任何通过电子邮件提交的响应文件）；</w:t>
      </w:r>
    </w:p>
    <w:p w14:paraId="2BD50A7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递交截止时间到，工作人员开始下载响应文件，并邮件回复各供应商。</w:t>
      </w:r>
    </w:p>
    <w:p w14:paraId="5C3EB3F3">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26.磋商小组的组成和评审方法</w:t>
      </w:r>
    </w:p>
    <w:p w14:paraId="3F2F606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26.1磋商工作由采购代理机构组织，具体评审事务由依法组建的磋商小组负责。磋商小组成员由采购人代表和评审专家（技术、法律等方面）3人以上单人组成，其中磋商小组的专家人数不得少于磋商小组成员总数的2/3。磋商小组的专家应当依法从山东省政府采购专家库中随机抽取产生。抽取的专家数量无法满足评审要求的，经同级人民政府财政部门核准可以采取选择性确定方式补足。情况特殊，通过随机方式难以确定合适的评审专家的项目，经财政部门同意，可以自行选定评审专家。</w:t>
      </w:r>
    </w:p>
    <w:p w14:paraId="4CE7F3A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26.2按照《政府采购法实施条例》第9条之规定，采购人员及相关人员与供应商有利害关系的应当回避。曾参与竞争性磋商项目征询意见或论证的专家，不得再作为评审专家参加评审。采购人不得以专家身份参与本项目的评审。采购人和采购代理机构工作人员离职或退休不满三年的，不能作为专家参加评审工作。</w:t>
      </w:r>
    </w:p>
    <w:p w14:paraId="1FF1625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26.3磋商小组成员职责：</w:t>
      </w:r>
    </w:p>
    <w:p w14:paraId="07CC7B3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（1）评审前，磋商小组成员应当主动确认与供应商及其供应商是否有利害关系。如有利害关系应当主动回避，如无利害关系，应当在含有相关内容的《无利害关系声明》上签字；</w:t>
      </w:r>
    </w:p>
    <w:p w14:paraId="4C8AE12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（2）按照竞争性磋商文件中的评审办法，对响应文件进行评审，并对评审结果承担责任；</w:t>
      </w:r>
    </w:p>
    <w:p w14:paraId="4B4D474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（3）对评审过程和结果，以及供应商的商业秘密进行保密；</w:t>
      </w:r>
    </w:p>
    <w:p w14:paraId="64DB57DB">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（4）在磋商小组集体起草的评审报告上签字；</w:t>
      </w:r>
    </w:p>
    <w:p w14:paraId="2747E2B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（5）配合采购代理机构答复供应商质疑；</w:t>
      </w:r>
    </w:p>
    <w:p w14:paraId="052B769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（6）配合财政部门处理供应商投诉；</w:t>
      </w:r>
    </w:p>
    <w:p w14:paraId="0744CF9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（7）向财政部门反映评审工作中的问题，提出意见和建议。</w:t>
      </w:r>
    </w:p>
    <w:p w14:paraId="284864E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26.4磋商小组集体职责：</w:t>
      </w:r>
    </w:p>
    <w:p w14:paraId="7F7B4E4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按照各成员评审意见推荐成交候选人，起草评审报告。对评审结论持有异议的磋商小组成员可以书面方式阐述其不同意见和理由。磋商小组成员拒绝在评审报告上签字且不陈述其不同意见和理由的，视为同意评审结论。磋商小组应当对此做出书面说明并记录在案；</w:t>
      </w:r>
    </w:p>
    <w:p w14:paraId="5F13123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（2）配合采购人和采购代理机构答复供应商的质疑；</w:t>
      </w:r>
    </w:p>
    <w:p w14:paraId="3B31958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（3）配合财政部门做好投诉处理工作；</w:t>
      </w:r>
    </w:p>
    <w:p w14:paraId="0983187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（4）必要时，向供应商解释评审结果；</w:t>
      </w:r>
    </w:p>
    <w:p w14:paraId="28584FD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（5）向财政部门或者有关部门报告非法干预评审工作的行为。</w:t>
      </w:r>
    </w:p>
    <w:p w14:paraId="44EA7B3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26.5采购代理机构或采购人的职责：</w:t>
      </w:r>
    </w:p>
    <w:p w14:paraId="53F803E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（1）核对磋商小组专家身份和采购人代表授权函，对磋商小组专家在政府采购活动中的职责履行情况予以记录，并及时将有关违法违规行为向财政部门报告；</w:t>
      </w:r>
    </w:p>
    <w:p w14:paraId="7B3D44A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（2）宣布评审纪律；</w:t>
      </w:r>
    </w:p>
    <w:p w14:paraId="2DC8B36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（3）公布供应商名单，告知磋商小组专家应当回避的情形；</w:t>
      </w:r>
    </w:p>
    <w:p w14:paraId="4F975BF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（4）在评审期间采取必要的通讯管理措施，保证评审活动不受外界干扰；</w:t>
      </w:r>
    </w:p>
    <w:p w14:paraId="75D34DE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（5）根据磋商小组的要求介绍政府采购相关政策法规、磋商文件；</w:t>
      </w:r>
    </w:p>
    <w:p w14:paraId="20DBE09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（6）维护评审秩序，监督磋商小组依照磋商文件规定的磋商程序、方法和标准进行独立评审，及时制止和纠正采购人代表、评审专家的倾向性言论或者违法违规行为；</w:t>
      </w:r>
    </w:p>
    <w:p w14:paraId="76309CC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（7）核对评审结果，有财政部令第87号第六十四条规定的，要求磋商小组复核或者书面说明理由，磋商小组拒绝的，应予记录并向财政部门报告；</w:t>
      </w:r>
    </w:p>
    <w:p w14:paraId="5EF552E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（8）评审工作完成后，按照规定向评审专家支付劳务报酬和异地评审差旅费，不得向评审专家以外的其他人员支付评审劳务报酬；</w:t>
      </w:r>
    </w:p>
    <w:p w14:paraId="04150A6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（9）处理与评审有关的其他事项。</w:t>
      </w:r>
    </w:p>
    <w:p w14:paraId="25AF51E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采购人可以在评审前说明项目背景和采购需求，说明内容不得含有歧视性、倾向性意见，不得超出磋商文件所述范围。说明应当提交书面材料，并随采购文件一并存档。</w:t>
      </w:r>
    </w:p>
    <w:p w14:paraId="286A879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26.6磋商小组采用集中办公、封闭方式进行评审。磋商前，采购代理机构工作人员向磋商小组成员宣布评审纪律和工作规则。磋商小组成员签署《无利害关系声明表》，并遵照执行。</w:t>
      </w:r>
    </w:p>
    <w:p w14:paraId="594DBED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26.7磋商小组成员对与自己有利害关系的评审项目应当主动提出回避。</w:t>
      </w:r>
    </w:p>
    <w:p w14:paraId="02F8A98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26.8磋商小组将按照竞争性磋商文件确定的评审方法进行评审。磋商小组对响应文件的评审内容分为资格性审查、符合性审查、商务评议、技术评议和价格评议。</w:t>
      </w:r>
    </w:p>
    <w:p w14:paraId="6F0FA3E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26.9磋商小组独立履行下列职责：</w:t>
      </w:r>
    </w:p>
    <w:p w14:paraId="4F80361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（1）审查、评价响应文件是否符合磋商文件的商务、技术等实质性要求；</w:t>
      </w:r>
    </w:p>
    <w:p w14:paraId="32B6429A">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（2）要求供应商对响应文件有关事项做出澄清或者说明；</w:t>
      </w:r>
    </w:p>
    <w:p w14:paraId="0288605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（3）对响应文件进行比较和评价；</w:t>
      </w:r>
    </w:p>
    <w:p w14:paraId="5679F55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（4）确定成交候选人名单，以及根据采购人委托直接确定成交供应商；</w:t>
      </w:r>
    </w:p>
    <w:p w14:paraId="22FAACA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（5）向采购人、采购代理机构或者有关部门报告评审中发现的违法行为。</w:t>
      </w:r>
    </w:p>
    <w:p w14:paraId="7E56220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26.10评审中因磋商小组成员缺席、回避或者健康等特殊原因导致磋商小组组成不符合本办法规定的，采购代理机构应当依法补足后继续评审。被更换的磋商小组成员所做出的评审意见无效。</w:t>
      </w:r>
    </w:p>
    <w:p w14:paraId="381301A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无法及时补足磋商小组成员的，采购代理机构应当停止评审活动，封存所有响应文件和报价、评审资料，依法重新组建磋商小组进行评审。原磋商小组做出的评审意见无效。</w:t>
      </w:r>
    </w:p>
    <w:p w14:paraId="4467848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采购代理机构应当将变更、重新组建磋商小组的情况予以记录，并随采购文件一并存档。</w:t>
      </w:r>
    </w:p>
    <w:p w14:paraId="57165BEC">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27.磋商步骤</w:t>
      </w:r>
    </w:p>
    <w:p w14:paraId="4DE8DE9A">
      <w:pPr>
        <w:spacing w:line="560" w:lineRule="exact"/>
        <w:ind w:firstLine="562" w:firstLineChars="201"/>
        <w:rPr>
          <w:rFonts w:ascii="仿宋_GB2312" w:hAnsi="仿宋" w:cs="宋体"/>
          <w:color w:val="auto"/>
          <w:szCs w:val="28"/>
        </w:rPr>
      </w:pPr>
      <w:r>
        <w:rPr>
          <w:rFonts w:hint="eastAsia" w:ascii="仿宋_GB2312" w:hAnsi="宋体"/>
          <w:color w:val="auto"/>
          <w:szCs w:val="28"/>
        </w:rPr>
        <w:t>27.1</w:t>
      </w:r>
      <w:r>
        <w:rPr>
          <w:rFonts w:hint="eastAsia" w:ascii="仿宋_GB2312" w:hAnsi="仿宋" w:cs="宋体"/>
          <w:color w:val="auto"/>
          <w:szCs w:val="28"/>
        </w:rPr>
        <w:t>资格性审查。</w:t>
      </w:r>
      <w:r>
        <w:rPr>
          <w:rFonts w:hint="eastAsia" w:ascii="仿宋_GB2312" w:hAnsi="宋体"/>
          <w:color w:val="auto"/>
          <w:szCs w:val="28"/>
        </w:rPr>
        <w:t>依据竞争性磋商文件规定在采购项目报价结束后, 磋商小组应当依照有关法律和磋商文件的规定对供应商的资格性审查，</w:t>
      </w:r>
      <w:r>
        <w:rPr>
          <w:rFonts w:hint="eastAsia" w:ascii="仿宋_GB2312" w:hAnsi="仿宋" w:cs="宋体"/>
          <w:b/>
          <w:color w:val="auto"/>
          <w:szCs w:val="28"/>
        </w:rPr>
        <w:t>具体内容详见《响应须知》-《实质性条款一览表》中资格性审查条件</w:t>
      </w:r>
      <w:r>
        <w:rPr>
          <w:rFonts w:hint="eastAsia" w:ascii="仿宋_GB2312" w:hAnsi="宋体"/>
          <w:color w:val="auto"/>
          <w:szCs w:val="28"/>
        </w:rPr>
        <w:t>。合格供应商不足3家的，不得评审。在资格性检查时,如有下列情况之一的，经磋商小组认定，视为非实质性响应，为</w:t>
      </w:r>
      <w:r>
        <w:rPr>
          <w:rFonts w:hint="eastAsia" w:ascii="仿宋_GB2312" w:hAnsi="宋体"/>
          <w:b/>
          <w:color w:val="auto"/>
          <w:szCs w:val="28"/>
        </w:rPr>
        <w:t>无效投标（响应）</w:t>
      </w:r>
      <w:r>
        <w:rPr>
          <w:rFonts w:hint="eastAsia" w:ascii="仿宋_GB2312" w:hAnsi="宋体"/>
          <w:color w:val="auto"/>
          <w:szCs w:val="28"/>
        </w:rPr>
        <w:t>：</w:t>
      </w:r>
    </w:p>
    <w:p w14:paraId="7815BC7B">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1.单位负责人为同一人或者存在直接控股、管理关系的不同供应商的；</w:t>
      </w:r>
    </w:p>
    <w:p w14:paraId="5775E09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2.为采购项目提供整体设计、规范编制或者项目管理、监理、检测等服务的；</w:t>
      </w:r>
    </w:p>
    <w:p w14:paraId="5B72535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3.供应商和响应货物资格证明文件不满足磋商文件要求和过期失效的。</w:t>
      </w:r>
    </w:p>
    <w:p w14:paraId="56270B82">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27.1.1按照《关于做好政府采购信用信息查询使用及登记工作的通知》（鲁财采[2016]34号）的要求，采购人（采购代理机构）在报价当日查询“信用中国”网站（www.creditchina.gov.cn）、中国政府采购网（www.ccgp.gov.cn）、“信用山东”网站（</w:t>
      </w:r>
      <w:r>
        <w:rPr>
          <w:rFonts w:ascii="仿宋_GB2312" w:hAnsi="仿宋" w:cs="宋体"/>
          <w:color w:val="auto"/>
          <w:szCs w:val="28"/>
        </w:rPr>
        <w:t>credit.shandong.gov.cn</w:t>
      </w:r>
      <w:r>
        <w:rPr>
          <w:rFonts w:hint="eastAsia" w:ascii="仿宋_GB2312" w:hAnsi="仿宋" w:cs="宋体"/>
          <w:color w:val="auto"/>
          <w:szCs w:val="28"/>
        </w:rPr>
        <w:t>）中的登记信息，对查询结果中涉及已列入失信被执行人、重大税收违法案件当事人名单、政府采购严重违法失信行为记录名单及其他不符合《中华人民共和国政府采购法》第二十二条规定条件的供应商，将拒绝其继续参与政府采购活动。以联合体形式参加报价的，联合体任何成员存在以上不良信用记录的，联合体响应将被认定为响应无效。</w:t>
      </w:r>
    </w:p>
    <w:p w14:paraId="13B51E98">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27.1.2采购人或采购代理机构将信用记录查询情况签字并存档备查。供应商信用记录情况以采购人或采购代理机构查询结果为准。供应商自行提供的与网站信息不一致的其他证明材料亦不作为资格审查的依据。</w:t>
      </w:r>
    </w:p>
    <w:p w14:paraId="2BB4811B">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27.1.3在本磋商文件规定的查询时间之后，网站信息发生的任何变更均不再作为评审依据。</w:t>
      </w:r>
    </w:p>
    <w:p w14:paraId="19C7415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27.2符合性审查。依据竞争性磋商文件规定，从响应文件的有效性、完整性和对竞争性磋商文件的响应程度进行符合性审查，以确定是否对竞争性磋商文件的实质性要求做出响应。磋商小组决定其响应性只根据响应文件本身的内容，而不依据外部的证据。在符合性检查时,如有不满足</w:t>
      </w:r>
      <w:r>
        <w:rPr>
          <w:rFonts w:hint="eastAsia" w:ascii="仿宋_GB2312" w:hAnsi="宋体"/>
          <w:b/>
          <w:color w:val="auto"/>
          <w:szCs w:val="28"/>
        </w:rPr>
        <w:t>《响应须知》-《实质性条款一览表》中符合性审查条件</w:t>
      </w:r>
      <w:r>
        <w:rPr>
          <w:rFonts w:hint="eastAsia" w:ascii="仿宋_GB2312" w:hAnsi="宋体"/>
          <w:color w:val="auto"/>
          <w:szCs w:val="28"/>
        </w:rPr>
        <w:t>情况之一的，经磋商小组认定，视为非实质性响应，为</w:t>
      </w:r>
      <w:r>
        <w:rPr>
          <w:rFonts w:hint="eastAsia" w:ascii="仿宋_GB2312" w:hAnsi="宋体"/>
          <w:b/>
          <w:color w:val="auto"/>
          <w:szCs w:val="28"/>
        </w:rPr>
        <w:t>无效投标（响应）</w:t>
      </w:r>
      <w:r>
        <w:rPr>
          <w:rFonts w:hint="eastAsia" w:ascii="仿宋_GB2312" w:hAnsi="宋体"/>
          <w:color w:val="auto"/>
          <w:szCs w:val="28"/>
        </w:rPr>
        <w:t>。</w:t>
      </w:r>
    </w:p>
    <w:p w14:paraId="21D366E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27.3磋商小组所有成员集中与单一供应商分别进行磋商。不到现场的</w:t>
      </w:r>
      <w:r>
        <w:rPr>
          <w:rFonts w:hint="eastAsia" w:ascii="仿宋_GB2312" w:hAnsi="仿宋" w:cs="宋体"/>
          <w:color w:val="auto"/>
          <w:szCs w:val="28"/>
        </w:rPr>
        <w:t>供应商可以使用系统“网上评标”中的“谈判”功能与评审专家进行远程谈判。</w:t>
      </w:r>
      <w:r>
        <w:rPr>
          <w:rFonts w:hint="eastAsia" w:ascii="仿宋_GB2312" w:hAnsi="宋体"/>
          <w:color w:val="auto"/>
          <w:szCs w:val="28"/>
        </w:rPr>
        <w:t>在磋商过程中，磋商小组可以根据响应文件和响应情况实质性变动采购需求中的技术、服务要求以及合同草案条款，但不得变动响应文件中的其他内容。实质性变动的内容，须经采购人代表确认。</w:t>
      </w:r>
    </w:p>
    <w:p w14:paraId="4C43A7A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对响应文件做出的实质性变动是响应文件的有效组成部分，磋商小组应当及时以书面形式同时通知所有参加磋商的供应商。</w:t>
      </w:r>
    </w:p>
    <w:p w14:paraId="0842762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供应商应当按照响应文件的变动情况和磋商小组的要求重新提交响应文件，并由其法定代表人或其被授权人签字或者加盖公章。由被授权人签字的，应当附法定代表人授权书。供应商为自然人的，应当由本人签字并附身份证明。</w:t>
      </w:r>
    </w:p>
    <w:p w14:paraId="0E7D80E1">
      <w:pPr>
        <w:snapToGrid w:val="0"/>
        <w:spacing w:line="560" w:lineRule="exact"/>
        <w:ind w:firstLine="562" w:firstLineChars="201"/>
        <w:rPr>
          <w:rFonts w:ascii="仿宋_GB2312" w:hAnsi="宋体"/>
          <w:color w:val="auto"/>
          <w:szCs w:val="28"/>
        </w:rPr>
      </w:pPr>
      <w:r>
        <w:rPr>
          <w:rFonts w:ascii="仿宋_GB2312" w:hAnsi="宋体"/>
          <w:color w:val="auto"/>
          <w:szCs w:val="28"/>
        </w:rPr>
        <w:t>经磋商小组集体审核通过，未实质性响应磋商文件的响应文件按无效投标（响应）处理，磋商小组应当告知提交响应文件的供应商，说明其不符合要求的原因，由其法定代表人或授权代表签字确认，供应商代表拒不签字的，并不影响磋商小组所做出的结论。</w:t>
      </w:r>
    </w:p>
    <w:p w14:paraId="7B736AF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27.4经磋商小组经确定最终采购需求和实质性响应的供应商后，磋商小组应当要求所有实质性响应的供应商在规定时间内提交最后报价，由磋商小组采用综合评分法对提交最后报价的所有供应商的进行综合评分。</w:t>
      </w:r>
    </w:p>
    <w:p w14:paraId="02FEB0C1">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28.响应文件的澄清</w:t>
      </w:r>
    </w:p>
    <w:p w14:paraId="26F4A4B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28.1磋商小组有权向供应商询标，对于响应文件中含义不明确、同类问题表述不一致或者有明显文字和计算错误的内容，磋商小组应当以书面形式要求供应商做出必要的澄清、说明或者补正。请供应商澄清其响应内容，供应商法定代表人或其授权人必须接受磋商小组的询标，未在磋商小组规定的时间内，对重大关键问题进行答疑和澄清的供应商，经磋商小组确认可视为供应商放弃响应。</w:t>
      </w:r>
    </w:p>
    <w:p w14:paraId="078BF17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28.2供应商的澄清、说明或者补正应当采用书面形式，由法定代表人或其被授权人签字或者加盖公章，或者由法定代表人或其授权的代表签字。供应商为自然人的，应当由本人签字并附身份证明。供应商的澄清、说明或者更正不得超出响应文件的范围或者改变对响应文件的实质性内容。此书面文件是响应文件的组成部分。</w:t>
      </w:r>
    </w:p>
    <w:p w14:paraId="2FD631BF">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29.响应文件的评价</w:t>
      </w:r>
    </w:p>
    <w:p w14:paraId="65F371F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29.1评审采用百分制。磋商小组各成员分别独立对实质上响应响应文件的供应商进行逐项评价打分，对磋商小组各成员每一因素的打分汇总后的得分为供应商的得分。</w:t>
      </w:r>
    </w:p>
    <w:p w14:paraId="4F9019BA">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29.2响应文件内容违反国家有关强制性规定的，磋商小组应当停止评审并向采购人或者采购代理机构说明情况。</w:t>
      </w:r>
    </w:p>
    <w:p w14:paraId="3420DDF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29.3根据《中华人民共和国政府采购法实施条例》和《关于进一步规范政府采购评审工作有关问题的通知》（财库〔2012〕69号）的规定，磋商小组成员要依法独立评审，并对评审意见承担个人责任。磋商小组成员对需要共同认定的事项存在争议的，按照少数服从多数的原则做出结论。持不同意见的磋商小组成员应当在评审报告上签署不同意见并说明理由，否则视为同意。</w:t>
      </w:r>
    </w:p>
    <w:p w14:paraId="3679FA4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29.4磋商小组对确定为实质上响应磋商文件的响应文件进行政策功能评价，如涉及以下内容，具体标准为：</w:t>
      </w:r>
    </w:p>
    <w:p w14:paraId="5D861A8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①所报产品属于《关于调整优化节能产品、环境标志产品政府采购执行机制的通知》（财库〔2019〕9号）规定的政府优先采购范围的，投标（响应）文件中需提供国家确定的认证机构出具的、处于有效期之内的节能产品、环境标志产品认证证书扫描件。采用综合评分法的项目在打分时由评委根据各供应商所报节能、环保产品的报价在其总报价中所占的比重，分别给予报价和技术部分总分值×（节能、环保产品报价/总报价）×5％的加分。所报产品属于《节能产品政府采购品目清单》中规定的政府强制采购节能品目的，不给予优惠政策的加分/价格扣除。</w:t>
      </w:r>
    </w:p>
    <w:p w14:paraId="6AA4C43E">
      <w:pPr>
        <w:spacing w:line="560" w:lineRule="exact"/>
        <w:ind w:firstLine="562" w:firstLineChars="201"/>
        <w:rPr>
          <w:rFonts w:ascii="仿宋_GB2312" w:hAnsi="宋体"/>
          <w:color w:val="auto"/>
          <w:szCs w:val="28"/>
        </w:rPr>
      </w:pPr>
      <w:r>
        <w:rPr>
          <w:rFonts w:hint="eastAsia" w:ascii="仿宋_GB2312" w:hAnsi="宋体"/>
          <w:color w:val="auto"/>
          <w:szCs w:val="28"/>
        </w:rPr>
        <w:t>②</w:t>
      </w:r>
      <w:r>
        <w:rPr>
          <w:rFonts w:ascii="仿宋_GB2312" w:hAnsi="宋体"/>
          <w:color w:val="auto"/>
          <w:szCs w:val="28"/>
        </w:rPr>
        <w:t>本项目为专门面向中小企业采购项目，供应商提供的货物、工程或服务需满足财政部、工信部等部委发布的《关于印发&lt;政府采购促进中小企业发展管理办法&gt;的通知》（财库〔2020〕46号）中关于中小企业的规定。</w:t>
      </w:r>
    </w:p>
    <w:p w14:paraId="03A76029">
      <w:pPr>
        <w:spacing w:line="560" w:lineRule="exact"/>
        <w:ind w:firstLine="562" w:firstLineChars="201"/>
        <w:rPr>
          <w:rFonts w:ascii="仿宋_GB2312" w:hAnsi="仿宋" w:cs="宋体"/>
          <w:color w:val="auto"/>
          <w:szCs w:val="28"/>
        </w:rPr>
      </w:pPr>
      <w:r>
        <w:rPr>
          <w:rFonts w:hint="eastAsia" w:ascii="仿宋_GB2312" w:hAnsi="宋体"/>
          <w:color w:val="auto"/>
          <w:szCs w:val="28"/>
        </w:rPr>
        <w:t>③</w:t>
      </w:r>
      <w:r>
        <w:rPr>
          <w:rFonts w:ascii="仿宋_GB2312" w:hAnsi="宋体"/>
          <w:color w:val="auto"/>
          <w:szCs w:val="28"/>
        </w:rPr>
        <w:t>若投标人为监狱企业，根据财政部、司法部发布的《关于政府采购支持监狱企业发展有关问题的通知》（财库〔2014〕68号）的规定，在政府采购活动中，视同小型、微型企业。投标时须提供省级以上监狱管理局、戒毒管理局（含新疆生产建设兵团）出具的属于监狱企业的证明文件，否则不享受相关政策。</w:t>
      </w:r>
    </w:p>
    <w:p w14:paraId="142EE91B">
      <w:pPr>
        <w:snapToGrid w:val="0"/>
        <w:spacing w:line="560" w:lineRule="exact"/>
        <w:ind w:firstLine="562" w:firstLineChars="201"/>
        <w:rPr>
          <w:rFonts w:ascii="仿宋_GB2312" w:hAnsi="仿宋" w:cs="宋体"/>
          <w:color w:val="auto"/>
          <w:szCs w:val="28"/>
        </w:rPr>
      </w:pPr>
      <w:r>
        <w:rPr>
          <w:rFonts w:hint="eastAsia" w:ascii="仿宋_GB2312" w:hAnsi="仿宋" w:cs="宋体"/>
          <w:color w:val="auto"/>
          <w:szCs w:val="28"/>
        </w:rPr>
        <w:t>④</w:t>
      </w:r>
      <w:r>
        <w:rPr>
          <w:rFonts w:ascii="仿宋_GB2312" w:hAnsi="仿宋" w:cs="宋体"/>
          <w:color w:val="auto"/>
          <w:szCs w:val="28"/>
        </w:rPr>
        <w:t>若投标人为残疾人福利性单位，在政府采购活动中，视同小型、微型企业，投标时残疾人福利性单位需符合《财政部民政部中国残疾人联合会关于促进残疾人就业政府采购政策的通知》（财库〔2017〕141号）规定的条件，并提供《残疾人福利性单位声明函》，否则不享受相关政策。</w:t>
      </w:r>
    </w:p>
    <w:p w14:paraId="3F4BD3AA">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29.5供应商有下列情形之一的，视为供应商串通响应，其</w:t>
      </w:r>
      <w:r>
        <w:rPr>
          <w:rFonts w:hint="eastAsia" w:ascii="仿宋_GB2312" w:hAnsi="宋体"/>
          <w:b/>
          <w:color w:val="auto"/>
          <w:szCs w:val="28"/>
        </w:rPr>
        <w:t>响应无效</w:t>
      </w:r>
      <w:r>
        <w:rPr>
          <w:rFonts w:hint="eastAsia" w:ascii="仿宋_GB2312" w:hAnsi="宋体"/>
          <w:color w:val="auto"/>
          <w:szCs w:val="28"/>
        </w:rPr>
        <w:t>：</w:t>
      </w:r>
    </w:p>
    <w:p w14:paraId="2807386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（1）不同供应商的响应文件由同一单位或者个人编制；</w:t>
      </w:r>
    </w:p>
    <w:p w14:paraId="3306C0B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（2）不同供应商委托同一单位或者个人办理响应事宜；</w:t>
      </w:r>
    </w:p>
    <w:p w14:paraId="3C3E693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（3）不同供应商的响应文件载明的项目管理成员或者联系人员为同一人；</w:t>
      </w:r>
    </w:p>
    <w:p w14:paraId="2E95A87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（4）不同供应商的响应文件异常一致或者响应报价呈规律性差异；</w:t>
      </w:r>
    </w:p>
    <w:p w14:paraId="7DD9475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（5）不同供应商的响应文件相互混装；</w:t>
      </w:r>
    </w:p>
    <w:p w14:paraId="1CA76FA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（6）不同供应商的磋商保证金从同一单位或者个人的账户转出。</w:t>
      </w:r>
    </w:p>
    <w:p w14:paraId="34B4DC5E">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30.废标条款</w:t>
      </w:r>
    </w:p>
    <w:p w14:paraId="13FF11E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在竞争性磋商采购中，出现下列情形之一的，应予废标：</w:t>
      </w:r>
    </w:p>
    <w:p w14:paraId="71CA09B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（1）因情况变化，不再适合竞争性磋商采购方式适用情形的；</w:t>
      </w:r>
    </w:p>
    <w:p w14:paraId="4F06C4D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（2）出现影响采购公正的违法、违规行为的；</w:t>
      </w:r>
    </w:p>
    <w:p w14:paraId="1B2AAA7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（3）除《政府采购竞争性磋商采购方式管理暂行办法》第二十一条第三款规定的情形外，在采购过程中符合要求的供应商不足3家的。</w:t>
      </w:r>
    </w:p>
    <w:p w14:paraId="5EC80F36">
      <w:pPr>
        <w:spacing w:line="560" w:lineRule="exact"/>
        <w:ind w:firstLine="565" w:firstLineChars="201"/>
        <w:rPr>
          <w:rFonts w:ascii="楷体_GB2312" w:hAnsi="仿宋" w:eastAsia="楷体_GB2312" w:cs="宋体"/>
          <w:b/>
          <w:color w:val="auto"/>
          <w:szCs w:val="28"/>
        </w:rPr>
      </w:pPr>
      <w:r>
        <w:rPr>
          <w:rFonts w:hint="eastAsia" w:ascii="楷体_GB2312" w:hAnsi="仿宋" w:eastAsia="楷体_GB2312" w:cs="宋体"/>
          <w:b/>
          <w:color w:val="auto"/>
          <w:szCs w:val="28"/>
        </w:rPr>
        <w:t>31.保密要求</w:t>
      </w:r>
    </w:p>
    <w:p w14:paraId="2BE63E31">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评审将在严格保密的情况下进行。有关人员</w:t>
      </w:r>
      <w:r>
        <w:rPr>
          <w:rFonts w:ascii="仿宋_GB2312" w:hAnsi="仿宋" w:cs="宋体"/>
          <w:color w:val="auto"/>
          <w:szCs w:val="28"/>
        </w:rPr>
        <w:t>应当</w:t>
      </w:r>
      <w:r>
        <w:rPr>
          <w:rFonts w:hint="eastAsia" w:ascii="仿宋_GB2312" w:hAnsi="仿宋" w:cs="宋体"/>
          <w:color w:val="auto"/>
          <w:szCs w:val="28"/>
        </w:rPr>
        <w:t>遵</w:t>
      </w:r>
      <w:r>
        <w:rPr>
          <w:rFonts w:ascii="仿宋_GB2312" w:hAnsi="仿宋" w:cs="宋体"/>
          <w:color w:val="auto"/>
          <w:szCs w:val="28"/>
        </w:rPr>
        <w:t>守评审工作纪律，</w:t>
      </w:r>
      <w:r>
        <w:rPr>
          <w:rFonts w:hint="eastAsia" w:ascii="仿宋_GB2312" w:hAnsi="仿宋" w:cs="宋体"/>
          <w:b/>
          <w:bCs/>
          <w:color w:val="auto"/>
          <w:szCs w:val="28"/>
        </w:rPr>
        <w:t>不得记录、复制或者带走任何评审资料</w:t>
      </w:r>
      <w:r>
        <w:rPr>
          <w:rFonts w:hint="eastAsia" w:ascii="仿宋_GB2312" w:hAnsi="仿宋" w:cs="宋体"/>
          <w:color w:val="auto"/>
          <w:szCs w:val="28"/>
        </w:rPr>
        <w:t>，</w:t>
      </w:r>
      <w:r>
        <w:rPr>
          <w:rFonts w:ascii="仿宋_GB2312" w:hAnsi="仿宋" w:cs="宋体"/>
          <w:color w:val="auto"/>
          <w:szCs w:val="28"/>
        </w:rPr>
        <w:t>不得</w:t>
      </w:r>
      <w:r>
        <w:rPr>
          <w:rFonts w:hint="eastAsia" w:ascii="仿宋_GB2312" w:hAnsi="仿宋" w:cs="宋体"/>
          <w:color w:val="auto"/>
          <w:szCs w:val="28"/>
        </w:rPr>
        <w:t>泄露</w:t>
      </w:r>
      <w:r>
        <w:rPr>
          <w:rFonts w:ascii="仿宋_GB2312" w:hAnsi="仿宋" w:cs="宋体"/>
          <w:color w:val="auto"/>
          <w:szCs w:val="28"/>
        </w:rPr>
        <w:t>评审</w:t>
      </w:r>
      <w:r>
        <w:rPr>
          <w:rFonts w:hint="eastAsia" w:ascii="仿宋_GB2312" w:hAnsi="仿宋" w:cs="宋体"/>
          <w:color w:val="auto"/>
          <w:szCs w:val="28"/>
        </w:rPr>
        <w:t>文件</w:t>
      </w:r>
      <w:r>
        <w:rPr>
          <w:rFonts w:ascii="仿宋_GB2312" w:hAnsi="仿宋" w:cs="宋体"/>
          <w:color w:val="auto"/>
          <w:szCs w:val="28"/>
        </w:rPr>
        <w:t>、评审情况和评审中获悉的商业秘密。</w:t>
      </w:r>
    </w:p>
    <w:p w14:paraId="3B6D2A3E">
      <w:pPr>
        <w:pStyle w:val="3"/>
        <w:ind w:firstLine="562"/>
        <w:rPr>
          <w:color w:val="auto"/>
        </w:rPr>
      </w:pPr>
      <w:r>
        <w:rPr>
          <w:rFonts w:hint="eastAsia"/>
          <w:color w:val="auto"/>
        </w:rPr>
        <w:t>六、成交</w:t>
      </w:r>
    </w:p>
    <w:p w14:paraId="2442FFC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磋商小组应当根据综合评分情况，按照评审得分由高到低顺序推荐成交候选供应商，并编写评审报告。评审得分相同的，按照最后报价由低到高的顺序推荐。评审得分相同且最后报价相同的，按照技术指标优劣顺序推荐（即按技术因素得分由高到低的顺序推荐）。</w:t>
      </w:r>
    </w:p>
    <w:p w14:paraId="45615C3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评审报告应当由磋商小组全体人员签字认可。磋商小组成员对评审报告有异议的，磋商小组按照少数服从多数的原则推荐成交候选供应商，采购程序继续进行。对评审报告有异议的磋商小组成员，应当在报告上签署不同意见并说明理由，由磋商小组书面记录相关情况。磋商小组成员拒绝在报告上签字又不书面说明其不同意见和理由的，视为同意评审报告。</w:t>
      </w:r>
    </w:p>
    <w:p w14:paraId="7E968A0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采购代理机构应当在评审结束后2个工作日内将评审报告送采购人确认。采购人应当在收到评审报告后5个工作日内，从评审报告提出的成交候选供应商中，按照排序由高到低的原则确定成交供应商，也可以授权磋商小组直接确定成交供应商。采购人逾期未确定成交供应商且不提出异议的，视为确定评审报告提出的排序第一的供应商为成交供应商。</w:t>
      </w:r>
    </w:p>
    <w:p w14:paraId="5A22FC9A">
      <w:pPr>
        <w:pStyle w:val="3"/>
        <w:ind w:firstLine="562"/>
        <w:rPr>
          <w:color w:val="auto"/>
        </w:rPr>
      </w:pPr>
      <w:r>
        <w:rPr>
          <w:rFonts w:hint="eastAsia"/>
          <w:color w:val="auto"/>
        </w:rPr>
        <w:t>七、公告</w:t>
      </w:r>
    </w:p>
    <w:p w14:paraId="1B3FE960">
      <w:pPr>
        <w:spacing w:line="560" w:lineRule="exact"/>
        <w:ind w:firstLine="565" w:firstLineChars="201"/>
        <w:rPr>
          <w:rFonts w:ascii="楷体_GB2312" w:hAnsi="仿宋" w:eastAsia="楷体_GB2312" w:cs="宋体"/>
          <w:b/>
          <w:color w:val="auto"/>
          <w:szCs w:val="28"/>
        </w:rPr>
      </w:pPr>
      <w:r>
        <w:rPr>
          <w:rFonts w:hint="eastAsia" w:ascii="楷体_GB2312" w:hAnsi="仿宋" w:eastAsia="楷体_GB2312" w:cs="宋体"/>
          <w:b/>
          <w:color w:val="auto"/>
          <w:szCs w:val="28"/>
        </w:rPr>
        <w:t>32.公告</w:t>
      </w:r>
    </w:p>
    <w:p w14:paraId="0B58210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32.1采购代理机构自成交供应商确定之日起2个工作日内，在中国山东政府采购网、威海市公共资源交易网、威海市公共资源交易网（乳山分中心）上公告成交结果。成交公告期限为1个工作日。成交公告应当包括下列内容：</w:t>
      </w:r>
    </w:p>
    <w:p w14:paraId="3C608BA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（1）采购人、代理机构的名称、地址和联系方式；</w:t>
      </w:r>
    </w:p>
    <w:p w14:paraId="69D073F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（2）项目名称和项目编号；</w:t>
      </w:r>
    </w:p>
    <w:p w14:paraId="6EC5E59B">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（3）成交供应商名称、地址和成交金额；</w:t>
      </w:r>
    </w:p>
    <w:p w14:paraId="755358E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（4）主要成交标的名称、规格型号、数量、单价、服务要求；</w:t>
      </w:r>
    </w:p>
    <w:p w14:paraId="69FD70A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（5）成交公告期限；</w:t>
      </w:r>
    </w:p>
    <w:p w14:paraId="2035B379">
      <w:pPr>
        <w:snapToGrid w:val="0"/>
        <w:spacing w:line="560" w:lineRule="exact"/>
        <w:ind w:firstLine="562" w:firstLineChars="201"/>
        <w:rPr>
          <w:rFonts w:ascii="仿宋_GB2312" w:hAnsi="宋体"/>
          <w:color w:val="auto"/>
          <w:szCs w:val="28"/>
        </w:rPr>
      </w:pPr>
      <w:r>
        <w:rPr>
          <w:rFonts w:hint="eastAsia" w:ascii="仿宋_GB2312" w:hAnsi="宋体"/>
          <w:color w:val="auto"/>
          <w:szCs w:val="28"/>
        </w:rPr>
        <w:t>（6）评审专家名单；</w:t>
      </w:r>
    </w:p>
    <w:p w14:paraId="0B94097B">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（7）供应商</w:t>
      </w:r>
      <w:r>
        <w:rPr>
          <w:rFonts w:ascii="仿宋_GB2312" w:hAnsi="仿宋" w:cs="宋体"/>
          <w:color w:val="auto"/>
          <w:szCs w:val="28"/>
        </w:rPr>
        <w:t>未中标的原因</w:t>
      </w:r>
      <w:r>
        <w:rPr>
          <w:rFonts w:hint="eastAsia" w:ascii="仿宋_GB2312" w:hAnsi="仿宋" w:cs="宋体"/>
          <w:color w:val="auto"/>
          <w:szCs w:val="28"/>
        </w:rPr>
        <w:t>；</w:t>
      </w:r>
    </w:p>
    <w:p w14:paraId="3027598F">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（8）采用综合评分法评审的，还将告知未中标人本人的评审得分和排序。</w:t>
      </w:r>
    </w:p>
    <w:p w14:paraId="0F41C33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32.2采购代理机构应当在公告成交结果的同时，向成交供应商发出《成交通知书》；对未通过资格审查的供应商，应当告知其未通过的原因；《成交通知书》是合同的组成部分,对成交供应商和采购人具有同等法律效力。《成交通知书》发出后，采购人不得违法改变成交结果，成交供应商无正当理由不得放弃成交。</w:t>
      </w:r>
    </w:p>
    <w:p w14:paraId="586028AB">
      <w:pPr>
        <w:pStyle w:val="3"/>
        <w:ind w:firstLine="562"/>
        <w:rPr>
          <w:color w:val="auto"/>
        </w:rPr>
      </w:pPr>
      <w:r>
        <w:rPr>
          <w:rFonts w:hint="eastAsia"/>
          <w:color w:val="auto"/>
        </w:rPr>
        <w:t>八、质疑</w:t>
      </w:r>
    </w:p>
    <w:p w14:paraId="7B7B2380">
      <w:pPr>
        <w:snapToGrid w:val="0"/>
        <w:spacing w:line="560" w:lineRule="exact"/>
        <w:ind w:firstLine="565" w:firstLineChars="201"/>
        <w:rPr>
          <w:rFonts w:ascii="楷体_GB2312" w:hAnsi="宋体" w:eastAsia="楷体_GB2312"/>
          <w:b/>
          <w:color w:val="auto"/>
          <w:szCs w:val="28"/>
        </w:rPr>
      </w:pPr>
      <w:r>
        <w:rPr>
          <w:rFonts w:hint="eastAsia" w:ascii="楷体_GB2312" w:hAnsi="宋体" w:eastAsia="楷体_GB2312"/>
          <w:b/>
          <w:color w:val="auto"/>
          <w:szCs w:val="28"/>
        </w:rPr>
        <w:t>33.质疑</w:t>
      </w:r>
    </w:p>
    <w:p w14:paraId="2243DEE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33.1供应商对政府采购活动事项有疑问的，可以向采购人和采购代理机构提出询问，采购人和采购代理机构应当在3个工作日内做出答复，但答复的内容不得涉及商业秘密。供应商提出的询问或者质疑超出采购人对采购代理机构委托授权范围的，采购代理机构应当告知供应商向采购人提出。</w:t>
      </w:r>
    </w:p>
    <w:p w14:paraId="04A267BA">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33.2供应商对采购需求有疑问的，应在采购需求公示期内向采购人提出询问，采购人应当在收到询问后3个工作日内做出答复。</w:t>
      </w:r>
    </w:p>
    <w:p w14:paraId="013494A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33.3供应商认为采购文件、采购过程、成交结果使自己的权益受到损害的，可以在知道或者应知其权益受到损害之日起7个工作日内，以书面形式向采购人或采购代理机构提出质疑，采购人和采购代理机构应当在收到供应商的书面质疑后7个工作日内做出书面答复。</w:t>
      </w:r>
    </w:p>
    <w:p w14:paraId="65A23FBB">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33.4提出质疑的供应商应当是参与本项目采购活动的供应商。</w:t>
      </w:r>
    </w:p>
    <w:p w14:paraId="1F49B4C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33.5潜在供应商已依法获取其可质疑的采购文件的，可以对该文件提出质疑。对采购文件提出质疑的，应当在获取采购文件或者采购文件公告期限届满之日起7个工作日内提出。</w:t>
      </w:r>
    </w:p>
    <w:p w14:paraId="7019D06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33.6供应商应在法定质疑期内一次性提出针对同一采购程序环节的质疑。</w:t>
      </w:r>
    </w:p>
    <w:p w14:paraId="42AE42B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33.7质疑采用实名制，为了使提出的质疑事项在规定时间内得到有效答复、处理，提交的质疑函务必提供以下内容。</w:t>
      </w:r>
    </w:p>
    <w:p w14:paraId="3F16774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（1）供应商的姓名或名称、地址（邮箱）、邮编、联系人及联系电话；</w:t>
      </w:r>
    </w:p>
    <w:p w14:paraId="2D92C958">
      <w:pPr>
        <w:snapToGrid w:val="0"/>
        <w:spacing w:line="560" w:lineRule="exact"/>
        <w:ind w:firstLine="562" w:firstLineChars="201"/>
        <w:rPr>
          <w:rFonts w:ascii="仿宋_GB2312" w:hAnsi="宋体"/>
          <w:color w:val="auto"/>
          <w:szCs w:val="28"/>
        </w:rPr>
      </w:pPr>
      <w:r>
        <w:rPr>
          <w:rFonts w:hint="eastAsia" w:ascii="仿宋_GB2312" w:hAnsi="宋体"/>
          <w:color w:val="auto"/>
          <w:szCs w:val="28"/>
        </w:rPr>
        <w:t>（2）质疑项目的名称、编号；</w:t>
      </w:r>
    </w:p>
    <w:p w14:paraId="4BA3C1C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（3）具体、明确的质疑事项和与质疑事项相关的请求；</w:t>
      </w:r>
    </w:p>
    <w:p w14:paraId="556C5ED1">
      <w:pPr>
        <w:snapToGrid w:val="0"/>
        <w:spacing w:line="560" w:lineRule="exact"/>
        <w:ind w:firstLine="562" w:firstLineChars="201"/>
        <w:rPr>
          <w:rFonts w:ascii="仿宋_GB2312" w:hAnsi="宋体"/>
          <w:color w:val="auto"/>
          <w:szCs w:val="28"/>
        </w:rPr>
      </w:pPr>
      <w:r>
        <w:rPr>
          <w:rFonts w:hint="eastAsia" w:ascii="仿宋_GB2312" w:hAnsi="宋体"/>
          <w:color w:val="auto"/>
          <w:szCs w:val="28"/>
        </w:rPr>
        <w:t>（4）事实依据；</w:t>
      </w:r>
    </w:p>
    <w:p w14:paraId="49557143">
      <w:pPr>
        <w:snapToGrid w:val="0"/>
        <w:spacing w:line="560" w:lineRule="exact"/>
        <w:ind w:firstLine="562" w:firstLineChars="201"/>
        <w:rPr>
          <w:rFonts w:ascii="仿宋_GB2312" w:hAnsi="宋体"/>
          <w:color w:val="auto"/>
          <w:szCs w:val="28"/>
        </w:rPr>
      </w:pPr>
      <w:r>
        <w:rPr>
          <w:rFonts w:hint="eastAsia" w:ascii="仿宋_GB2312" w:hAnsi="宋体"/>
          <w:color w:val="auto"/>
          <w:szCs w:val="28"/>
        </w:rPr>
        <w:t>（5）必要的法律依据；</w:t>
      </w:r>
    </w:p>
    <w:p w14:paraId="0D4F184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（6）提出质疑的日期。</w:t>
      </w:r>
    </w:p>
    <w:p w14:paraId="5F812D6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供应商为自然人的，应当由本人签字；供应商为法人或者其他组织的，应当由法定代表人、主要负责人，或者其被授权人签字或者盖章，并加盖公章。</w:t>
      </w:r>
    </w:p>
    <w:p w14:paraId="06B3DB6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33.8质疑函应当按照《政府采购供应商质疑函范本》格式填写后由法定代表人或投标授权人递交到采购人或采购代理机构，受理方式</w:t>
      </w:r>
      <w:r>
        <w:rPr>
          <w:rFonts w:hint="eastAsia" w:ascii="仿宋_GB2312" w:hAnsi="仿宋" w:cs="宋体"/>
          <w:color w:val="auto"/>
          <w:szCs w:val="28"/>
        </w:rPr>
        <w:t>见</w:t>
      </w:r>
      <w:r>
        <w:rPr>
          <w:rFonts w:hint="eastAsia" w:ascii="仿宋_GB2312" w:hAnsi="仿宋" w:cs="宋体"/>
          <w:color w:val="auto"/>
          <w:szCs w:val="28"/>
          <w:u w:val="single"/>
        </w:rPr>
        <w:t>响应须知前附表</w:t>
      </w:r>
      <w:r>
        <w:rPr>
          <w:rFonts w:hint="eastAsia" w:ascii="仿宋_GB2312" w:hAnsi="仿宋" w:cs="宋体"/>
          <w:color w:val="auto"/>
          <w:szCs w:val="28"/>
        </w:rPr>
        <w:t>。</w:t>
      </w:r>
      <w:r>
        <w:rPr>
          <w:rFonts w:hint="eastAsia" w:ascii="仿宋_GB2312" w:hAnsi="宋体"/>
          <w:color w:val="auto"/>
          <w:szCs w:val="28"/>
        </w:rPr>
        <w:t>采购人或采购代理机构正式受理后方可生效。否则，为无效质疑。</w:t>
      </w:r>
    </w:p>
    <w:p w14:paraId="5ED9C3B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33.9有下列情况之一的质疑不予受理：</w:t>
      </w:r>
    </w:p>
    <w:p w14:paraId="30D8AEE4">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（1）无质疑函件或质疑函件缺少投标人法人印章、投标人法定代表人签字、有效授权书和联系方式之一的质疑；</w:t>
      </w:r>
    </w:p>
    <w:p w14:paraId="56BF866A">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（2）质疑函件无实质性内容或佐证文件资料，主观臆断及推理得出结论的质疑；</w:t>
      </w:r>
    </w:p>
    <w:p w14:paraId="2CDD850A">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（3）相应证明材料不真实或来源不合法的质疑；</w:t>
      </w:r>
    </w:p>
    <w:p w14:paraId="3C82BE50">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（4）未按规定时间或超过公示期提出的质疑；</w:t>
      </w:r>
    </w:p>
    <w:p w14:paraId="2B04C472">
      <w:pPr>
        <w:spacing w:line="560" w:lineRule="exact"/>
        <w:ind w:firstLine="562" w:firstLineChars="201"/>
        <w:rPr>
          <w:rFonts w:ascii="仿宋_GB2312" w:hAnsi="仿宋" w:cs="宋体"/>
          <w:color w:val="auto"/>
          <w:szCs w:val="28"/>
        </w:rPr>
      </w:pPr>
      <w:r>
        <w:rPr>
          <w:rFonts w:hint="eastAsia" w:ascii="仿宋_GB2312" w:hAnsi="仿宋" w:cs="宋体"/>
          <w:color w:val="auto"/>
          <w:szCs w:val="28"/>
        </w:rPr>
        <w:t>（5）其他不符合《政府采购质疑和投诉办法》（中国人民共和国财政部令第94号）的相关规定。</w:t>
      </w:r>
    </w:p>
    <w:p w14:paraId="3144581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33.10对捏造事实，提供虚假材料或者以非法手段取得证明材料进行恶意质疑的，一经查实，将上报财政部门列入黑名单，并给以相应处罚。</w:t>
      </w:r>
    </w:p>
    <w:p w14:paraId="64B8DA02">
      <w:pPr>
        <w:pStyle w:val="3"/>
        <w:ind w:firstLine="562"/>
        <w:rPr>
          <w:color w:val="auto"/>
        </w:rPr>
      </w:pPr>
      <w:r>
        <w:rPr>
          <w:rFonts w:hint="eastAsia"/>
          <w:color w:val="auto"/>
        </w:rPr>
        <w:t>九、投诉</w:t>
      </w:r>
    </w:p>
    <w:p w14:paraId="7F2548DA">
      <w:pPr>
        <w:spacing w:line="560" w:lineRule="exact"/>
        <w:ind w:firstLine="562" w:firstLineChars="201"/>
        <w:rPr>
          <w:rFonts w:ascii="仿宋_GB2312" w:hAnsi="仿宋" w:cs="宋体"/>
          <w:color w:val="auto"/>
          <w:szCs w:val="28"/>
        </w:rPr>
      </w:pPr>
      <w:r>
        <w:rPr>
          <w:rFonts w:hint="eastAsia" w:ascii="仿宋_GB2312" w:hAnsi="宋体"/>
          <w:color w:val="auto"/>
          <w:szCs w:val="28"/>
        </w:rPr>
        <w:t>质疑供应商对答复不满意，或者采购人、代理机构未在规定的时间内做出书面答复的，可以在答复期满后15个工作日内向同级政府采购监督管理部门投诉。投诉程序按《政府采购法》、</w:t>
      </w:r>
      <w:r>
        <w:rPr>
          <w:rFonts w:hint="eastAsia" w:ascii="仿宋_GB2312" w:hAnsi="仿宋" w:cs="宋体"/>
          <w:color w:val="auto"/>
          <w:szCs w:val="28"/>
        </w:rPr>
        <w:t>《政府采购质疑和投诉办法》</w:t>
      </w:r>
      <w:r>
        <w:rPr>
          <w:rFonts w:hint="eastAsia" w:ascii="仿宋_GB2312" w:hAnsi="宋体"/>
          <w:color w:val="auto"/>
          <w:szCs w:val="28"/>
        </w:rPr>
        <w:t>等有关法律、法规和规定执行，但未经质疑，或者超过投诉有效期的，视为无效投诉。投诉人在全国范围12个月内三次以上投诉查无实据的，由财政部门列入不良行为记录名单，有捏造事实、提供虚假材料、以非法手段取得证明材料情况之一的，禁止1-3年内参加政府采购活动。</w:t>
      </w:r>
      <w:r>
        <w:rPr>
          <w:rFonts w:hint="eastAsia" w:ascii="仿宋_GB2312" w:hAnsi="仿宋" w:cs="宋体"/>
          <w:color w:val="auto"/>
          <w:szCs w:val="28"/>
        </w:rPr>
        <w:t>投诉受理方式见</w:t>
      </w:r>
      <w:r>
        <w:rPr>
          <w:rFonts w:hint="eastAsia" w:ascii="仿宋_GB2312" w:hAnsi="仿宋" w:cs="宋体"/>
          <w:color w:val="auto"/>
          <w:szCs w:val="28"/>
          <w:u w:val="single"/>
        </w:rPr>
        <w:t>响应须知前附表</w:t>
      </w:r>
      <w:r>
        <w:rPr>
          <w:rFonts w:hint="eastAsia" w:ascii="仿宋_GB2312" w:hAnsi="仿宋" w:cs="宋体"/>
          <w:color w:val="auto"/>
          <w:szCs w:val="28"/>
        </w:rPr>
        <w:t>。</w:t>
      </w:r>
    </w:p>
    <w:p w14:paraId="56AE615D">
      <w:pPr>
        <w:pStyle w:val="3"/>
        <w:ind w:firstLine="562"/>
        <w:rPr>
          <w:color w:val="auto"/>
        </w:rPr>
      </w:pPr>
      <w:r>
        <w:rPr>
          <w:rFonts w:hint="eastAsia"/>
          <w:color w:val="auto"/>
        </w:rPr>
        <w:t>十、签订合同</w:t>
      </w:r>
    </w:p>
    <w:p w14:paraId="468915E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采购人应当自政府采购合同签订之日起2个工作日内，将政府采购合同在省级以上人民政府财政部门指定的媒体上公告，但政府采购合同中涉及国家秘密、商业秘密的内容除外。</w:t>
      </w:r>
    </w:p>
    <w:p w14:paraId="5E57419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采购人应当自成交通知书发出之日起</w:t>
      </w:r>
      <w:r>
        <w:rPr>
          <w:rFonts w:ascii="仿宋_GB2312" w:hAnsi="宋体"/>
          <w:color w:val="auto"/>
          <w:szCs w:val="28"/>
        </w:rPr>
        <w:t>5</w:t>
      </w:r>
      <w:r>
        <w:rPr>
          <w:rFonts w:hint="eastAsia" w:ascii="仿宋_GB2312" w:hAnsi="宋体"/>
          <w:color w:val="auto"/>
          <w:szCs w:val="28"/>
        </w:rPr>
        <w:t>个工作日内，按照磋商文件和成交供应商响应文件的规定，与成交供应商签订书面合同。</w:t>
      </w:r>
    </w:p>
    <w:p w14:paraId="637F0D5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采购人与成交供应商所签订的合同不得对竞争性磋商文件和成交供应商的响应文件作实质性修改。采购人不得向成交供应商提出任何不合理的要求，作为签订合同的条件，不得与成交供应商私下订立背离合同实质性内容的协议。合同原则以第六章合同书格式为基础，并根据响应、答疑情况进行修改补充，自签订之日起生效。</w:t>
      </w:r>
    </w:p>
    <w:p w14:paraId="6582EC1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成交供应商在规定时间内无正当理由拒绝与采购人签订合同的，响应供应商符合法定数量的，采购人可以按照评审报告推荐的成交候选人名单排序，确定下一候选人为成交供应商，也可以重新开展政府采购活动。</w:t>
      </w:r>
    </w:p>
    <w:p w14:paraId="5B2333D2">
      <w:pPr>
        <w:snapToGrid w:val="0"/>
        <w:spacing w:line="560" w:lineRule="exact"/>
        <w:ind w:firstLine="562" w:firstLineChars="201"/>
        <w:rPr>
          <w:rFonts w:ascii="仿宋_GB2312" w:hAnsi="宋体"/>
          <w:color w:val="auto"/>
          <w:szCs w:val="28"/>
        </w:rPr>
      </w:pPr>
      <w:r>
        <w:rPr>
          <w:rFonts w:hint="eastAsia" w:ascii="仿宋_GB2312" w:hAnsi="宋体"/>
          <w:color w:val="auto"/>
          <w:szCs w:val="28"/>
        </w:rPr>
        <w:t>政府采购合同的履行、违约责任和解决争议的方法适用《中华人民共和国合同法》。</w:t>
      </w:r>
    </w:p>
    <w:p w14:paraId="5E257B5E">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34.履约保证金</w:t>
      </w:r>
    </w:p>
    <w:p w14:paraId="64DDA8DD">
      <w:pPr>
        <w:snapToGrid w:val="0"/>
        <w:spacing w:line="560" w:lineRule="exact"/>
        <w:ind w:firstLine="562" w:firstLineChars="201"/>
        <w:rPr>
          <w:rFonts w:ascii="仿宋_GB2312" w:hAnsi="宋体"/>
          <w:color w:val="auto"/>
          <w:szCs w:val="28"/>
        </w:rPr>
      </w:pPr>
      <w:r>
        <w:rPr>
          <w:rFonts w:hint="eastAsia" w:ascii="仿宋_GB2312" w:hAnsi="宋体"/>
          <w:color w:val="auto"/>
          <w:szCs w:val="28"/>
        </w:rPr>
        <w:t xml:space="preserve">本项目不收取履约保证金。如中标单位中标后不按采购文件相关规定执行的，按诚信体系建设要求列入信用黑名单，1-3年内禁止参加政府采购活动。 </w:t>
      </w:r>
    </w:p>
    <w:p w14:paraId="4E43AE49">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35.政府采购信用担保</w:t>
      </w:r>
    </w:p>
    <w:p w14:paraId="2A998CBA">
      <w:pPr>
        <w:snapToGrid w:val="0"/>
        <w:spacing w:line="560" w:lineRule="exact"/>
        <w:ind w:firstLine="562" w:firstLineChars="201"/>
        <w:rPr>
          <w:rFonts w:ascii="仿宋_GB2312" w:hAnsi="宋体"/>
          <w:color w:val="auto"/>
          <w:szCs w:val="28"/>
        </w:rPr>
      </w:pPr>
      <w:r>
        <w:rPr>
          <w:rFonts w:hint="eastAsia" w:ascii="仿宋_GB2312" w:hAnsi="宋体"/>
          <w:color w:val="auto"/>
          <w:szCs w:val="28"/>
        </w:rPr>
        <w:t>本项目是否属于信用担保试点范围见</w:t>
      </w:r>
      <w:r>
        <w:rPr>
          <w:rFonts w:hint="eastAsia" w:ascii="仿宋_GB2312" w:hAnsi="宋体"/>
          <w:color w:val="auto"/>
          <w:szCs w:val="28"/>
          <w:u w:val="single"/>
        </w:rPr>
        <w:t>响应须知前附表</w:t>
      </w:r>
      <w:r>
        <w:rPr>
          <w:rFonts w:hint="eastAsia" w:ascii="仿宋_GB2312" w:hAnsi="宋体"/>
          <w:color w:val="auto"/>
          <w:szCs w:val="28"/>
        </w:rPr>
        <w:t>。</w:t>
      </w:r>
    </w:p>
    <w:p w14:paraId="7ADE08B7">
      <w:pPr>
        <w:snapToGrid w:val="0"/>
        <w:spacing w:line="560" w:lineRule="exact"/>
        <w:ind w:firstLine="562" w:firstLineChars="201"/>
        <w:rPr>
          <w:rFonts w:ascii="仿宋_GB2312" w:hAnsi="宋体"/>
          <w:color w:val="auto"/>
          <w:szCs w:val="28"/>
        </w:rPr>
      </w:pPr>
      <w:r>
        <w:rPr>
          <w:rFonts w:hint="eastAsia" w:ascii="仿宋_GB2312" w:hAnsi="宋体"/>
          <w:color w:val="auto"/>
          <w:szCs w:val="28"/>
        </w:rPr>
        <w:t>如</w:t>
      </w:r>
      <w:r>
        <w:rPr>
          <w:rFonts w:ascii="仿宋_GB2312" w:hAnsi="宋体"/>
          <w:color w:val="auto"/>
          <w:szCs w:val="28"/>
        </w:rPr>
        <w:t>属于</w:t>
      </w:r>
      <w:r>
        <w:rPr>
          <w:rFonts w:hint="eastAsia" w:ascii="仿宋_GB2312" w:hAnsi="宋体"/>
          <w:color w:val="auto"/>
          <w:szCs w:val="28"/>
        </w:rPr>
        <w:t>政府采购信用担保试点范围内，中小型企业供应商可以自由按照财政部门的规定，采用投标担保、履约担保和融资担保。</w:t>
      </w:r>
    </w:p>
    <w:p w14:paraId="7A8393E0">
      <w:pPr>
        <w:snapToGrid w:val="0"/>
        <w:spacing w:line="560" w:lineRule="exact"/>
        <w:ind w:firstLine="562" w:firstLineChars="201"/>
        <w:rPr>
          <w:rFonts w:ascii="仿宋_GB2312" w:hAnsi="宋体"/>
          <w:color w:val="auto"/>
          <w:szCs w:val="28"/>
        </w:rPr>
      </w:pPr>
      <w:r>
        <w:rPr>
          <w:rFonts w:hint="eastAsia" w:ascii="仿宋_GB2312" w:hAnsi="宋体"/>
          <w:color w:val="auto"/>
          <w:szCs w:val="28"/>
        </w:rPr>
        <w:t>供应商递交的投标担保函和履约担保函应符合本采购文件的规定。</w:t>
      </w:r>
    </w:p>
    <w:p w14:paraId="3F8A683F">
      <w:pPr>
        <w:snapToGrid w:val="0"/>
        <w:spacing w:line="560" w:lineRule="exact"/>
        <w:ind w:firstLine="562" w:firstLineChars="201"/>
        <w:rPr>
          <w:rFonts w:ascii="仿宋_GB2312" w:hAnsi="宋体"/>
          <w:color w:val="auto"/>
          <w:szCs w:val="28"/>
        </w:rPr>
      </w:pPr>
      <w:r>
        <w:rPr>
          <w:rFonts w:hint="eastAsia" w:ascii="仿宋_GB2312" w:hAnsi="宋体"/>
          <w:color w:val="auto"/>
          <w:szCs w:val="28"/>
        </w:rPr>
        <w:t>成交供应商可以采取融资担保的形式为政府采购项目履约进行融资。</w:t>
      </w:r>
    </w:p>
    <w:p w14:paraId="292554AE">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36.预付款</w:t>
      </w:r>
    </w:p>
    <w:p w14:paraId="118BEB1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预付款是在指</w:t>
      </w:r>
      <w:r>
        <w:rPr>
          <w:rFonts w:ascii="仿宋_GB2312" w:hAnsi="宋体"/>
          <w:color w:val="auto"/>
          <w:szCs w:val="28"/>
        </w:rPr>
        <w:t>政府采购合同签订后</w:t>
      </w:r>
      <w:r>
        <w:rPr>
          <w:rFonts w:hint="eastAsia" w:ascii="仿宋_GB2312" w:hAnsi="宋体"/>
          <w:color w:val="auto"/>
          <w:szCs w:val="28"/>
        </w:rPr>
        <w:t>、履行前，</w:t>
      </w:r>
      <w:r>
        <w:rPr>
          <w:rFonts w:ascii="仿宋_GB2312" w:hAnsi="宋体"/>
          <w:color w:val="auto"/>
          <w:szCs w:val="28"/>
        </w:rPr>
        <w:t>采购人向</w:t>
      </w:r>
      <w:r>
        <w:rPr>
          <w:rFonts w:hint="eastAsia" w:ascii="仿宋_GB2312" w:hAnsi="宋体"/>
          <w:color w:val="auto"/>
          <w:szCs w:val="28"/>
        </w:rPr>
        <w:t>成交供应商</w:t>
      </w:r>
      <w:r>
        <w:rPr>
          <w:rFonts w:ascii="仿宋_GB2312" w:hAnsi="宋体"/>
          <w:color w:val="auto"/>
          <w:szCs w:val="28"/>
        </w:rPr>
        <w:t>预先支付部分合同款项</w:t>
      </w:r>
      <w:r>
        <w:rPr>
          <w:rFonts w:hint="eastAsia" w:ascii="仿宋_GB2312" w:hAnsi="宋体"/>
          <w:color w:val="auto"/>
          <w:szCs w:val="28"/>
        </w:rPr>
        <w:t>。</w:t>
      </w:r>
      <w:r>
        <w:rPr>
          <w:rFonts w:ascii="仿宋_GB2312" w:hAnsi="宋体"/>
          <w:color w:val="auto"/>
          <w:szCs w:val="28"/>
        </w:rPr>
        <w:t>采购人预付款方式见</w:t>
      </w:r>
      <w:r>
        <w:rPr>
          <w:rFonts w:hint="eastAsia" w:ascii="仿宋_GB2312" w:hAnsi="宋体"/>
          <w:color w:val="auto"/>
          <w:szCs w:val="28"/>
          <w:u w:val="single"/>
        </w:rPr>
        <w:t>响应须知前附表</w:t>
      </w:r>
      <w:r>
        <w:rPr>
          <w:rFonts w:hint="eastAsia" w:ascii="仿宋_GB2312" w:hAnsi="宋体"/>
          <w:color w:val="auto"/>
          <w:szCs w:val="28"/>
        </w:rPr>
        <w:t>。</w:t>
      </w:r>
    </w:p>
    <w:p w14:paraId="02B83BD5">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37</w:t>
      </w:r>
      <w:r>
        <w:rPr>
          <w:rFonts w:ascii="仿宋_GB2312" w:hAnsi="宋体"/>
          <w:b/>
          <w:color w:val="auto"/>
          <w:szCs w:val="28"/>
        </w:rPr>
        <w:t>.</w:t>
      </w:r>
      <w:r>
        <w:rPr>
          <w:rFonts w:hint="eastAsia" w:ascii="仿宋_GB2312" w:hAnsi="宋体"/>
          <w:b/>
          <w:color w:val="auto"/>
          <w:szCs w:val="28"/>
        </w:rPr>
        <w:t>廉洁自律</w:t>
      </w:r>
      <w:r>
        <w:rPr>
          <w:rFonts w:ascii="仿宋_GB2312" w:hAnsi="宋体"/>
          <w:b/>
          <w:color w:val="auto"/>
          <w:szCs w:val="28"/>
        </w:rPr>
        <w:t>规定</w:t>
      </w:r>
    </w:p>
    <w:p w14:paraId="449B97BE">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采购代理机构</w:t>
      </w:r>
      <w:r>
        <w:rPr>
          <w:rFonts w:ascii="仿宋_GB2312" w:hAnsi="宋体"/>
          <w:color w:val="auto"/>
          <w:szCs w:val="28"/>
        </w:rPr>
        <w:t>工作人员</w:t>
      </w:r>
      <w:r>
        <w:rPr>
          <w:rFonts w:hint="eastAsia" w:ascii="仿宋_GB2312" w:hAnsi="宋体"/>
          <w:color w:val="auto"/>
          <w:szCs w:val="28"/>
        </w:rPr>
        <w:t>不得与采购人、供应商恶意串通操纵政府采购活动。</w:t>
      </w:r>
    </w:p>
    <w:p w14:paraId="785BFDFB">
      <w:pPr>
        <w:snapToGrid w:val="0"/>
        <w:spacing w:line="560" w:lineRule="exact"/>
        <w:ind w:firstLine="562" w:firstLineChars="201"/>
        <w:rPr>
          <w:rFonts w:ascii="仿宋_GB2312" w:hAnsi="宋体"/>
          <w:color w:val="auto"/>
          <w:szCs w:val="28"/>
        </w:rPr>
      </w:pPr>
      <w:r>
        <w:rPr>
          <w:rFonts w:hint="eastAsia" w:ascii="仿宋_GB2312" w:hAnsi="宋体"/>
          <w:color w:val="auto"/>
          <w:szCs w:val="28"/>
        </w:rPr>
        <w:t>采购代理机构工作人员不得接受采购人或者供应商组织的宴请、旅游、娱乐，不得收受礼品、现金、有价证券等，不得向采购人或者供应商报销应当由个人承担的费用。</w:t>
      </w:r>
    </w:p>
    <w:p w14:paraId="6DB9E98C">
      <w:pPr>
        <w:snapToGrid w:val="0"/>
        <w:spacing w:line="560" w:lineRule="exact"/>
        <w:ind w:firstLine="562" w:firstLineChars="201"/>
        <w:rPr>
          <w:rFonts w:ascii="仿宋_GB2312" w:hAnsi="宋体"/>
          <w:color w:val="auto"/>
          <w:szCs w:val="28"/>
        </w:rPr>
      </w:pPr>
      <w:r>
        <w:rPr>
          <w:rFonts w:hint="eastAsia" w:ascii="仿宋_GB2312" w:hAnsi="宋体"/>
          <w:color w:val="auto"/>
          <w:szCs w:val="28"/>
        </w:rPr>
        <w:t>为强化采购</w:t>
      </w:r>
      <w:r>
        <w:rPr>
          <w:rFonts w:ascii="仿宋_GB2312" w:hAnsi="宋体"/>
          <w:color w:val="auto"/>
          <w:szCs w:val="28"/>
        </w:rPr>
        <w:t>代理机构内部监督机制</w:t>
      </w:r>
      <w:r>
        <w:rPr>
          <w:rFonts w:hint="eastAsia" w:ascii="仿宋_GB2312" w:hAnsi="宋体"/>
          <w:color w:val="auto"/>
          <w:szCs w:val="28"/>
        </w:rPr>
        <w:t>，供应商可按</w:t>
      </w:r>
      <w:r>
        <w:rPr>
          <w:rFonts w:hint="eastAsia" w:ascii="仿宋_GB2312" w:hAnsi="宋体"/>
          <w:color w:val="auto"/>
          <w:szCs w:val="28"/>
          <w:u w:val="single"/>
        </w:rPr>
        <w:t>响应须知前附表</w:t>
      </w:r>
      <w:r>
        <w:rPr>
          <w:rFonts w:hint="eastAsia" w:ascii="仿宋_GB2312" w:hAnsi="宋体"/>
          <w:color w:val="auto"/>
          <w:szCs w:val="28"/>
        </w:rPr>
        <w:t>中</w:t>
      </w:r>
      <w:r>
        <w:rPr>
          <w:rFonts w:ascii="仿宋_GB2312" w:hAnsi="宋体"/>
          <w:color w:val="auto"/>
          <w:szCs w:val="28"/>
        </w:rPr>
        <w:t>的</w:t>
      </w:r>
      <w:r>
        <w:rPr>
          <w:rFonts w:hint="eastAsia" w:ascii="仿宋_GB2312" w:hAnsi="宋体"/>
          <w:color w:val="auto"/>
          <w:szCs w:val="28"/>
        </w:rPr>
        <w:t>监督电话</w:t>
      </w:r>
      <w:r>
        <w:rPr>
          <w:rFonts w:ascii="仿宋_GB2312" w:hAnsi="宋体"/>
          <w:color w:val="auto"/>
          <w:szCs w:val="28"/>
        </w:rPr>
        <w:t>和</w:t>
      </w:r>
      <w:r>
        <w:rPr>
          <w:rFonts w:hint="eastAsia" w:ascii="仿宋_GB2312" w:hAnsi="宋体"/>
          <w:color w:val="auto"/>
          <w:szCs w:val="28"/>
        </w:rPr>
        <w:t>邮箱，反映采购代理机构的廉洁自律</w:t>
      </w:r>
      <w:r>
        <w:rPr>
          <w:rFonts w:ascii="仿宋_GB2312" w:hAnsi="宋体"/>
          <w:color w:val="auto"/>
          <w:szCs w:val="28"/>
        </w:rPr>
        <w:t>等</w:t>
      </w:r>
      <w:r>
        <w:rPr>
          <w:rFonts w:hint="eastAsia" w:ascii="仿宋_GB2312" w:hAnsi="宋体"/>
          <w:color w:val="auto"/>
          <w:szCs w:val="28"/>
        </w:rPr>
        <w:t>问题。</w:t>
      </w:r>
    </w:p>
    <w:p w14:paraId="04DD51D1">
      <w:pPr>
        <w:snapToGrid w:val="0"/>
        <w:spacing w:line="560" w:lineRule="exact"/>
        <w:ind w:firstLine="565" w:firstLineChars="201"/>
        <w:rPr>
          <w:rFonts w:ascii="仿宋_GB2312" w:hAnsi="宋体"/>
          <w:b/>
          <w:color w:val="auto"/>
          <w:szCs w:val="28"/>
        </w:rPr>
      </w:pPr>
      <w:r>
        <w:rPr>
          <w:rFonts w:hint="eastAsia" w:ascii="仿宋_GB2312" w:hAnsi="宋体"/>
          <w:b/>
          <w:color w:val="auto"/>
          <w:szCs w:val="28"/>
        </w:rPr>
        <w:t>38.项目其他相关费用</w:t>
      </w:r>
    </w:p>
    <w:p w14:paraId="74040C5B">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38.1代理服务费</w:t>
      </w:r>
    </w:p>
    <w:p w14:paraId="28CCC075">
      <w:pPr>
        <w:snapToGrid w:val="0"/>
        <w:spacing w:line="560" w:lineRule="exact"/>
        <w:ind w:firstLine="562" w:firstLineChars="201"/>
        <w:rPr>
          <w:rFonts w:ascii="仿宋_GB2312" w:hAnsi="宋体"/>
          <w:color w:val="auto"/>
          <w:szCs w:val="28"/>
        </w:rPr>
      </w:pPr>
      <w:r>
        <w:rPr>
          <w:rFonts w:hint="eastAsia" w:ascii="仿宋_GB2312" w:hAnsi="宋体"/>
          <w:color w:val="auto"/>
          <w:szCs w:val="28"/>
        </w:rPr>
        <w:t>代理服务费收取标准：</w:t>
      </w:r>
      <w:r>
        <w:rPr>
          <w:rFonts w:hint="eastAsia" w:ascii="仿宋_GB2312" w:hAnsi="宋体"/>
          <w:color w:val="auto"/>
          <w:szCs w:val="28"/>
          <w:u w:val="single"/>
        </w:rPr>
        <w:t>见响应须知前附表。</w:t>
      </w:r>
    </w:p>
    <w:p w14:paraId="0FBF553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38.2公证费/见证律师费</w:t>
      </w:r>
    </w:p>
    <w:p w14:paraId="43154F1E">
      <w:pPr>
        <w:snapToGrid w:val="0"/>
        <w:spacing w:line="560" w:lineRule="exact"/>
        <w:ind w:firstLine="562" w:firstLineChars="201"/>
        <w:rPr>
          <w:rFonts w:ascii="仿宋_GB2312" w:hAnsi="宋体"/>
          <w:color w:val="auto"/>
          <w:szCs w:val="28"/>
          <w:lang w:val="en-GB"/>
        </w:rPr>
      </w:pPr>
      <w:r>
        <w:rPr>
          <w:rFonts w:hint="eastAsia" w:ascii="仿宋_GB2312" w:hAnsi="宋体"/>
          <w:color w:val="auto"/>
          <w:szCs w:val="28"/>
          <w:lang w:val="en-GB"/>
        </w:rPr>
        <w:t>公证费/见证律师费的收费标准：见响应须知前附表。</w:t>
      </w:r>
    </w:p>
    <w:p w14:paraId="321AD7E6">
      <w:pPr>
        <w:snapToGrid w:val="0"/>
        <w:spacing w:line="560" w:lineRule="exact"/>
        <w:ind w:firstLine="562" w:firstLineChars="201"/>
        <w:rPr>
          <w:rFonts w:ascii="仿宋_GB2312" w:hAnsi="宋体"/>
          <w:color w:val="auto"/>
          <w:szCs w:val="28"/>
        </w:rPr>
      </w:pPr>
      <w:r>
        <w:rPr>
          <w:rFonts w:hint="eastAsia" w:ascii="仿宋_GB2312" w:hAnsi="宋体"/>
          <w:color w:val="auto"/>
          <w:szCs w:val="28"/>
        </w:rPr>
        <w:t>38.3政府采购专家评审费</w:t>
      </w:r>
    </w:p>
    <w:p w14:paraId="03C3E784">
      <w:pPr>
        <w:snapToGrid w:val="0"/>
        <w:spacing w:line="560" w:lineRule="exact"/>
        <w:ind w:firstLine="562" w:firstLineChars="201"/>
        <w:rPr>
          <w:rFonts w:ascii="仿宋_GB2312" w:hAnsi="宋体"/>
          <w:color w:val="auto"/>
          <w:szCs w:val="28"/>
        </w:rPr>
      </w:pPr>
      <w:r>
        <w:rPr>
          <w:rFonts w:hint="eastAsia" w:ascii="仿宋_GB2312" w:hAnsi="宋体"/>
          <w:color w:val="auto"/>
          <w:szCs w:val="28"/>
        </w:rPr>
        <w:t>本项目按照威海市公共资源交易中心乳山分中心有关规定的标准执行。</w:t>
      </w:r>
    </w:p>
    <w:p w14:paraId="6179823D">
      <w:pPr>
        <w:ind w:firstLine="560"/>
        <w:rPr>
          <w:color w:val="auto"/>
        </w:rPr>
        <w:sectPr>
          <w:pgSz w:w="11906" w:h="16838"/>
          <w:pgMar w:top="1440" w:right="1080" w:bottom="1440" w:left="1080" w:header="851" w:footer="992" w:gutter="0"/>
          <w:cols w:space="720" w:num="1"/>
          <w:docGrid w:type="lines" w:linePitch="312" w:charSpace="0"/>
        </w:sectPr>
      </w:pPr>
    </w:p>
    <w:p w14:paraId="4832247D">
      <w:pPr>
        <w:pStyle w:val="43"/>
        <w:spacing w:before="100" w:beforeAutospacing="1" w:after="100" w:afterAutospacing="1" w:line="415" w:lineRule="auto"/>
        <w:ind w:left="1440" w:firstLine="883"/>
        <w:jc w:val="both"/>
        <w:rPr>
          <w:rFonts w:ascii="楷体_GB2312" w:hAnsi="宋体" w:eastAsia="楷体_GB2312" w:cs="宋体"/>
          <w:color w:val="auto"/>
          <w:sz w:val="44"/>
          <w:szCs w:val="44"/>
        </w:rPr>
      </w:pPr>
      <w:r>
        <w:rPr>
          <w:rFonts w:hint="eastAsia" w:ascii="宋体" w:hAnsi="宋体" w:cs="宋体"/>
          <w:color w:val="auto"/>
          <w:sz w:val="44"/>
          <w:szCs w:val="44"/>
        </w:rPr>
        <w:t>第三章</w:t>
      </w:r>
      <w:r>
        <w:rPr>
          <w:rFonts w:hint="eastAsia" w:ascii="楷体_GB2312" w:hAnsi="宋体" w:eastAsia="楷体_GB2312" w:cs="宋体"/>
          <w:color w:val="auto"/>
          <w:sz w:val="44"/>
          <w:szCs w:val="44"/>
        </w:rPr>
        <w:t>采购内容与要求</w:t>
      </w:r>
    </w:p>
    <w:p w14:paraId="2293F382">
      <w:pPr>
        <w:ind w:firstLine="560"/>
        <w:rPr>
          <w:color w:val="auto"/>
        </w:rPr>
      </w:pPr>
    </w:p>
    <w:p w14:paraId="391ACB3B">
      <w:pPr>
        <w:ind w:firstLine="560"/>
        <w:rPr>
          <w:color w:val="auto"/>
        </w:rPr>
        <w:sectPr>
          <w:headerReference r:id="rId20" w:type="first"/>
          <w:footerReference r:id="rId21" w:type="default"/>
          <w:headerReference r:id="rId19" w:type="even"/>
          <w:pgSz w:w="11906" w:h="16838"/>
          <w:pgMar w:top="1440" w:right="1077" w:bottom="1440" w:left="1077" w:header="851" w:footer="992" w:gutter="0"/>
          <w:cols w:space="720" w:num="1"/>
          <w:docGrid w:type="lines" w:linePitch="312" w:charSpace="0"/>
        </w:sectPr>
      </w:pPr>
    </w:p>
    <w:p w14:paraId="53538D0C">
      <w:pPr>
        <w:widowControl/>
        <w:spacing w:line="560" w:lineRule="exact"/>
        <w:ind w:firstLine="643"/>
        <w:jc w:val="center"/>
        <w:rPr>
          <w:rFonts w:ascii="楷体_GB2312" w:hAnsi="宋体" w:eastAsia="楷体_GB2312"/>
          <w:b/>
          <w:bCs/>
          <w:color w:val="auto"/>
          <w:kern w:val="44"/>
          <w:sz w:val="32"/>
          <w:szCs w:val="30"/>
        </w:rPr>
      </w:pPr>
      <w:r>
        <w:rPr>
          <w:rFonts w:hint="eastAsia" w:ascii="楷体_GB2312" w:hAnsi="宋体" w:eastAsia="楷体_GB2312"/>
          <w:b/>
          <w:bCs/>
          <w:color w:val="auto"/>
          <w:kern w:val="44"/>
          <w:sz w:val="32"/>
          <w:szCs w:val="30"/>
        </w:rPr>
        <w:t>第一部分 项目背景</w:t>
      </w:r>
    </w:p>
    <w:p w14:paraId="41528385">
      <w:pPr>
        <w:spacing w:line="560" w:lineRule="exact"/>
        <w:ind w:firstLine="562"/>
        <w:rPr>
          <w:rFonts w:ascii="黑体" w:hAnsi="黑体" w:eastAsia="黑体"/>
          <w:b/>
          <w:color w:val="auto"/>
          <w:szCs w:val="21"/>
        </w:rPr>
      </w:pPr>
      <w:r>
        <w:rPr>
          <w:rFonts w:hint="eastAsia" w:ascii="黑体" w:hAnsi="黑体" w:eastAsia="黑体"/>
          <w:b/>
          <w:color w:val="auto"/>
          <w:szCs w:val="21"/>
        </w:rPr>
        <w:t>一、项目概况</w:t>
      </w:r>
    </w:p>
    <w:p w14:paraId="76A1B5A2">
      <w:pPr>
        <w:spacing w:line="560" w:lineRule="exact"/>
        <w:ind w:firstLine="560"/>
        <w:rPr>
          <w:rFonts w:ascii="仿宋_GB2312" w:hAnsi="宋体"/>
          <w:color w:val="auto"/>
          <w:szCs w:val="21"/>
        </w:rPr>
      </w:pPr>
      <w:r>
        <w:rPr>
          <w:rFonts w:hint="eastAsia" w:ascii="仿宋_GB2312" w:hAnsi="宋体"/>
          <w:color w:val="auto"/>
          <w:szCs w:val="21"/>
        </w:rPr>
        <w:t>项目名称：</w:t>
      </w:r>
      <w:r>
        <w:rPr>
          <w:rFonts w:ascii="仿宋_GB2312" w:hAnsi="宋体"/>
          <w:color w:val="auto"/>
          <w:szCs w:val="21"/>
        </w:rPr>
        <w:t xml:space="preserve"> 乳山市2024年水库移民扶持基金项目和大中型水库移民后期扶持人口自然变化结余资金项目</w:t>
      </w:r>
    </w:p>
    <w:p w14:paraId="3F8A2F86">
      <w:pPr>
        <w:spacing w:line="560" w:lineRule="exact"/>
        <w:ind w:firstLine="560"/>
        <w:rPr>
          <w:rFonts w:hint="eastAsia" w:ascii="仿宋_GB2312" w:hAnsi="宋体" w:eastAsia="仿宋_GB2312"/>
          <w:color w:val="auto"/>
          <w:szCs w:val="21"/>
          <w:lang w:eastAsia="zh-CN"/>
        </w:rPr>
      </w:pPr>
      <w:r>
        <w:rPr>
          <w:rFonts w:hint="eastAsia" w:ascii="仿宋_GB2312" w:hAnsi="宋体"/>
          <w:color w:val="auto"/>
          <w:szCs w:val="21"/>
        </w:rPr>
        <w:t>项目编号：</w:t>
      </w:r>
      <w:r>
        <w:rPr>
          <w:rFonts w:hint="eastAsia" w:ascii="仿宋_GB2312" w:hAnsi="宋体"/>
          <w:color w:val="auto"/>
          <w:szCs w:val="21"/>
          <w:lang w:eastAsia="zh-CN"/>
        </w:rPr>
        <w:t>SDGP371083000202402000114</w:t>
      </w:r>
    </w:p>
    <w:p w14:paraId="660839A4">
      <w:pPr>
        <w:spacing w:line="560" w:lineRule="exact"/>
        <w:ind w:firstLine="560"/>
        <w:rPr>
          <w:rFonts w:ascii="仿宋_GB2312" w:hAnsi="宋体"/>
          <w:color w:val="auto"/>
          <w:szCs w:val="21"/>
        </w:rPr>
      </w:pPr>
      <w:r>
        <w:rPr>
          <w:rFonts w:hint="eastAsia" w:ascii="仿宋_GB2312" w:hAnsi="宋体"/>
          <w:color w:val="auto"/>
          <w:szCs w:val="21"/>
        </w:rPr>
        <w:t>项目概况说明：乳山市2024年水库移民扶持基金项目和大中型水库移民后期扶持人口自然变化结余资金项目位于乳山市，共分一个标段，包括育黎镇塔庄村道路硬化、育黎镇老由古村道路硬化、育黎镇北勇家村道路硬化、路灯购置安装、海阳所镇贾家庄村道路硬化、夏村镇清口涧村道路硬化、诸往镇许家村道路硬化、崖子镇双石村道路硬化、崖子镇转山头村新打深井、泵房及配套、崖子镇矫家泊村新打深井、泵房及配套；崖子镇东夼钟家村更换自来水管道、道路硬化等施工及保修。控制价为</w:t>
      </w:r>
      <w:r>
        <w:rPr>
          <w:rFonts w:ascii="仿宋_GB2312" w:hAnsi="宋体"/>
          <w:color w:val="auto"/>
          <w:szCs w:val="21"/>
        </w:rPr>
        <w:t>173</w:t>
      </w:r>
      <w:r>
        <w:rPr>
          <w:rFonts w:hint="eastAsia" w:ascii="仿宋_GB2312" w:hAnsi="宋体"/>
          <w:color w:val="auto"/>
          <w:szCs w:val="21"/>
        </w:rPr>
        <w:t>万元；具体施工内容详见工程量清单说明、工程量清单。</w:t>
      </w:r>
    </w:p>
    <w:p w14:paraId="680E963D">
      <w:pPr>
        <w:spacing w:line="560" w:lineRule="exact"/>
        <w:ind w:firstLine="562"/>
        <w:rPr>
          <w:rFonts w:ascii="黑体" w:hAnsi="黑体" w:eastAsia="黑体"/>
          <w:b/>
          <w:color w:val="auto"/>
          <w:szCs w:val="21"/>
        </w:rPr>
      </w:pPr>
      <w:r>
        <w:rPr>
          <w:rFonts w:hint="eastAsia" w:ascii="黑体" w:hAnsi="黑体" w:eastAsia="黑体"/>
          <w:b/>
          <w:color w:val="auto"/>
          <w:szCs w:val="21"/>
        </w:rPr>
        <w:t>二、采购目标</w:t>
      </w:r>
    </w:p>
    <w:p w14:paraId="6B28B892">
      <w:pPr>
        <w:pStyle w:val="75"/>
        <w:spacing w:line="560" w:lineRule="exact"/>
        <w:ind w:firstLine="560"/>
        <w:rPr>
          <w:rFonts w:ascii="仿宋_GB2312" w:hAnsi="宋体"/>
          <w:color w:val="auto"/>
        </w:rPr>
      </w:pPr>
      <w:r>
        <w:rPr>
          <w:rFonts w:hint="eastAsia" w:ascii="仿宋_GB2312" w:hAnsi="宋体"/>
          <w:color w:val="auto"/>
        </w:rPr>
        <w:t>采购标的需实现的功能或者目标：【完成</w:t>
      </w:r>
      <w:r>
        <w:rPr>
          <w:rFonts w:ascii="仿宋_GB2312" w:hAnsi="宋体"/>
          <w:color w:val="auto"/>
          <w:szCs w:val="21"/>
        </w:rPr>
        <w:t>乳山市2024年水库移民扶持基金项目和大中型水库移民后期扶持人口自然变化结余资金项目</w:t>
      </w:r>
      <w:r>
        <w:rPr>
          <w:rFonts w:hint="eastAsia" w:ascii="仿宋_GB2312" w:hAnsi="宋体"/>
          <w:color w:val="auto"/>
          <w:szCs w:val="21"/>
        </w:rPr>
        <w:t>施工</w:t>
      </w:r>
      <w:r>
        <w:rPr>
          <w:rFonts w:hint="eastAsia" w:ascii="仿宋_GB2312" w:hAnsi="宋体"/>
          <w:color w:val="auto"/>
        </w:rPr>
        <w:t>】</w:t>
      </w:r>
    </w:p>
    <w:p w14:paraId="429DE4A7">
      <w:pPr>
        <w:pStyle w:val="30"/>
        <w:spacing w:line="560" w:lineRule="exact"/>
        <w:ind w:firstLine="560"/>
        <w:rPr>
          <w:rFonts w:ascii="仿宋_GB2312" w:hAnsi="宋体"/>
          <w:color w:val="auto"/>
          <w:sz w:val="28"/>
        </w:rPr>
      </w:pPr>
      <w:r>
        <w:rPr>
          <w:rFonts w:hint="eastAsia" w:ascii="仿宋_GB2312" w:hAnsi="宋体"/>
          <w:color w:val="auto"/>
          <w:sz w:val="28"/>
        </w:rPr>
        <w:t>为落实政府采购政策需满足的要求：</w:t>
      </w:r>
    </w:p>
    <w:p w14:paraId="28DE682A">
      <w:pPr>
        <w:snapToGrid w:val="0"/>
        <w:spacing w:line="560" w:lineRule="exact"/>
        <w:ind w:firstLine="562" w:firstLineChars="201"/>
        <w:rPr>
          <w:rFonts w:ascii="仿宋_GB2312" w:hAnsi="宋体"/>
          <w:color w:val="auto"/>
          <w:szCs w:val="28"/>
        </w:rPr>
      </w:pPr>
      <w:r>
        <w:rPr>
          <w:rFonts w:hint="eastAsia" w:ascii="仿宋_GB2312" w:hAnsi="宋体"/>
          <w:color w:val="auto"/>
          <w:szCs w:val="28"/>
        </w:rPr>
        <w:t>①所报产品属于《关于调整优化节能产品、环境标志产品政府采购执行机制的通知》（财库〔2019〕9号）规定的政府优先采购范围的，投标（响应）文件中需提供国家确定的认证机构出具的、处于有效期之内的节能产品、环境标志产品认证证书扫描件。采用综合评分法的项目在打分时由评委根据各供应商所报节能、环保产品的报价在其总报价中所占的比重，分别给予报价和技术部分总分值×（节能、环保产品报价/总报价）×5％的加分。所报产品属于《节能产品政府采购品目清单》中规定的政府强制采购节能品目的，不给予优惠政策的加分/价格扣除。</w:t>
      </w:r>
    </w:p>
    <w:p w14:paraId="4AC7B6C8">
      <w:pPr>
        <w:spacing w:line="560" w:lineRule="exact"/>
        <w:ind w:firstLine="562" w:firstLineChars="201"/>
        <w:rPr>
          <w:rFonts w:ascii="仿宋_GB2312" w:hAnsi="宋体"/>
          <w:color w:val="auto"/>
          <w:szCs w:val="28"/>
        </w:rPr>
      </w:pPr>
      <w:r>
        <w:rPr>
          <w:rFonts w:hint="eastAsia" w:ascii="仿宋_GB2312" w:hAnsi="宋体"/>
          <w:color w:val="auto"/>
          <w:szCs w:val="28"/>
        </w:rPr>
        <w:t>②</w:t>
      </w:r>
      <w:r>
        <w:rPr>
          <w:rFonts w:ascii="仿宋_GB2312" w:hAnsi="宋体"/>
          <w:color w:val="auto"/>
          <w:szCs w:val="28"/>
        </w:rPr>
        <w:t>本项目为专门面向中小企业采购项目，供应商提供的货物、工程或服务需满足财政部、工信部等部委发布的《关于印发&lt;政府采购促进中小企业发展管理办法&gt;的通知》（财库〔2020〕46号）中关于中小企业的规定。</w:t>
      </w:r>
    </w:p>
    <w:p w14:paraId="444B0613">
      <w:pPr>
        <w:spacing w:line="560" w:lineRule="exact"/>
        <w:ind w:firstLine="562" w:firstLineChars="201"/>
        <w:rPr>
          <w:rFonts w:ascii="仿宋_GB2312" w:hAnsi="仿宋" w:cs="宋体"/>
          <w:color w:val="auto"/>
          <w:szCs w:val="28"/>
        </w:rPr>
      </w:pPr>
      <w:r>
        <w:rPr>
          <w:rFonts w:hint="eastAsia" w:ascii="仿宋_GB2312" w:hAnsi="宋体"/>
          <w:color w:val="auto"/>
          <w:szCs w:val="28"/>
        </w:rPr>
        <w:t>③</w:t>
      </w:r>
      <w:r>
        <w:rPr>
          <w:rFonts w:ascii="仿宋_GB2312" w:hAnsi="宋体"/>
          <w:color w:val="auto"/>
          <w:szCs w:val="28"/>
        </w:rPr>
        <w:t>若投标人为监狱企业，根据财政部、司法部发布的《关于政府采购支持监狱企业发展有关问题的通知》（财库〔2014〕68号）的规定，在政府采购活动中，视同小型、微型企业。投标时须提供省级以上监狱管理局、戒毒管理局（含新疆生产建设兵团）出具的属于监狱企业的证明文件，否则不享受相关政策。</w:t>
      </w:r>
    </w:p>
    <w:p w14:paraId="7BEFC4FD">
      <w:pPr>
        <w:snapToGrid w:val="0"/>
        <w:spacing w:line="560" w:lineRule="exact"/>
        <w:ind w:firstLine="562" w:firstLineChars="201"/>
        <w:rPr>
          <w:rFonts w:ascii="仿宋_GB2312" w:hAnsi="仿宋" w:cs="宋体"/>
          <w:color w:val="auto"/>
          <w:szCs w:val="28"/>
        </w:rPr>
      </w:pPr>
      <w:r>
        <w:rPr>
          <w:rFonts w:hint="eastAsia" w:ascii="仿宋_GB2312" w:hAnsi="仿宋" w:cs="宋体"/>
          <w:color w:val="auto"/>
          <w:szCs w:val="28"/>
        </w:rPr>
        <w:t>④</w:t>
      </w:r>
      <w:r>
        <w:rPr>
          <w:rFonts w:ascii="仿宋_GB2312" w:hAnsi="仿宋" w:cs="宋体"/>
          <w:color w:val="auto"/>
          <w:szCs w:val="28"/>
        </w:rPr>
        <w:t>若投标人为残疾人福利性单位，在政府采购活动中，视同小型、微型企业，投标时残疾人福利性单位需符合《财政部民政部中国残疾人联合会关于促进残疾人就业政府采购政策的通知》（财库〔2017〕141号）规定的条件，并提供《残疾人福利性单位声明函》，否则不享受相关政策。</w:t>
      </w:r>
    </w:p>
    <w:p w14:paraId="76FCA80E">
      <w:pPr>
        <w:spacing w:line="560" w:lineRule="exact"/>
        <w:ind w:firstLine="562"/>
        <w:rPr>
          <w:rFonts w:ascii="仿宋_GB2312" w:hAnsi="宋体"/>
          <w:b/>
          <w:color w:val="auto"/>
          <w:szCs w:val="21"/>
        </w:rPr>
      </w:pPr>
      <w:r>
        <w:rPr>
          <w:rFonts w:hint="eastAsia" w:ascii="黑体" w:hAnsi="黑体" w:eastAsia="黑体"/>
          <w:b/>
          <w:color w:val="auto"/>
          <w:szCs w:val="21"/>
        </w:rPr>
        <w:t>三、采购预算</w:t>
      </w:r>
    </w:p>
    <w:p w14:paraId="704989A6">
      <w:pPr>
        <w:pStyle w:val="75"/>
        <w:spacing w:line="560" w:lineRule="exact"/>
        <w:ind w:firstLine="560"/>
        <w:rPr>
          <w:rFonts w:ascii="仿宋_GB2312" w:hAnsi="宋体"/>
          <w:color w:val="auto"/>
        </w:rPr>
      </w:pPr>
      <w:r>
        <w:rPr>
          <w:rFonts w:hint="eastAsia" w:ascii="仿宋_GB2312" w:hAnsi="宋体"/>
          <w:color w:val="auto"/>
        </w:rPr>
        <w:t>本项目包段的采购预算金额为</w:t>
      </w:r>
      <w:r>
        <w:rPr>
          <w:rFonts w:ascii="仿宋_GB2312" w:hAnsi="宋体"/>
          <w:color w:val="auto"/>
        </w:rPr>
        <w:t>1730000.00</w:t>
      </w:r>
      <w:r>
        <w:rPr>
          <w:rFonts w:hint="eastAsia" w:ascii="仿宋_GB2312" w:hAnsi="宋体"/>
          <w:color w:val="auto"/>
        </w:rPr>
        <w:t>元。</w:t>
      </w:r>
    </w:p>
    <w:p w14:paraId="78BF1205">
      <w:pPr>
        <w:spacing w:line="560" w:lineRule="exact"/>
        <w:ind w:firstLine="562"/>
        <w:rPr>
          <w:rFonts w:ascii="黑体" w:hAnsi="黑体" w:eastAsia="黑体"/>
          <w:b/>
          <w:color w:val="auto"/>
          <w:szCs w:val="21"/>
        </w:rPr>
      </w:pPr>
      <w:r>
        <w:rPr>
          <w:rFonts w:hint="eastAsia" w:ascii="黑体" w:hAnsi="黑体" w:eastAsia="黑体"/>
          <w:b/>
          <w:color w:val="auto"/>
          <w:szCs w:val="21"/>
        </w:rPr>
        <w:t>四、采购方式</w:t>
      </w:r>
    </w:p>
    <w:p w14:paraId="6FAAE8BC">
      <w:pPr>
        <w:pStyle w:val="75"/>
        <w:spacing w:line="560" w:lineRule="exact"/>
        <w:ind w:firstLine="560"/>
        <w:rPr>
          <w:rFonts w:ascii="仿宋_GB2312" w:hAnsi="宋体"/>
          <w:color w:val="auto"/>
        </w:rPr>
      </w:pPr>
      <w:r>
        <w:rPr>
          <w:rFonts w:hint="eastAsia" w:ascii="仿宋_GB2312" w:hAnsi="宋体"/>
          <w:color w:val="auto"/>
        </w:rPr>
        <w:t>本项目包段采用竞争性磋商方式进行采购。</w:t>
      </w:r>
    </w:p>
    <w:p w14:paraId="6C8F21D1">
      <w:pPr>
        <w:widowControl/>
        <w:spacing w:line="560" w:lineRule="exact"/>
        <w:ind w:firstLine="643"/>
        <w:jc w:val="center"/>
        <w:rPr>
          <w:rFonts w:ascii="楷体_GB2312" w:hAnsi="宋体" w:eastAsia="楷体_GB2312"/>
          <w:b/>
          <w:bCs/>
          <w:color w:val="auto"/>
          <w:kern w:val="44"/>
          <w:sz w:val="32"/>
          <w:szCs w:val="30"/>
        </w:rPr>
        <w:sectPr>
          <w:headerReference r:id="rId22" w:type="default"/>
          <w:footerReference r:id="rId23" w:type="default"/>
          <w:pgSz w:w="11906" w:h="16838"/>
          <w:pgMar w:top="1440" w:right="1077" w:bottom="1440" w:left="1077" w:header="851" w:footer="992" w:gutter="0"/>
          <w:cols w:space="720" w:num="1"/>
          <w:docGrid w:type="lines" w:linePitch="312" w:charSpace="0"/>
        </w:sectPr>
      </w:pPr>
    </w:p>
    <w:p w14:paraId="71A5D89D">
      <w:pPr>
        <w:widowControl/>
        <w:spacing w:line="560" w:lineRule="exact"/>
        <w:ind w:firstLine="643"/>
        <w:jc w:val="center"/>
        <w:rPr>
          <w:rFonts w:ascii="楷体_GB2312" w:hAnsi="宋体" w:eastAsia="楷体_GB2312"/>
          <w:b/>
          <w:bCs/>
          <w:color w:val="auto"/>
          <w:kern w:val="44"/>
          <w:sz w:val="32"/>
          <w:szCs w:val="30"/>
        </w:rPr>
      </w:pPr>
      <w:r>
        <w:rPr>
          <w:rFonts w:hint="eastAsia" w:ascii="楷体_GB2312" w:hAnsi="宋体" w:eastAsia="楷体_GB2312"/>
          <w:b/>
          <w:bCs/>
          <w:color w:val="auto"/>
          <w:kern w:val="44"/>
          <w:sz w:val="32"/>
          <w:szCs w:val="30"/>
        </w:rPr>
        <w:t>第二部分 采购清单及技术参数</w:t>
      </w:r>
    </w:p>
    <w:p w14:paraId="34592E54">
      <w:pPr>
        <w:pStyle w:val="17"/>
        <w:spacing w:line="560" w:lineRule="exact"/>
        <w:ind w:firstLine="560"/>
        <w:rPr>
          <w:rFonts w:ascii="仿宋_GB2312" w:hAnsi="宋体"/>
          <w:color w:val="auto"/>
          <w:szCs w:val="21"/>
        </w:rPr>
      </w:pPr>
      <w:r>
        <w:rPr>
          <w:rFonts w:hint="eastAsia" w:ascii="仿宋_GB2312" w:hAnsi="宋体"/>
          <w:color w:val="auto"/>
          <w:szCs w:val="21"/>
        </w:rPr>
        <w:t xml:space="preserve">本项目包段的采购标的物如下，供应商需逐项进行报价： </w:t>
      </w:r>
    </w:p>
    <w:tbl>
      <w:tblPr>
        <w:tblStyle w:val="45"/>
        <w:tblW w:w="131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705"/>
        <w:gridCol w:w="993"/>
        <w:gridCol w:w="992"/>
        <w:gridCol w:w="1417"/>
        <w:gridCol w:w="1134"/>
        <w:gridCol w:w="851"/>
        <w:gridCol w:w="7008"/>
      </w:tblGrid>
      <w:tr w14:paraId="3D0B1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705" w:type="dxa"/>
            <w:shd w:val="clear" w:color="auto" w:fill="D9D9D9"/>
            <w:vAlign w:val="center"/>
          </w:tcPr>
          <w:p w14:paraId="6860D7E7">
            <w:pPr>
              <w:ind w:firstLine="0" w:firstLineChars="0"/>
              <w:jc w:val="center"/>
              <w:rPr>
                <w:rFonts w:ascii="仿宋_GB2312" w:hAnsi="宋体"/>
                <w:b/>
                <w:color w:val="auto"/>
                <w:sz w:val="24"/>
              </w:rPr>
            </w:pPr>
            <w:r>
              <w:rPr>
                <w:rFonts w:hint="eastAsia" w:ascii="仿宋_GB2312" w:hAnsi="宋体"/>
                <w:b/>
                <w:color w:val="auto"/>
                <w:sz w:val="24"/>
              </w:rPr>
              <w:t>序号</w:t>
            </w:r>
          </w:p>
        </w:tc>
        <w:tc>
          <w:tcPr>
            <w:tcW w:w="993" w:type="dxa"/>
            <w:shd w:val="clear" w:color="auto" w:fill="D9D9D9"/>
            <w:vAlign w:val="center"/>
          </w:tcPr>
          <w:p w14:paraId="5E25AAC7">
            <w:pPr>
              <w:ind w:firstLine="0" w:firstLineChars="0"/>
              <w:jc w:val="center"/>
              <w:rPr>
                <w:rFonts w:ascii="仿宋_GB2312" w:hAnsi="宋体"/>
                <w:b/>
                <w:color w:val="auto"/>
                <w:sz w:val="24"/>
              </w:rPr>
            </w:pPr>
            <w:r>
              <w:rPr>
                <w:rFonts w:hint="eastAsia" w:ascii="仿宋_GB2312" w:hAnsi="宋体"/>
                <w:b/>
                <w:color w:val="auto"/>
                <w:sz w:val="24"/>
              </w:rPr>
              <w:t>分类</w:t>
            </w:r>
          </w:p>
        </w:tc>
        <w:tc>
          <w:tcPr>
            <w:tcW w:w="992" w:type="dxa"/>
            <w:shd w:val="clear" w:color="auto" w:fill="D9D9D9"/>
            <w:vAlign w:val="center"/>
          </w:tcPr>
          <w:p w14:paraId="4FCF569D">
            <w:pPr>
              <w:ind w:firstLine="0" w:firstLineChars="0"/>
              <w:jc w:val="center"/>
              <w:rPr>
                <w:rFonts w:ascii="仿宋_GB2312" w:hAnsi="宋体"/>
                <w:b/>
                <w:color w:val="auto"/>
                <w:sz w:val="24"/>
              </w:rPr>
            </w:pPr>
            <w:r>
              <w:rPr>
                <w:rFonts w:hint="eastAsia" w:ascii="仿宋_GB2312" w:hAnsi="宋体"/>
                <w:b/>
                <w:color w:val="auto"/>
                <w:sz w:val="24"/>
              </w:rPr>
              <w:t>清单</w:t>
            </w:r>
          </w:p>
          <w:p w14:paraId="3AF14DC6">
            <w:pPr>
              <w:ind w:firstLine="0" w:firstLineChars="0"/>
              <w:jc w:val="center"/>
              <w:rPr>
                <w:rFonts w:ascii="仿宋_GB2312" w:hAnsi="宋体"/>
                <w:b/>
                <w:color w:val="auto"/>
                <w:sz w:val="24"/>
              </w:rPr>
            </w:pPr>
            <w:r>
              <w:rPr>
                <w:rFonts w:hint="eastAsia" w:ascii="仿宋_GB2312" w:hAnsi="宋体"/>
                <w:b/>
                <w:color w:val="auto"/>
                <w:sz w:val="24"/>
              </w:rPr>
              <w:t>分组</w:t>
            </w:r>
          </w:p>
        </w:tc>
        <w:tc>
          <w:tcPr>
            <w:tcW w:w="1417" w:type="dxa"/>
            <w:shd w:val="clear" w:color="auto" w:fill="D9D9D9"/>
            <w:vAlign w:val="center"/>
          </w:tcPr>
          <w:p w14:paraId="67B83170">
            <w:pPr>
              <w:ind w:firstLine="0" w:firstLineChars="0"/>
              <w:jc w:val="center"/>
              <w:rPr>
                <w:rFonts w:ascii="仿宋_GB2312" w:hAnsi="宋体"/>
                <w:b/>
                <w:color w:val="auto"/>
                <w:sz w:val="24"/>
              </w:rPr>
            </w:pPr>
            <w:r>
              <w:rPr>
                <w:rFonts w:hint="eastAsia" w:ascii="仿宋_GB2312" w:hAnsi="宋体"/>
                <w:b/>
                <w:color w:val="auto"/>
                <w:sz w:val="24"/>
              </w:rPr>
              <w:t>清单名称</w:t>
            </w:r>
          </w:p>
        </w:tc>
        <w:tc>
          <w:tcPr>
            <w:tcW w:w="1134" w:type="dxa"/>
            <w:shd w:val="clear" w:color="auto" w:fill="D9D9D9"/>
            <w:vAlign w:val="center"/>
          </w:tcPr>
          <w:p w14:paraId="490CFFAF">
            <w:pPr>
              <w:ind w:firstLine="0" w:firstLineChars="0"/>
              <w:jc w:val="center"/>
              <w:rPr>
                <w:rFonts w:ascii="仿宋_GB2312" w:hAnsi="宋体"/>
                <w:b/>
                <w:color w:val="auto"/>
                <w:sz w:val="24"/>
              </w:rPr>
            </w:pPr>
            <w:r>
              <w:rPr>
                <w:rFonts w:hint="eastAsia" w:ascii="仿宋_GB2312" w:hAnsi="宋体"/>
                <w:b/>
                <w:color w:val="auto"/>
                <w:sz w:val="24"/>
              </w:rPr>
              <w:t>数量</w:t>
            </w:r>
          </w:p>
        </w:tc>
        <w:tc>
          <w:tcPr>
            <w:tcW w:w="851" w:type="dxa"/>
            <w:shd w:val="clear" w:color="auto" w:fill="D9D9D9"/>
            <w:vAlign w:val="center"/>
          </w:tcPr>
          <w:p w14:paraId="0978818A">
            <w:pPr>
              <w:ind w:firstLine="0" w:firstLineChars="0"/>
              <w:jc w:val="center"/>
              <w:rPr>
                <w:rFonts w:ascii="仿宋_GB2312" w:hAnsi="宋体"/>
                <w:b/>
                <w:color w:val="auto"/>
                <w:sz w:val="24"/>
              </w:rPr>
            </w:pPr>
            <w:r>
              <w:rPr>
                <w:rFonts w:hint="eastAsia" w:ascii="仿宋_GB2312" w:hAnsi="宋体"/>
                <w:b/>
                <w:color w:val="auto"/>
                <w:sz w:val="24"/>
              </w:rPr>
              <w:t>单位</w:t>
            </w:r>
          </w:p>
        </w:tc>
        <w:tc>
          <w:tcPr>
            <w:tcW w:w="7008" w:type="dxa"/>
            <w:shd w:val="clear" w:color="auto" w:fill="D9D9D9"/>
            <w:vAlign w:val="center"/>
          </w:tcPr>
          <w:p w14:paraId="236F06AA">
            <w:pPr>
              <w:ind w:firstLine="0" w:firstLineChars="0"/>
              <w:jc w:val="center"/>
              <w:rPr>
                <w:rFonts w:ascii="仿宋_GB2312" w:hAnsi="宋体"/>
                <w:b/>
                <w:color w:val="auto"/>
                <w:sz w:val="24"/>
              </w:rPr>
            </w:pPr>
            <w:r>
              <w:rPr>
                <w:rFonts w:hint="eastAsia" w:ascii="仿宋_GB2312" w:hAnsi="宋体"/>
                <w:b/>
                <w:color w:val="auto"/>
                <w:sz w:val="24"/>
              </w:rPr>
              <w:t>功能与技术参数</w:t>
            </w:r>
          </w:p>
        </w:tc>
      </w:tr>
      <w:tr w14:paraId="0AA2B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970" w:hRule="atLeast"/>
          <w:jc w:val="center"/>
        </w:trPr>
        <w:tc>
          <w:tcPr>
            <w:tcW w:w="705" w:type="dxa"/>
            <w:vAlign w:val="center"/>
          </w:tcPr>
          <w:p w14:paraId="19955E96">
            <w:pPr>
              <w:ind w:firstLine="0" w:firstLineChars="0"/>
              <w:jc w:val="center"/>
              <w:rPr>
                <w:rFonts w:ascii="仿宋_GB2312" w:hAnsi="宋体"/>
                <w:color w:val="auto"/>
                <w:sz w:val="24"/>
              </w:rPr>
            </w:pPr>
            <w:r>
              <w:rPr>
                <w:rFonts w:hint="eastAsia" w:ascii="仿宋_GB2312" w:hAnsi="宋体"/>
                <w:color w:val="auto"/>
                <w:sz w:val="24"/>
              </w:rPr>
              <w:t>1</w:t>
            </w:r>
          </w:p>
        </w:tc>
        <w:tc>
          <w:tcPr>
            <w:tcW w:w="993" w:type="dxa"/>
            <w:vAlign w:val="center"/>
          </w:tcPr>
          <w:p w14:paraId="3744ADCD">
            <w:pPr>
              <w:ind w:firstLine="0" w:firstLineChars="0"/>
              <w:jc w:val="center"/>
              <w:rPr>
                <w:rFonts w:ascii="仿宋_GB2312" w:hAnsi="宋体"/>
                <w:color w:val="auto"/>
                <w:sz w:val="24"/>
              </w:rPr>
            </w:pPr>
            <w:r>
              <w:rPr>
                <w:rFonts w:hint="eastAsia" w:ascii="仿宋_GB2312" w:hAnsi="宋体"/>
                <w:color w:val="auto"/>
                <w:sz w:val="24"/>
              </w:rPr>
              <w:t>工程</w:t>
            </w:r>
          </w:p>
        </w:tc>
        <w:tc>
          <w:tcPr>
            <w:tcW w:w="992" w:type="dxa"/>
            <w:vAlign w:val="center"/>
          </w:tcPr>
          <w:p w14:paraId="27EF6FCF">
            <w:pPr>
              <w:ind w:firstLine="0" w:firstLineChars="0"/>
              <w:jc w:val="center"/>
              <w:rPr>
                <w:rFonts w:ascii="仿宋_GB2312" w:hAnsi="宋体"/>
                <w:color w:val="auto"/>
                <w:sz w:val="24"/>
              </w:rPr>
            </w:pPr>
          </w:p>
        </w:tc>
        <w:tc>
          <w:tcPr>
            <w:tcW w:w="1417" w:type="dxa"/>
            <w:vAlign w:val="center"/>
          </w:tcPr>
          <w:p w14:paraId="2EDADECF">
            <w:pPr>
              <w:ind w:firstLine="0" w:firstLineChars="0"/>
              <w:jc w:val="center"/>
              <w:rPr>
                <w:rFonts w:ascii="仿宋_GB2312" w:hAnsi="宋体"/>
                <w:color w:val="auto"/>
                <w:sz w:val="24"/>
              </w:rPr>
            </w:pPr>
            <w:r>
              <w:rPr>
                <w:rFonts w:ascii="仿宋_GB2312" w:hAnsi="宋体"/>
                <w:color w:val="auto"/>
                <w:sz w:val="24"/>
              </w:rPr>
              <w:t xml:space="preserve"> 乳山市2024年水库移民扶持基金项目和大中型水库移民后期扶持人口自然变化结余资金项目施工</w:t>
            </w:r>
          </w:p>
        </w:tc>
        <w:tc>
          <w:tcPr>
            <w:tcW w:w="1134" w:type="dxa"/>
            <w:vAlign w:val="center"/>
          </w:tcPr>
          <w:p w14:paraId="098CA4BA">
            <w:pPr>
              <w:ind w:firstLine="0" w:firstLineChars="0"/>
              <w:jc w:val="center"/>
              <w:rPr>
                <w:rFonts w:ascii="仿宋_GB2312" w:hAnsi="宋体"/>
                <w:color w:val="auto"/>
                <w:sz w:val="24"/>
              </w:rPr>
            </w:pPr>
            <w:r>
              <w:rPr>
                <w:rFonts w:hint="eastAsia" w:ascii="仿宋_GB2312" w:hAnsi="宋体"/>
                <w:color w:val="auto"/>
                <w:sz w:val="24"/>
              </w:rPr>
              <w:t>1</w:t>
            </w:r>
          </w:p>
        </w:tc>
        <w:tc>
          <w:tcPr>
            <w:tcW w:w="851" w:type="dxa"/>
            <w:vAlign w:val="center"/>
          </w:tcPr>
          <w:p w14:paraId="4ADA53E9">
            <w:pPr>
              <w:ind w:firstLine="0" w:firstLineChars="0"/>
              <w:jc w:val="center"/>
              <w:rPr>
                <w:rFonts w:ascii="仿宋_GB2312" w:hAnsi="宋体"/>
                <w:color w:val="auto"/>
                <w:sz w:val="24"/>
              </w:rPr>
            </w:pPr>
            <w:r>
              <w:rPr>
                <w:rFonts w:hint="eastAsia" w:ascii="仿宋_GB2312" w:hAnsi="宋体"/>
                <w:color w:val="auto"/>
                <w:sz w:val="24"/>
              </w:rPr>
              <w:t>宗</w:t>
            </w:r>
          </w:p>
        </w:tc>
        <w:tc>
          <w:tcPr>
            <w:tcW w:w="7008" w:type="dxa"/>
            <w:vAlign w:val="center"/>
          </w:tcPr>
          <w:p w14:paraId="011768BE">
            <w:pPr>
              <w:ind w:firstLine="0" w:firstLineChars="0"/>
              <w:rPr>
                <w:rFonts w:ascii="仿宋_GB2312" w:hAnsi="宋体"/>
                <w:color w:val="auto"/>
                <w:sz w:val="24"/>
              </w:rPr>
            </w:pPr>
            <w:r>
              <w:rPr>
                <w:rFonts w:hint="eastAsia" w:ascii="仿宋_GB2312" w:hAnsi="宋体"/>
                <w:color w:val="auto"/>
                <w:sz w:val="24"/>
              </w:rPr>
              <w:t>育黎镇塔庄村道路硬化、育黎镇老由古村道路硬化、育黎镇北勇家村道路硬化、路灯购置安装、海阳所镇贾家庄村道路硬化、夏村镇清口涧村道路硬化、诸往镇许家村道路硬化、崖子镇双石村道路硬化、崖子镇转山头村新打深井、泵房及配套、崖子镇矫家泊村新打深井、泵房及配套；崖子镇东夼钟家村更换自来水管道、道路硬化等施工及保修。详见工程量清单。</w:t>
            </w:r>
          </w:p>
        </w:tc>
      </w:tr>
    </w:tbl>
    <w:p w14:paraId="32CD2242">
      <w:pPr>
        <w:widowControl/>
        <w:spacing w:line="200" w:lineRule="exact"/>
        <w:jc w:val="center"/>
        <w:rPr>
          <w:rFonts w:ascii="仿宋_GB2312" w:hAnsi="宋体"/>
          <w:color w:val="auto"/>
          <w:sz w:val="10"/>
          <w:szCs w:val="10"/>
        </w:rPr>
      </w:pPr>
    </w:p>
    <w:p w14:paraId="7A88A0C0">
      <w:pPr>
        <w:widowControl/>
        <w:spacing w:line="560" w:lineRule="exact"/>
        <w:ind w:firstLine="560"/>
        <w:jc w:val="left"/>
        <w:rPr>
          <w:rFonts w:ascii="仿宋_GB2312" w:hAnsi="宋体"/>
          <w:color w:val="auto"/>
          <w:szCs w:val="21"/>
        </w:rPr>
      </w:pPr>
    </w:p>
    <w:p w14:paraId="3B84A39C">
      <w:pPr>
        <w:widowControl/>
        <w:spacing w:line="560" w:lineRule="exact"/>
        <w:ind w:firstLine="643"/>
        <w:jc w:val="center"/>
        <w:rPr>
          <w:rFonts w:ascii="楷体_GB2312" w:hAnsi="宋体" w:eastAsia="楷体_GB2312"/>
          <w:b/>
          <w:bCs/>
          <w:color w:val="auto"/>
          <w:kern w:val="44"/>
          <w:sz w:val="32"/>
          <w:szCs w:val="30"/>
        </w:rPr>
        <w:sectPr>
          <w:pgSz w:w="16838" w:h="11906" w:orient="landscape"/>
          <w:pgMar w:top="1077" w:right="1440" w:bottom="1077" w:left="1440" w:header="851" w:footer="992" w:gutter="0"/>
          <w:cols w:space="720" w:num="1"/>
          <w:docGrid w:type="lines" w:linePitch="312" w:charSpace="0"/>
        </w:sectPr>
      </w:pPr>
    </w:p>
    <w:p w14:paraId="675453DE">
      <w:pPr>
        <w:widowControl/>
        <w:spacing w:line="560" w:lineRule="exact"/>
        <w:ind w:firstLine="643"/>
        <w:jc w:val="center"/>
        <w:rPr>
          <w:rFonts w:ascii="楷体_GB2312" w:hAnsi="宋体" w:eastAsia="楷体_GB2312"/>
          <w:b/>
          <w:bCs/>
          <w:color w:val="auto"/>
          <w:kern w:val="44"/>
          <w:sz w:val="32"/>
          <w:szCs w:val="30"/>
        </w:rPr>
      </w:pPr>
      <w:r>
        <w:rPr>
          <w:rFonts w:hint="eastAsia" w:ascii="楷体_GB2312" w:hAnsi="宋体" w:eastAsia="楷体_GB2312"/>
          <w:b/>
          <w:bCs/>
          <w:color w:val="auto"/>
          <w:kern w:val="44"/>
          <w:sz w:val="32"/>
          <w:szCs w:val="30"/>
        </w:rPr>
        <w:t>第三部分 技术要求</w:t>
      </w:r>
    </w:p>
    <w:p w14:paraId="0FE00CED">
      <w:pPr>
        <w:spacing w:line="560" w:lineRule="exact"/>
        <w:ind w:firstLine="562"/>
        <w:rPr>
          <w:rFonts w:ascii="黑体" w:hAnsi="黑体" w:eastAsia="黑体"/>
          <w:b/>
          <w:color w:val="auto"/>
          <w:szCs w:val="21"/>
        </w:rPr>
      </w:pPr>
      <w:r>
        <w:rPr>
          <w:rFonts w:hint="eastAsia" w:ascii="黑体" w:hAnsi="黑体" w:eastAsia="黑体"/>
          <w:b/>
          <w:color w:val="auto"/>
          <w:szCs w:val="21"/>
        </w:rPr>
        <w:t>一、需执行的标准</w:t>
      </w:r>
    </w:p>
    <w:p w14:paraId="29B8AD7E">
      <w:pPr>
        <w:spacing w:line="560" w:lineRule="exact"/>
        <w:ind w:firstLine="560"/>
        <w:rPr>
          <w:rFonts w:ascii="仿宋_GB2312" w:hAnsi="宋体"/>
          <w:color w:val="auto"/>
          <w:szCs w:val="21"/>
        </w:rPr>
      </w:pPr>
      <w:r>
        <w:rPr>
          <w:rFonts w:hint="eastAsia" w:ascii="仿宋_GB2312" w:hAnsi="宋体"/>
          <w:color w:val="auto"/>
          <w:szCs w:val="21"/>
        </w:rPr>
        <w:t xml:space="preserve">1）国家相关标准：按照国家最新标准执行  </w:t>
      </w:r>
    </w:p>
    <w:p w14:paraId="5AC8BF64">
      <w:pPr>
        <w:spacing w:line="560" w:lineRule="exact"/>
        <w:ind w:firstLine="560"/>
        <w:rPr>
          <w:rFonts w:ascii="仿宋_GB2312" w:hAnsi="宋体"/>
          <w:color w:val="auto"/>
          <w:szCs w:val="21"/>
        </w:rPr>
      </w:pPr>
      <w:r>
        <w:rPr>
          <w:rFonts w:hint="eastAsia" w:ascii="仿宋_GB2312" w:hAnsi="宋体"/>
          <w:color w:val="auto"/>
          <w:szCs w:val="21"/>
        </w:rPr>
        <w:t xml:space="preserve">2）行业标准：按照行业最新标准执行  </w:t>
      </w:r>
    </w:p>
    <w:p w14:paraId="4AC6144C">
      <w:pPr>
        <w:spacing w:line="560" w:lineRule="exact"/>
        <w:ind w:firstLine="560"/>
        <w:rPr>
          <w:rFonts w:ascii="仿宋_GB2312" w:hAnsi="宋体"/>
          <w:color w:val="auto"/>
          <w:szCs w:val="21"/>
        </w:rPr>
      </w:pPr>
      <w:r>
        <w:rPr>
          <w:rFonts w:hint="eastAsia" w:ascii="仿宋_GB2312" w:hAnsi="宋体"/>
          <w:color w:val="auto"/>
          <w:szCs w:val="21"/>
        </w:rPr>
        <w:t xml:space="preserve">3）地方标准：按照地方最新标准执行  </w:t>
      </w:r>
    </w:p>
    <w:p w14:paraId="326FFC27">
      <w:pPr>
        <w:spacing w:line="560" w:lineRule="exact"/>
        <w:ind w:firstLine="560"/>
        <w:rPr>
          <w:rFonts w:ascii="仿宋_GB2312" w:hAnsi="宋体"/>
          <w:color w:val="auto"/>
          <w:szCs w:val="21"/>
        </w:rPr>
      </w:pPr>
      <w:r>
        <w:rPr>
          <w:rFonts w:hint="eastAsia" w:ascii="仿宋_GB2312" w:hAnsi="宋体"/>
          <w:color w:val="auto"/>
          <w:szCs w:val="21"/>
        </w:rPr>
        <w:t xml:space="preserve">4）其他标准：按照最新标准执行 </w:t>
      </w:r>
    </w:p>
    <w:p w14:paraId="0D57C036">
      <w:pPr>
        <w:spacing w:line="560" w:lineRule="exact"/>
        <w:ind w:firstLine="562"/>
        <w:rPr>
          <w:rFonts w:ascii="黑体" w:hAnsi="黑体" w:eastAsia="黑体"/>
          <w:b/>
          <w:color w:val="auto"/>
          <w:szCs w:val="21"/>
        </w:rPr>
      </w:pPr>
      <w:r>
        <w:rPr>
          <w:rFonts w:hint="eastAsia" w:ascii="黑体" w:hAnsi="黑体" w:eastAsia="黑体"/>
          <w:b/>
          <w:color w:val="auto"/>
          <w:szCs w:val="21"/>
        </w:rPr>
        <w:t>二、实施及交付</w:t>
      </w:r>
    </w:p>
    <w:p w14:paraId="2AE775FE">
      <w:pPr>
        <w:spacing w:line="560" w:lineRule="exact"/>
        <w:ind w:firstLine="560"/>
        <w:rPr>
          <w:rFonts w:ascii="仿宋_GB2312" w:hAnsi="宋体"/>
          <w:color w:val="auto"/>
          <w:szCs w:val="21"/>
        </w:rPr>
      </w:pPr>
      <w:r>
        <w:rPr>
          <w:rFonts w:hint="eastAsia" w:ascii="仿宋_GB2312" w:hAnsi="宋体"/>
          <w:color w:val="auto"/>
          <w:szCs w:val="21"/>
        </w:rPr>
        <w:t xml:space="preserve">1）质量要求：合格 </w:t>
      </w:r>
    </w:p>
    <w:p w14:paraId="5B91C655">
      <w:pPr>
        <w:spacing w:line="560" w:lineRule="exact"/>
        <w:ind w:firstLine="560"/>
        <w:rPr>
          <w:rFonts w:ascii="仿宋_GB2312" w:hAnsi="宋体"/>
          <w:color w:val="auto"/>
          <w:szCs w:val="21"/>
        </w:rPr>
      </w:pPr>
      <w:r>
        <w:rPr>
          <w:rFonts w:ascii="仿宋_GB2312" w:hAnsi="宋体"/>
          <w:color w:val="auto"/>
          <w:szCs w:val="21"/>
        </w:rPr>
        <w:t>2）安全要求</w:t>
      </w:r>
      <w:r>
        <w:rPr>
          <w:rFonts w:hint="eastAsia" w:ascii="仿宋_GB2312" w:hAnsi="宋体"/>
          <w:color w:val="auto"/>
          <w:szCs w:val="21"/>
        </w:rPr>
        <w:t xml:space="preserve">：使用安全、可靠 </w:t>
      </w:r>
    </w:p>
    <w:p w14:paraId="117DBA4D">
      <w:pPr>
        <w:spacing w:line="560" w:lineRule="exact"/>
        <w:ind w:firstLine="560"/>
        <w:rPr>
          <w:rFonts w:ascii="仿宋_GB2312" w:hAnsi="宋体"/>
          <w:color w:val="auto"/>
          <w:szCs w:val="21"/>
        </w:rPr>
      </w:pPr>
      <w:r>
        <w:rPr>
          <w:rFonts w:hint="eastAsia" w:ascii="仿宋_GB2312" w:hAnsi="宋体"/>
          <w:color w:val="auto"/>
          <w:szCs w:val="21"/>
        </w:rPr>
        <w:t>3）工期：</w:t>
      </w:r>
      <w:r>
        <w:rPr>
          <w:rFonts w:hint="eastAsia" w:ascii="仿宋_GB2312" w:hAnsi="宋体"/>
          <w:color w:val="auto"/>
          <w:szCs w:val="21"/>
          <w:lang w:val="en-US" w:eastAsia="zh-CN"/>
        </w:rPr>
        <w:t>2025年3月底前完工</w:t>
      </w:r>
    </w:p>
    <w:p w14:paraId="5450E697">
      <w:pPr>
        <w:spacing w:line="560" w:lineRule="exact"/>
        <w:ind w:firstLine="560"/>
        <w:rPr>
          <w:rFonts w:ascii="仿宋_GB2312" w:hAnsi="宋体"/>
          <w:color w:val="auto"/>
          <w:szCs w:val="21"/>
        </w:rPr>
      </w:pPr>
      <w:r>
        <w:rPr>
          <w:rFonts w:ascii="仿宋_GB2312" w:hAnsi="宋体"/>
          <w:color w:val="auto"/>
          <w:szCs w:val="21"/>
        </w:rPr>
        <w:t>4）交付（实施）地点</w:t>
      </w:r>
    </w:p>
    <w:p w14:paraId="5C3D8E76">
      <w:pPr>
        <w:spacing w:line="560" w:lineRule="exact"/>
        <w:ind w:firstLine="560"/>
        <w:rPr>
          <w:rFonts w:ascii="仿宋_GB2312" w:hAnsi="宋体"/>
          <w:color w:val="auto"/>
          <w:szCs w:val="21"/>
        </w:rPr>
      </w:pPr>
      <w:r>
        <w:rPr>
          <w:rFonts w:hint="eastAsia" w:ascii="仿宋_GB2312" w:hAnsi="宋体"/>
          <w:color w:val="auto"/>
          <w:szCs w:val="21"/>
        </w:rPr>
        <w:t xml:space="preserve">采购人指定地点 </w:t>
      </w:r>
    </w:p>
    <w:p w14:paraId="1F2F5C24">
      <w:pPr>
        <w:spacing w:line="560" w:lineRule="exact"/>
        <w:ind w:firstLine="560"/>
        <w:rPr>
          <w:rFonts w:ascii="仿宋_GB2312" w:hAnsi="宋体"/>
          <w:color w:val="auto"/>
          <w:szCs w:val="21"/>
        </w:rPr>
      </w:pPr>
      <w:r>
        <w:rPr>
          <w:rFonts w:hint="eastAsia" w:ascii="仿宋_GB2312" w:hAnsi="宋体"/>
          <w:color w:val="auto"/>
          <w:szCs w:val="21"/>
        </w:rPr>
        <w:t>5）付款方式</w:t>
      </w:r>
    </w:p>
    <w:p w14:paraId="73E58C28">
      <w:pPr>
        <w:spacing w:line="560" w:lineRule="exact"/>
        <w:ind w:firstLine="560"/>
        <w:rPr>
          <w:rFonts w:ascii="仿宋_GB2312" w:hAnsi="宋体"/>
          <w:color w:val="auto"/>
          <w:szCs w:val="21"/>
        </w:rPr>
      </w:pPr>
      <w:r>
        <w:rPr>
          <w:rFonts w:hint="eastAsia" w:ascii="仿宋_GB2312" w:hAnsi="宋体"/>
          <w:color w:val="auto"/>
          <w:szCs w:val="21"/>
        </w:rPr>
        <w:t>本项目无预付款，施工期间按工程形象进度拨款，支付计量工程款的50%，工程验收合格后，支付到合同价款的85%，结算审定付到结算价款的97%，余款3%作为质量保证金，在工程缺陷责任期结束后无质量问题一次性付清。</w:t>
      </w:r>
    </w:p>
    <w:p w14:paraId="4993514B">
      <w:pPr>
        <w:spacing w:line="560" w:lineRule="exact"/>
        <w:ind w:firstLine="562"/>
        <w:rPr>
          <w:rFonts w:ascii="黑体" w:hAnsi="黑体" w:eastAsia="黑体"/>
          <w:b/>
          <w:color w:val="auto"/>
          <w:szCs w:val="21"/>
        </w:rPr>
      </w:pPr>
      <w:r>
        <w:rPr>
          <w:rFonts w:hint="eastAsia" w:ascii="黑体" w:hAnsi="黑体" w:eastAsia="黑体"/>
          <w:b/>
          <w:color w:val="auto"/>
          <w:szCs w:val="21"/>
        </w:rPr>
        <w:t>三、服务要求</w:t>
      </w:r>
    </w:p>
    <w:p w14:paraId="61D8382F">
      <w:pPr>
        <w:spacing w:line="560" w:lineRule="exact"/>
        <w:ind w:firstLine="560"/>
        <w:rPr>
          <w:rFonts w:ascii="仿宋_GB2312" w:hAnsi="宋体"/>
          <w:color w:val="auto"/>
          <w:szCs w:val="21"/>
        </w:rPr>
      </w:pPr>
      <w:r>
        <w:rPr>
          <w:rFonts w:hint="eastAsia" w:ascii="仿宋_GB2312" w:hAnsi="宋体"/>
          <w:color w:val="auto"/>
          <w:szCs w:val="21"/>
        </w:rPr>
        <w:t>1）服务标准</w:t>
      </w:r>
    </w:p>
    <w:p w14:paraId="1F565B7B">
      <w:pPr>
        <w:spacing w:line="560" w:lineRule="exact"/>
        <w:ind w:firstLine="560"/>
        <w:rPr>
          <w:rFonts w:ascii="仿宋_GB2312" w:hAnsi="宋体"/>
          <w:color w:val="auto"/>
          <w:szCs w:val="21"/>
        </w:rPr>
      </w:pPr>
      <w:r>
        <w:rPr>
          <w:rFonts w:hint="eastAsia" w:ascii="仿宋_GB2312" w:hAnsi="宋体"/>
          <w:color w:val="auto"/>
          <w:szCs w:val="21"/>
        </w:rPr>
        <w:t xml:space="preserve">达到采购文件要求 </w:t>
      </w:r>
    </w:p>
    <w:p w14:paraId="75075E7F">
      <w:pPr>
        <w:spacing w:line="560" w:lineRule="exact"/>
        <w:ind w:firstLine="560"/>
        <w:rPr>
          <w:rFonts w:ascii="仿宋_GB2312" w:hAnsi="宋体"/>
          <w:color w:val="auto"/>
          <w:szCs w:val="21"/>
        </w:rPr>
      </w:pPr>
      <w:r>
        <w:rPr>
          <w:rFonts w:ascii="仿宋_GB2312" w:hAnsi="宋体"/>
          <w:color w:val="auto"/>
          <w:szCs w:val="21"/>
        </w:rPr>
        <w:t>2）</w:t>
      </w:r>
      <w:r>
        <w:rPr>
          <w:rFonts w:hint="eastAsia" w:ascii="仿宋_GB2312" w:hAnsi="宋体"/>
          <w:color w:val="auto"/>
          <w:szCs w:val="21"/>
        </w:rPr>
        <w:t>质保期：1年</w:t>
      </w:r>
    </w:p>
    <w:p w14:paraId="23E43654">
      <w:pPr>
        <w:spacing w:line="560" w:lineRule="exact"/>
        <w:ind w:firstLine="562"/>
        <w:rPr>
          <w:rFonts w:ascii="黑体" w:hAnsi="黑体" w:eastAsia="黑体"/>
          <w:b/>
          <w:color w:val="auto"/>
          <w:szCs w:val="21"/>
        </w:rPr>
      </w:pPr>
      <w:r>
        <w:rPr>
          <w:rFonts w:hint="eastAsia" w:ascii="黑体" w:hAnsi="黑体" w:eastAsia="黑体"/>
          <w:b/>
          <w:color w:val="auto"/>
          <w:szCs w:val="21"/>
        </w:rPr>
        <w:t>四、验收标准</w:t>
      </w:r>
    </w:p>
    <w:p w14:paraId="5E523C76">
      <w:pPr>
        <w:spacing w:line="560" w:lineRule="exact"/>
        <w:ind w:firstLine="560"/>
        <w:rPr>
          <w:rFonts w:ascii="仿宋_GB2312" w:hAnsi="宋体"/>
          <w:color w:val="auto"/>
          <w:szCs w:val="21"/>
        </w:rPr>
      </w:pPr>
      <w:r>
        <w:rPr>
          <w:rFonts w:hint="eastAsia" w:ascii="仿宋_GB2312" w:hAnsi="宋体"/>
          <w:color w:val="auto"/>
          <w:szCs w:val="28"/>
        </w:rPr>
        <w:t xml:space="preserve">符合相关技术要求及行业标准。 </w:t>
      </w:r>
    </w:p>
    <w:p w14:paraId="5E16105D">
      <w:pPr>
        <w:spacing w:line="560" w:lineRule="exact"/>
        <w:ind w:firstLine="562"/>
        <w:rPr>
          <w:rFonts w:ascii="黑体" w:hAnsi="黑体" w:eastAsia="黑体"/>
          <w:b/>
          <w:color w:val="auto"/>
          <w:szCs w:val="21"/>
        </w:rPr>
      </w:pPr>
      <w:r>
        <w:rPr>
          <w:rFonts w:hint="eastAsia" w:ascii="黑体" w:hAnsi="黑体" w:eastAsia="黑体"/>
          <w:b/>
          <w:color w:val="auto"/>
          <w:szCs w:val="21"/>
        </w:rPr>
        <w:t>五、其他技术及服务要求</w:t>
      </w:r>
    </w:p>
    <w:p w14:paraId="21EFC144">
      <w:pPr>
        <w:spacing w:line="560" w:lineRule="exact"/>
        <w:ind w:firstLine="560"/>
        <w:rPr>
          <w:rFonts w:ascii="仿宋_GB2312" w:hAnsi="宋体"/>
          <w:color w:val="auto"/>
          <w:szCs w:val="28"/>
        </w:rPr>
      </w:pPr>
      <w:r>
        <w:rPr>
          <w:rFonts w:hint="eastAsia" w:ascii="仿宋_GB2312" w:hAnsi="宋体"/>
          <w:color w:val="auto"/>
          <w:szCs w:val="28"/>
        </w:rPr>
        <w:t>详见工程量清单。</w:t>
      </w:r>
    </w:p>
    <w:p w14:paraId="6AFED00A">
      <w:pPr>
        <w:spacing w:line="560" w:lineRule="exact"/>
        <w:ind w:firstLine="562"/>
        <w:rPr>
          <w:rFonts w:ascii="黑体" w:hAnsi="黑体" w:eastAsia="黑体"/>
          <w:b/>
          <w:color w:val="auto"/>
          <w:szCs w:val="21"/>
        </w:rPr>
      </w:pPr>
      <w:r>
        <w:rPr>
          <w:rFonts w:hint="eastAsia" w:ascii="黑体" w:hAnsi="黑体" w:eastAsia="黑体"/>
          <w:b/>
          <w:color w:val="auto"/>
          <w:szCs w:val="21"/>
        </w:rPr>
        <w:t>六、采购人拟采用的采购方式</w:t>
      </w:r>
    </w:p>
    <w:p w14:paraId="79D48B3F">
      <w:pPr>
        <w:widowControl/>
        <w:adjustRightInd w:val="0"/>
        <w:spacing w:line="560" w:lineRule="exact"/>
        <w:ind w:firstLine="560"/>
        <w:jc w:val="left"/>
        <w:rPr>
          <w:rFonts w:ascii="黑体" w:hAnsi="黑体" w:eastAsia="黑体"/>
          <w:color w:val="auto"/>
          <w:sz w:val="32"/>
          <w:szCs w:val="32"/>
        </w:rPr>
      </w:pPr>
      <w:r>
        <w:rPr>
          <w:rFonts w:hint="eastAsia" w:ascii="仿宋_GB2312" w:hAnsi="宋体"/>
          <w:color w:val="auto"/>
        </w:rPr>
        <w:t>竞争性磋商</w:t>
      </w:r>
    </w:p>
    <w:p w14:paraId="1E330CBD">
      <w:pPr>
        <w:spacing w:line="560" w:lineRule="exact"/>
        <w:ind w:firstLine="562"/>
        <w:rPr>
          <w:rFonts w:ascii="黑体" w:hAnsi="黑体" w:eastAsia="黑体"/>
          <w:b/>
          <w:color w:val="auto"/>
          <w:szCs w:val="21"/>
        </w:rPr>
      </w:pPr>
      <w:r>
        <w:rPr>
          <w:rFonts w:hint="eastAsia" w:ascii="黑体" w:hAnsi="黑体" w:eastAsia="黑体"/>
          <w:b/>
          <w:color w:val="auto"/>
          <w:szCs w:val="21"/>
        </w:rPr>
        <w:t>七、采购人拟采用采购方式的理由（非公开招标方式需要填写）</w:t>
      </w:r>
    </w:p>
    <w:p w14:paraId="01469BF9">
      <w:pPr>
        <w:spacing w:line="560" w:lineRule="exact"/>
        <w:ind w:firstLine="560"/>
        <w:rPr>
          <w:rFonts w:ascii="仿宋_GB2312" w:hAnsi="宋体"/>
          <w:color w:val="auto"/>
          <w:szCs w:val="28"/>
        </w:rPr>
      </w:pPr>
      <w:r>
        <w:rPr>
          <w:rFonts w:hint="eastAsia" w:ascii="仿宋_GB2312" w:hAnsi="宋体"/>
          <w:color w:val="auto"/>
          <w:szCs w:val="28"/>
        </w:rPr>
        <w:t>未达到公开招标限额。</w:t>
      </w:r>
    </w:p>
    <w:p w14:paraId="7E01BB9C">
      <w:pPr>
        <w:spacing w:line="560" w:lineRule="exact"/>
        <w:ind w:firstLine="562"/>
        <w:rPr>
          <w:rFonts w:ascii="仿宋_GB2312" w:hAnsi="宋体"/>
          <w:b/>
          <w:color w:val="auto"/>
          <w:szCs w:val="21"/>
        </w:rPr>
      </w:pPr>
      <w:r>
        <w:rPr>
          <w:rFonts w:hint="eastAsia" w:ascii="黑体" w:hAnsi="黑体" w:eastAsia="黑体"/>
          <w:b/>
          <w:color w:val="auto"/>
          <w:szCs w:val="21"/>
        </w:rPr>
        <w:t>八、采购意向是否公开</w:t>
      </w:r>
      <w:r>
        <w:rPr>
          <w:rFonts w:hint="eastAsia" w:ascii="仿宋_GB2312" w:hAnsi="宋体"/>
          <w:b/>
          <w:color w:val="auto"/>
          <w:szCs w:val="21"/>
        </w:rPr>
        <w:t>：是</w:t>
      </w:r>
    </w:p>
    <w:p w14:paraId="59624B0E">
      <w:pPr>
        <w:spacing w:line="560" w:lineRule="exact"/>
        <w:ind w:firstLine="562"/>
        <w:rPr>
          <w:rFonts w:ascii="仿宋_GB2312" w:hAnsi="宋体"/>
          <w:b/>
          <w:color w:val="auto"/>
          <w:szCs w:val="21"/>
        </w:rPr>
      </w:pPr>
      <w:r>
        <w:rPr>
          <w:rFonts w:hint="eastAsia" w:ascii="黑体" w:hAnsi="黑体" w:eastAsia="黑体"/>
          <w:b/>
          <w:color w:val="auto"/>
          <w:szCs w:val="21"/>
        </w:rPr>
        <w:t>九、是否收取各类涉企保证金（投标保证金、履约保证金)：</w:t>
      </w:r>
      <w:r>
        <w:rPr>
          <w:rFonts w:hint="eastAsia" w:ascii="仿宋_GB2312" w:hAnsi="宋体"/>
          <w:b/>
          <w:color w:val="auto"/>
          <w:szCs w:val="21"/>
        </w:rPr>
        <w:t>否</w:t>
      </w:r>
    </w:p>
    <w:p w14:paraId="54564786">
      <w:pPr>
        <w:spacing w:line="560" w:lineRule="exact"/>
        <w:ind w:firstLine="562"/>
        <w:rPr>
          <w:rFonts w:ascii="仿宋_GB2312" w:hAnsi="宋体"/>
          <w:b/>
          <w:color w:val="auto"/>
          <w:szCs w:val="21"/>
        </w:rPr>
      </w:pPr>
      <w:r>
        <w:rPr>
          <w:rFonts w:hint="eastAsia" w:ascii="黑体" w:hAnsi="黑体" w:eastAsia="黑体"/>
          <w:b/>
          <w:color w:val="auto"/>
          <w:szCs w:val="21"/>
        </w:rPr>
        <w:t>十、是否为专门面向中小企业采购：</w:t>
      </w:r>
      <w:r>
        <w:rPr>
          <w:rFonts w:ascii="仿宋_GB2312" w:hAnsi="宋体"/>
          <w:b/>
          <w:color w:val="auto"/>
          <w:szCs w:val="21"/>
        </w:rPr>
        <w:t>是</w:t>
      </w:r>
    </w:p>
    <w:p w14:paraId="7DBD6146">
      <w:pPr>
        <w:spacing w:line="560" w:lineRule="exact"/>
        <w:ind w:firstLine="562"/>
        <w:rPr>
          <w:rFonts w:ascii="仿宋_GB2312" w:hAnsi="宋体"/>
          <w:b/>
          <w:color w:val="auto"/>
          <w:szCs w:val="21"/>
        </w:rPr>
      </w:pPr>
      <w:r>
        <w:rPr>
          <w:rFonts w:hint="eastAsia" w:ascii="仿宋_GB2312" w:hAnsi="宋体"/>
          <w:b/>
          <w:color w:val="auto"/>
          <w:szCs w:val="21"/>
        </w:rPr>
        <w:t>注：符合下列情形之一的可不专门面向中小企业预留采购份额：（一）法律法规和国家有关政策明确规定优先或者应当面向事业单位、社会组织等非企业主体采购的；（二）因确需使用不可替代的专利、专有技术，基础设施限制，或者提供特定公共服务等原因，只能从中小企业之外的供应商处采购的；（三）按照本办法规定预留采购份额无法确保充分供应、充分竞争，或者存在可能影响政府采购目标实现的情形；（四）框架协议采购项目；（五）省级以上人民政府财政部门规定的其他情形。除上述情形外，其他均为适宜由中小企业提供的情形。</w:t>
      </w:r>
    </w:p>
    <w:p w14:paraId="00C93C58">
      <w:pPr>
        <w:spacing w:line="560" w:lineRule="exact"/>
        <w:ind w:firstLine="562"/>
        <w:rPr>
          <w:rFonts w:ascii="仿宋_GB2312" w:hAnsi="宋体"/>
          <w:b/>
          <w:color w:val="auto"/>
          <w:szCs w:val="21"/>
        </w:rPr>
      </w:pPr>
      <w:r>
        <w:rPr>
          <w:rFonts w:hint="eastAsia" w:ascii="黑体" w:hAnsi="黑体" w:eastAsia="黑体"/>
          <w:b/>
          <w:color w:val="auto"/>
          <w:szCs w:val="21"/>
        </w:rPr>
        <w:t>十一、是否允许联合体响应：</w:t>
      </w:r>
      <w:r>
        <w:rPr>
          <w:rFonts w:hint="eastAsia" w:ascii="仿宋_GB2312" w:hAnsi="宋体"/>
          <w:b/>
          <w:color w:val="auto"/>
          <w:szCs w:val="21"/>
        </w:rPr>
        <w:t>否；</w:t>
      </w:r>
    </w:p>
    <w:p w14:paraId="7E413766">
      <w:pPr>
        <w:spacing w:line="560" w:lineRule="exact"/>
        <w:ind w:firstLine="562"/>
        <w:rPr>
          <w:rFonts w:ascii="仿宋_GB2312" w:hAnsi="宋体"/>
          <w:b/>
          <w:color w:val="auto"/>
          <w:szCs w:val="21"/>
        </w:rPr>
      </w:pPr>
      <w:r>
        <w:rPr>
          <w:rFonts w:hint="eastAsia" w:ascii="黑体" w:hAnsi="黑体" w:eastAsia="黑体"/>
          <w:b/>
          <w:color w:val="auto"/>
          <w:szCs w:val="21"/>
        </w:rPr>
        <w:t>十二、对中小企业在资金支付期限、预付款比例等方面的优惠措施：无</w:t>
      </w:r>
    </w:p>
    <w:p w14:paraId="0E7FD84E">
      <w:pPr>
        <w:spacing w:line="560" w:lineRule="exact"/>
        <w:ind w:firstLine="562"/>
        <w:rPr>
          <w:rFonts w:ascii="黑体" w:hAnsi="黑体" w:eastAsia="黑体"/>
          <w:b/>
          <w:color w:val="auto"/>
          <w:szCs w:val="21"/>
        </w:rPr>
      </w:pPr>
      <w:r>
        <w:rPr>
          <w:rFonts w:hint="eastAsia" w:ascii="黑体" w:hAnsi="黑体" w:eastAsia="黑体"/>
          <w:b/>
          <w:color w:val="auto"/>
          <w:szCs w:val="21"/>
        </w:rPr>
        <w:t>十三、采购标的对应的中小企业划分标准所属行业：建筑业</w:t>
      </w:r>
    </w:p>
    <w:p w14:paraId="065F9F59">
      <w:pPr>
        <w:spacing w:line="560" w:lineRule="exact"/>
        <w:ind w:firstLine="562"/>
        <w:rPr>
          <w:rFonts w:ascii="仿宋_GB2312" w:hAnsi="宋体"/>
          <w:b/>
          <w:color w:val="auto"/>
          <w:szCs w:val="21"/>
        </w:rPr>
      </w:pPr>
      <w:r>
        <w:rPr>
          <w:rFonts w:hint="eastAsia" w:ascii="黑体" w:hAnsi="黑体" w:eastAsia="黑体"/>
          <w:b/>
          <w:color w:val="auto"/>
          <w:szCs w:val="21"/>
        </w:rPr>
        <w:t xml:space="preserve">十四、联系方式 </w:t>
      </w:r>
    </w:p>
    <w:p w14:paraId="71EF9E58">
      <w:pPr>
        <w:spacing w:line="560" w:lineRule="exact"/>
        <w:ind w:firstLine="560"/>
        <w:rPr>
          <w:rFonts w:ascii="仿宋_GB2312" w:hAnsi="宋体"/>
          <w:color w:val="auto"/>
          <w:szCs w:val="21"/>
        </w:rPr>
      </w:pPr>
      <w:r>
        <w:rPr>
          <w:rFonts w:hint="eastAsia" w:ascii="仿宋_GB2312" w:hAnsi="宋体"/>
          <w:color w:val="auto"/>
          <w:szCs w:val="21"/>
        </w:rPr>
        <w:t>采购人：</w:t>
      </w:r>
      <w:r>
        <w:rPr>
          <w:rFonts w:ascii="仿宋_GB2312" w:hAnsi="宋体"/>
          <w:color w:val="auto"/>
          <w:szCs w:val="21"/>
        </w:rPr>
        <w:t>乳山市水利事务服务中心</w:t>
      </w:r>
    </w:p>
    <w:p w14:paraId="3346BFCA">
      <w:pPr>
        <w:spacing w:line="560" w:lineRule="exact"/>
        <w:ind w:firstLine="560"/>
        <w:rPr>
          <w:rFonts w:ascii="仿宋_GB2312" w:hAnsi="宋体"/>
          <w:color w:val="auto"/>
          <w:szCs w:val="21"/>
        </w:rPr>
      </w:pPr>
      <w:r>
        <w:rPr>
          <w:rFonts w:hint="eastAsia" w:ascii="仿宋_GB2312" w:hAnsi="宋体"/>
          <w:color w:val="auto"/>
          <w:szCs w:val="21"/>
        </w:rPr>
        <w:t>采购人地址：</w:t>
      </w:r>
      <w:r>
        <w:rPr>
          <w:rFonts w:ascii="仿宋_GB2312" w:hAnsi="宋体"/>
          <w:color w:val="auto"/>
          <w:szCs w:val="21"/>
        </w:rPr>
        <w:t>乳山市府前路7号</w:t>
      </w:r>
    </w:p>
    <w:p w14:paraId="473284C8">
      <w:pPr>
        <w:spacing w:line="560" w:lineRule="exact"/>
        <w:ind w:firstLine="560"/>
        <w:rPr>
          <w:rFonts w:ascii="仿宋_GB2312" w:hAnsi="宋体"/>
          <w:color w:val="auto"/>
          <w:szCs w:val="21"/>
        </w:rPr>
      </w:pPr>
      <w:r>
        <w:rPr>
          <w:rFonts w:hint="eastAsia" w:ascii="仿宋_GB2312" w:hAnsi="宋体"/>
          <w:color w:val="auto"/>
          <w:szCs w:val="21"/>
        </w:rPr>
        <w:t xml:space="preserve">联系人：郑琦霖 </w:t>
      </w:r>
    </w:p>
    <w:p w14:paraId="612A414F">
      <w:pPr>
        <w:spacing w:line="560" w:lineRule="exact"/>
        <w:ind w:firstLine="560"/>
        <w:rPr>
          <w:rFonts w:ascii="仿宋_GB2312" w:hAnsi="宋体"/>
          <w:color w:val="auto"/>
          <w:szCs w:val="21"/>
        </w:rPr>
      </w:pPr>
      <w:r>
        <w:rPr>
          <w:rFonts w:hint="eastAsia" w:ascii="仿宋_GB2312" w:hAnsi="宋体"/>
          <w:color w:val="auto"/>
          <w:szCs w:val="21"/>
        </w:rPr>
        <w:t>联系电话：</w:t>
      </w:r>
      <w:r>
        <w:rPr>
          <w:rFonts w:ascii="仿宋_GB2312" w:hAnsi="宋体"/>
          <w:color w:val="auto"/>
          <w:szCs w:val="21"/>
        </w:rPr>
        <w:t xml:space="preserve">15753635867  </w:t>
      </w:r>
    </w:p>
    <w:p w14:paraId="1106812F">
      <w:pPr>
        <w:pStyle w:val="20"/>
        <w:ind w:left="560"/>
        <w:rPr>
          <w:color w:val="auto"/>
        </w:rPr>
      </w:pPr>
    </w:p>
    <w:p w14:paraId="6372C1AC">
      <w:pPr>
        <w:spacing w:line="560" w:lineRule="exact"/>
        <w:ind w:firstLine="560"/>
        <w:rPr>
          <w:color w:val="auto"/>
        </w:rPr>
      </w:pPr>
    </w:p>
    <w:p w14:paraId="21D8C8D5">
      <w:pPr>
        <w:pStyle w:val="20"/>
        <w:ind w:left="560"/>
        <w:rPr>
          <w:color w:val="auto"/>
        </w:rPr>
      </w:pPr>
      <w:r>
        <w:rPr>
          <w:color w:val="auto"/>
        </w:rPr>
        <w:br w:type="page"/>
      </w:r>
    </w:p>
    <w:p w14:paraId="7133139E">
      <w:pPr>
        <w:ind w:firstLine="720"/>
        <w:jc w:val="center"/>
        <w:rPr>
          <w:rFonts w:ascii="黑体" w:hAnsi="黑体" w:eastAsia="黑体"/>
          <w:color w:val="auto"/>
          <w:sz w:val="36"/>
          <w:szCs w:val="36"/>
        </w:rPr>
      </w:pPr>
      <w:r>
        <w:rPr>
          <w:rFonts w:ascii="黑体" w:hAnsi="黑体" w:eastAsia="黑体"/>
          <w:color w:val="auto"/>
          <w:sz w:val="36"/>
          <w:szCs w:val="36"/>
        </w:rPr>
        <w:t>报价编制说明</w:t>
      </w:r>
    </w:p>
    <w:p w14:paraId="29BFD424">
      <w:pPr>
        <w:ind w:firstLine="0" w:firstLineChars="0"/>
        <w:rPr>
          <w:rFonts w:hint="eastAsia"/>
          <w:color w:val="auto"/>
          <w:sz w:val="32"/>
        </w:rPr>
      </w:pPr>
      <w:r>
        <w:rPr>
          <w:rFonts w:hint="eastAsia"/>
          <w:color w:val="auto"/>
          <w:sz w:val="32"/>
        </w:rPr>
        <w:t>工程名称：乳山市2</w:t>
      </w:r>
      <w:r>
        <w:rPr>
          <w:color w:val="auto"/>
          <w:sz w:val="32"/>
        </w:rPr>
        <w:t>024</w:t>
      </w:r>
      <w:r>
        <w:rPr>
          <w:rFonts w:hint="eastAsia"/>
          <w:color w:val="auto"/>
          <w:sz w:val="32"/>
        </w:rPr>
        <w:t>年水库移民扶持基金项目</w:t>
      </w:r>
    </w:p>
    <w:p w14:paraId="627A462C">
      <w:pPr>
        <w:widowControl/>
        <w:spacing w:line="240" w:lineRule="auto"/>
        <w:ind w:firstLine="0" w:firstLineChars="0"/>
        <w:jc w:val="left"/>
        <w:rPr>
          <w:rFonts w:hint="eastAsia"/>
          <w:color w:val="auto"/>
        </w:rPr>
      </w:pPr>
      <w:r>
        <w:rPr>
          <w:rFonts w:hint="eastAsia"/>
          <w:color w:val="auto"/>
        </w:rPr>
        <w:t>一、</w:t>
      </w:r>
      <w:r>
        <w:rPr>
          <w:rFonts w:hint="eastAsia"/>
          <w:color w:val="auto"/>
        </w:rPr>
        <w:tab/>
      </w:r>
      <w:r>
        <w:rPr>
          <w:rFonts w:hint="eastAsia"/>
          <w:color w:val="auto"/>
        </w:rPr>
        <w:t>报价人须知：</w:t>
      </w:r>
    </w:p>
    <w:p w14:paraId="607EA351">
      <w:pPr>
        <w:widowControl/>
        <w:spacing w:line="240" w:lineRule="auto"/>
        <w:ind w:firstLine="0" w:firstLineChars="0"/>
        <w:jc w:val="left"/>
        <w:rPr>
          <w:rFonts w:hint="eastAsia"/>
          <w:color w:val="auto"/>
        </w:rPr>
      </w:pPr>
      <w:r>
        <w:rPr>
          <w:rFonts w:hint="eastAsia"/>
          <w:color w:val="auto"/>
        </w:rPr>
        <w:t>1.应按工程量清单及其计价格式规定的内容进行编制、填写、签字、盖章。</w:t>
      </w:r>
    </w:p>
    <w:p w14:paraId="489B5D5B">
      <w:pPr>
        <w:widowControl/>
        <w:spacing w:line="240" w:lineRule="auto"/>
        <w:ind w:firstLine="0" w:firstLineChars="0"/>
        <w:jc w:val="left"/>
        <w:rPr>
          <w:rFonts w:hint="eastAsia"/>
          <w:color w:val="auto"/>
        </w:rPr>
      </w:pPr>
      <w:r>
        <w:rPr>
          <w:rFonts w:hint="eastAsia"/>
          <w:color w:val="auto"/>
        </w:rPr>
        <w:t>2.工程量清单及其计价格式中的任何内容不得随意删除或涂改。</w:t>
      </w:r>
    </w:p>
    <w:p w14:paraId="1EAEC970">
      <w:pPr>
        <w:widowControl/>
        <w:spacing w:line="240" w:lineRule="auto"/>
        <w:ind w:firstLine="0" w:firstLineChars="0"/>
        <w:jc w:val="left"/>
        <w:rPr>
          <w:rFonts w:hint="eastAsia"/>
          <w:color w:val="auto"/>
        </w:rPr>
      </w:pPr>
      <w:r>
        <w:rPr>
          <w:rFonts w:hint="eastAsia"/>
          <w:color w:val="auto"/>
        </w:rPr>
        <w:t>3.工程量清单计价格式中列明的所有需要填报的单价和合价，投标单位均应填报，未填报的单价和合价，视为此项费用已包含在工程量清单的其他单价和合价内。</w:t>
      </w:r>
    </w:p>
    <w:p w14:paraId="5F04FFE9">
      <w:pPr>
        <w:widowControl/>
        <w:spacing w:line="240" w:lineRule="auto"/>
        <w:ind w:firstLine="0" w:firstLineChars="0"/>
        <w:jc w:val="left"/>
        <w:rPr>
          <w:rFonts w:hint="eastAsia"/>
          <w:color w:val="auto"/>
        </w:rPr>
      </w:pPr>
      <w:r>
        <w:rPr>
          <w:rFonts w:hint="eastAsia"/>
          <w:color w:val="auto"/>
        </w:rPr>
        <w:t>4.金额（价格）均以人民币表示。</w:t>
      </w:r>
    </w:p>
    <w:p w14:paraId="3E670D48">
      <w:pPr>
        <w:widowControl/>
        <w:spacing w:line="240" w:lineRule="auto"/>
        <w:ind w:firstLine="0" w:firstLineChars="0"/>
        <w:jc w:val="left"/>
        <w:rPr>
          <w:rFonts w:hint="eastAsia"/>
          <w:color w:val="auto"/>
        </w:rPr>
      </w:pPr>
      <w:r>
        <w:rPr>
          <w:rFonts w:hint="eastAsia"/>
          <w:color w:val="auto"/>
        </w:rPr>
        <w:t>二、</w:t>
      </w:r>
      <w:r>
        <w:rPr>
          <w:rFonts w:hint="eastAsia"/>
          <w:color w:val="auto"/>
        </w:rPr>
        <w:tab/>
      </w:r>
      <w:r>
        <w:rPr>
          <w:rFonts w:hint="eastAsia"/>
          <w:color w:val="auto"/>
        </w:rPr>
        <w:t xml:space="preserve">工程名称：乳山市2024年水库移民扶持基金项目。 </w:t>
      </w:r>
    </w:p>
    <w:p w14:paraId="12087BFD">
      <w:pPr>
        <w:widowControl/>
        <w:spacing w:line="240" w:lineRule="auto"/>
        <w:ind w:firstLine="0" w:firstLineChars="0"/>
        <w:jc w:val="left"/>
        <w:rPr>
          <w:rFonts w:hint="eastAsia"/>
          <w:color w:val="auto"/>
        </w:rPr>
      </w:pPr>
      <w:r>
        <w:rPr>
          <w:rFonts w:hint="eastAsia"/>
          <w:color w:val="auto"/>
        </w:rPr>
        <w:t>工程概况：本工程位于乳山市，主要包括育黎镇塔庄村道路硬化2100m2；育黎镇老由古村道路硬化2000m2；育黎镇北勇家村道路硬化1357m2 、路灯购置安装40套；海阳所镇贾家庄村道路硬化2402.2m2；夏村镇清口涧村道路硬化2055m2；诸往镇许家村道路硬化2490m2； 崖子镇双石村道路硬化2275m2；崖子镇转山头村新打深井1眼、泵房1座及配套；崖子镇矫家泊村新打深井1眼、泵房1座及配套，共涉及5个镇9个村。</w:t>
      </w:r>
    </w:p>
    <w:p w14:paraId="7098C0E1">
      <w:pPr>
        <w:widowControl/>
        <w:spacing w:line="240" w:lineRule="auto"/>
        <w:ind w:firstLine="0" w:firstLineChars="0"/>
        <w:jc w:val="left"/>
        <w:rPr>
          <w:rFonts w:hint="eastAsia"/>
          <w:color w:val="auto"/>
        </w:rPr>
      </w:pPr>
      <w:r>
        <w:rPr>
          <w:rFonts w:hint="eastAsia"/>
          <w:color w:val="auto"/>
        </w:rPr>
        <w:t>三、</w:t>
      </w:r>
      <w:r>
        <w:rPr>
          <w:rFonts w:hint="eastAsia"/>
          <w:color w:val="auto"/>
        </w:rPr>
        <w:tab/>
      </w:r>
      <w:r>
        <w:rPr>
          <w:rFonts w:hint="eastAsia"/>
          <w:color w:val="auto"/>
        </w:rPr>
        <w:t>工程招标范围：挖运土方、混凝土路面拆除、新建混凝土路面、标志牌的购安、铺设管道、深井及配套工程、路灯购置安装等。</w:t>
      </w:r>
    </w:p>
    <w:p w14:paraId="623E76D0">
      <w:pPr>
        <w:widowControl/>
        <w:spacing w:line="240" w:lineRule="auto"/>
        <w:ind w:firstLine="0" w:firstLineChars="0"/>
        <w:jc w:val="left"/>
        <w:rPr>
          <w:rFonts w:hint="eastAsia"/>
          <w:color w:val="auto"/>
        </w:rPr>
      </w:pPr>
      <w:r>
        <w:rPr>
          <w:rFonts w:hint="eastAsia"/>
          <w:color w:val="auto"/>
        </w:rPr>
        <w:t>具体以工程量清单为准。</w:t>
      </w:r>
    </w:p>
    <w:p w14:paraId="5D36ED64">
      <w:pPr>
        <w:widowControl/>
        <w:spacing w:line="240" w:lineRule="auto"/>
        <w:ind w:firstLine="0" w:firstLineChars="0"/>
        <w:jc w:val="left"/>
        <w:rPr>
          <w:rFonts w:hint="eastAsia"/>
          <w:color w:val="auto"/>
        </w:rPr>
      </w:pPr>
      <w:r>
        <w:rPr>
          <w:rFonts w:hint="eastAsia"/>
          <w:color w:val="auto"/>
        </w:rPr>
        <w:t>四、</w:t>
      </w:r>
      <w:r>
        <w:rPr>
          <w:rFonts w:hint="eastAsia"/>
          <w:color w:val="auto"/>
        </w:rPr>
        <w:tab/>
      </w:r>
      <w:r>
        <w:rPr>
          <w:rFonts w:hint="eastAsia"/>
          <w:color w:val="auto"/>
        </w:rPr>
        <w:t>工程质量：达到验收规范合格标准。</w:t>
      </w:r>
    </w:p>
    <w:p w14:paraId="174F3C22">
      <w:pPr>
        <w:widowControl/>
        <w:spacing w:line="240" w:lineRule="auto"/>
        <w:ind w:firstLine="0" w:firstLineChars="0"/>
        <w:jc w:val="left"/>
        <w:rPr>
          <w:rFonts w:hint="eastAsia"/>
          <w:color w:val="auto"/>
        </w:rPr>
      </w:pPr>
      <w:r>
        <w:rPr>
          <w:rFonts w:hint="eastAsia"/>
          <w:color w:val="auto"/>
        </w:rPr>
        <w:t>六、编制依据：</w:t>
      </w:r>
    </w:p>
    <w:p w14:paraId="69377FC6">
      <w:pPr>
        <w:widowControl/>
        <w:spacing w:line="240" w:lineRule="auto"/>
        <w:ind w:firstLine="0" w:firstLineChars="0"/>
        <w:jc w:val="left"/>
        <w:rPr>
          <w:rFonts w:hint="eastAsia"/>
          <w:color w:val="auto"/>
        </w:rPr>
      </w:pPr>
      <w:r>
        <w:rPr>
          <w:rFonts w:hint="eastAsia"/>
          <w:color w:val="auto"/>
        </w:rPr>
        <w:t>1.工程项目设计文件、问题答疑等相关资料。</w:t>
      </w:r>
    </w:p>
    <w:p w14:paraId="1D2C207F">
      <w:pPr>
        <w:widowControl/>
        <w:spacing w:line="240" w:lineRule="auto"/>
        <w:ind w:firstLine="0" w:firstLineChars="0"/>
        <w:jc w:val="left"/>
        <w:rPr>
          <w:rFonts w:hint="eastAsia"/>
          <w:color w:val="auto"/>
        </w:rPr>
      </w:pPr>
      <w:r>
        <w:rPr>
          <w:rFonts w:hint="eastAsia"/>
          <w:color w:val="auto"/>
        </w:rPr>
        <w:t>2.与工程项目相关的标准设计图集、规范、技术资料等。</w:t>
      </w:r>
    </w:p>
    <w:p w14:paraId="2F154365">
      <w:pPr>
        <w:widowControl/>
        <w:spacing w:line="240" w:lineRule="auto"/>
        <w:ind w:firstLine="0" w:firstLineChars="0"/>
        <w:jc w:val="left"/>
        <w:rPr>
          <w:rFonts w:hint="eastAsia"/>
          <w:color w:val="auto"/>
        </w:rPr>
      </w:pPr>
      <w:r>
        <w:rPr>
          <w:rFonts w:hint="eastAsia"/>
          <w:color w:val="auto"/>
        </w:rPr>
        <w:t>3.已拟定的招标文件资料等。</w:t>
      </w:r>
    </w:p>
    <w:p w14:paraId="357CA270">
      <w:pPr>
        <w:widowControl/>
        <w:spacing w:line="240" w:lineRule="auto"/>
        <w:ind w:firstLine="0" w:firstLineChars="0"/>
        <w:jc w:val="left"/>
        <w:rPr>
          <w:rFonts w:hint="eastAsia"/>
          <w:color w:val="auto"/>
        </w:rPr>
      </w:pPr>
      <w:r>
        <w:rPr>
          <w:rFonts w:hint="eastAsia"/>
          <w:color w:val="auto"/>
        </w:rPr>
        <w:t>4.项目现场情况、工程特点及常规施工方案等。</w:t>
      </w:r>
    </w:p>
    <w:p w14:paraId="24AB9A7F">
      <w:pPr>
        <w:widowControl/>
        <w:spacing w:line="240" w:lineRule="auto"/>
        <w:ind w:firstLine="0" w:firstLineChars="0"/>
        <w:jc w:val="left"/>
        <w:rPr>
          <w:rFonts w:hint="eastAsia"/>
          <w:color w:val="auto"/>
        </w:rPr>
      </w:pPr>
      <w:r>
        <w:rPr>
          <w:rFonts w:hint="eastAsia"/>
          <w:color w:val="auto"/>
        </w:rPr>
        <w:t>5.类似工程相关造价数据以及市场价格信息等。</w:t>
      </w:r>
    </w:p>
    <w:p w14:paraId="236B4968">
      <w:pPr>
        <w:widowControl/>
        <w:spacing w:line="240" w:lineRule="auto"/>
        <w:ind w:firstLine="0" w:firstLineChars="0"/>
        <w:jc w:val="left"/>
        <w:rPr>
          <w:rFonts w:hint="eastAsia"/>
          <w:color w:val="auto"/>
        </w:rPr>
      </w:pPr>
      <w:r>
        <w:rPr>
          <w:rFonts w:hint="eastAsia"/>
          <w:color w:val="auto"/>
        </w:rPr>
        <w:t>七、清单项目中凡注明“以下、以内、小于”字样者，均包括本身；注明“以上、以外、大于”字样者，均不包括本身。</w:t>
      </w:r>
    </w:p>
    <w:p w14:paraId="0F879D55">
      <w:pPr>
        <w:widowControl/>
        <w:spacing w:line="240" w:lineRule="auto"/>
        <w:ind w:firstLine="0" w:firstLineChars="0"/>
        <w:jc w:val="left"/>
        <w:rPr>
          <w:rFonts w:hint="eastAsia"/>
          <w:color w:val="auto"/>
        </w:rPr>
      </w:pPr>
      <w:r>
        <w:rPr>
          <w:rFonts w:hint="eastAsia"/>
          <w:color w:val="auto"/>
        </w:rPr>
        <w:t>八、投标单位参与投标视为已考察工程现场，对现场情况（包括工地位置情况、临设、道路、存贮空间、装运限制及任何其他影响报价的情况）已充分了解并预计，并能根据掌握的情况完成施工。现场原有工程的实际情况（包括与其他专业施工单位交接过程中的各种因素）视为在报价中已充分考虑，任何因忽视或误解工地情况而导致的索赔或工期延长将不被批准。</w:t>
      </w:r>
    </w:p>
    <w:p w14:paraId="5CFF27FF">
      <w:pPr>
        <w:widowControl/>
        <w:spacing w:line="240" w:lineRule="auto"/>
        <w:ind w:firstLine="0" w:firstLineChars="0"/>
        <w:jc w:val="left"/>
        <w:rPr>
          <w:rFonts w:hint="eastAsia"/>
          <w:color w:val="auto"/>
        </w:rPr>
      </w:pPr>
      <w:r>
        <w:rPr>
          <w:rFonts w:hint="eastAsia"/>
          <w:color w:val="auto"/>
        </w:rPr>
        <w:t>九、工程量清单中的项目特征描述为分部分项清单项目的全部内容，所有分部分项工程量清单均以完成该清单项目的所有内容为准考虑到综合报价中，若有未列全的其他内容由投标单位按照招标文件、设计图纸、规范等资料要求综合考虑；设计及规范等资料未明确的由投标单位书面提出质疑，以答疑回复内容为准；认为清单或图纸描述不详、缺失或有误而未进行书面质疑的，结算时要求签证增加相应内容不予支持；现场未按照清单描述或图纸设计内容施工的，结算时扣减未施工部分的费用。</w:t>
      </w:r>
    </w:p>
    <w:p w14:paraId="0BF8C863">
      <w:pPr>
        <w:widowControl/>
        <w:spacing w:line="240" w:lineRule="auto"/>
        <w:ind w:firstLine="0" w:firstLineChars="0"/>
        <w:jc w:val="left"/>
        <w:rPr>
          <w:rFonts w:hint="eastAsia"/>
          <w:color w:val="auto"/>
        </w:rPr>
      </w:pPr>
      <w:r>
        <w:rPr>
          <w:rFonts w:hint="eastAsia"/>
          <w:color w:val="auto"/>
        </w:rPr>
        <w:t>十、投标单位在投标报价时，应根据现场条件、招标文件要求、承包方式，在保证施工质量的前提下，综合考虑自身施工经验、技术能力、市场竞争因素、风险因素以及不同专业交叉作业影响等，进行自主报价。除非合同另有约定，全费用综合单价应包括完成本项目（清单子目）内容所需的人工费、材料费、机械使用费、措施费、制作费、运输费、安装费、超高费、吊装费、管理费、利润、检验试验费、采保费（包括自购及指定材料）、材料设备搬运费、二次倒运费、损耗、缺陷修复、保险、规费、税金等费用，以及为保证质量和方便施工采用的工艺措施和未形成工程实体的费用，并包括招标文件和合同中明示或暗示所有责任、义务和一般风险。上述费用如在清单标价的全费用综合单价外额外发生，由中标人自行承担，结算不予认可。</w:t>
      </w:r>
    </w:p>
    <w:p w14:paraId="68CB32B9">
      <w:pPr>
        <w:widowControl/>
        <w:spacing w:line="240" w:lineRule="auto"/>
        <w:ind w:firstLine="0" w:firstLineChars="0"/>
        <w:jc w:val="left"/>
        <w:rPr>
          <w:rFonts w:hint="eastAsia"/>
          <w:color w:val="auto"/>
        </w:rPr>
      </w:pPr>
      <w:r>
        <w:rPr>
          <w:rFonts w:hint="eastAsia"/>
          <w:color w:val="auto"/>
        </w:rPr>
        <w:t>十一、投标单位按照本清单填报全费用综合单价，严禁不平衡报价，不得恶意降低报价扰乱市场，评标委员会有权对不合理报价进行质疑，投标单位应给予合理的答复。</w:t>
      </w:r>
    </w:p>
    <w:p w14:paraId="2E818CD4">
      <w:pPr>
        <w:widowControl/>
        <w:spacing w:line="240" w:lineRule="auto"/>
        <w:ind w:firstLine="0" w:firstLineChars="0"/>
        <w:jc w:val="left"/>
        <w:rPr>
          <w:rFonts w:hint="eastAsia"/>
          <w:color w:val="auto"/>
        </w:rPr>
      </w:pPr>
      <w:r>
        <w:rPr>
          <w:rFonts w:hint="eastAsia"/>
          <w:color w:val="auto"/>
        </w:rPr>
        <w:t>十二、本项目所用材料均应符合国标，中标单位须严格按照图纸中的技术要求进行采购。除特殊要求，均采用中等偏上品质材料，若中标单位提供质量档次明显低于设计或招标文件要求的材料招标人有权指定供应商，一切费用由中标单位承担。招标人因特殊原因主张更换材料导致产生材料差价的，结算时给予计取材料差价，并计取规费与税金，其他费用不予计取。</w:t>
      </w:r>
    </w:p>
    <w:p w14:paraId="0600705F">
      <w:pPr>
        <w:widowControl/>
        <w:spacing w:line="240" w:lineRule="auto"/>
        <w:ind w:firstLine="0" w:firstLineChars="0"/>
        <w:jc w:val="left"/>
        <w:rPr>
          <w:rFonts w:hint="eastAsia"/>
          <w:color w:val="auto"/>
        </w:rPr>
      </w:pPr>
      <w:r>
        <w:rPr>
          <w:rFonts w:hint="eastAsia"/>
          <w:color w:val="auto"/>
        </w:rPr>
        <w:t>十三、施工现场临时场地、临时水电及施工过程中用水(包括施工单位利用地下水）、用电由投标单位自行解决，并且根据水源接入点及平面布置，不到位的管线等所需费用应包含在相应的投标报价中，结算时不增加此部分费用；因临时设施的搭设位置的变化导致的费用增加，在结算时不予考虑。</w:t>
      </w:r>
    </w:p>
    <w:p w14:paraId="10B5CEAA">
      <w:pPr>
        <w:widowControl/>
        <w:spacing w:line="240" w:lineRule="auto"/>
        <w:ind w:firstLine="0" w:firstLineChars="0"/>
        <w:jc w:val="left"/>
        <w:rPr>
          <w:rFonts w:hint="eastAsia"/>
          <w:color w:val="auto"/>
        </w:rPr>
      </w:pPr>
      <w:r>
        <w:rPr>
          <w:rFonts w:hint="eastAsia"/>
          <w:color w:val="auto"/>
        </w:rPr>
        <w:t>十四、本次报价应包含建设过程中发生诸如物价涨跌和政策性调价等因素，结算时全费用综合单价不调整（合同另有约定的除外）。</w:t>
      </w:r>
    </w:p>
    <w:p w14:paraId="0B931A34">
      <w:pPr>
        <w:widowControl/>
        <w:spacing w:line="240" w:lineRule="auto"/>
        <w:ind w:firstLine="0" w:firstLineChars="0"/>
        <w:jc w:val="left"/>
        <w:rPr>
          <w:rFonts w:hint="eastAsia"/>
          <w:color w:val="auto"/>
        </w:rPr>
      </w:pPr>
      <w:r>
        <w:rPr>
          <w:rFonts w:hint="eastAsia"/>
          <w:color w:val="auto"/>
        </w:rPr>
        <w:t>十五、施工单位为本工程提供的各类车辆及机械设备费用，包括机械设备的进出场、装卸、拼装、交通标示牌、警示牌等所有费用，应包括在清单报价中，投标单位应充分考虑施工过程中发生的各种机械的多次进出场和机械停滞的费用及风险费用，结算时不再增加此部分费用。</w:t>
      </w:r>
    </w:p>
    <w:p w14:paraId="535242AA">
      <w:pPr>
        <w:widowControl/>
        <w:spacing w:line="240" w:lineRule="auto"/>
        <w:ind w:firstLine="0" w:firstLineChars="0"/>
        <w:jc w:val="left"/>
        <w:rPr>
          <w:rFonts w:hint="eastAsia"/>
          <w:color w:val="auto"/>
        </w:rPr>
      </w:pPr>
      <w:r>
        <w:rPr>
          <w:rFonts w:hint="eastAsia"/>
          <w:color w:val="auto"/>
        </w:rPr>
        <w:t>十六、投标报价要充分考虑施工过程中不可避免的赶工期增加费，结算不予调整。</w:t>
      </w:r>
    </w:p>
    <w:p w14:paraId="10BC7B40">
      <w:pPr>
        <w:widowControl/>
        <w:spacing w:line="240" w:lineRule="auto"/>
        <w:ind w:firstLine="0" w:firstLineChars="0"/>
        <w:jc w:val="left"/>
        <w:rPr>
          <w:rFonts w:hint="eastAsia"/>
          <w:color w:val="auto"/>
        </w:rPr>
      </w:pPr>
      <w:r>
        <w:rPr>
          <w:rFonts w:hint="eastAsia"/>
          <w:color w:val="auto"/>
        </w:rPr>
        <w:t>十七、施工单位要提交符合城建档案馆要求的竣工资料，相应发生的费用也应充分考虑在投标报价中，结算时不再增加此部分费用。</w:t>
      </w:r>
    </w:p>
    <w:p w14:paraId="4060770C">
      <w:pPr>
        <w:widowControl/>
        <w:spacing w:line="240" w:lineRule="auto"/>
        <w:ind w:firstLine="0" w:firstLineChars="0"/>
        <w:jc w:val="left"/>
        <w:rPr>
          <w:rFonts w:hint="eastAsia"/>
          <w:color w:val="auto"/>
        </w:rPr>
      </w:pPr>
      <w:r>
        <w:rPr>
          <w:rFonts w:hint="eastAsia"/>
          <w:color w:val="auto"/>
        </w:rPr>
        <w:t>十八、清单报价时，投标单位应注意：</w:t>
      </w:r>
    </w:p>
    <w:p w14:paraId="503D1202">
      <w:pPr>
        <w:widowControl/>
        <w:spacing w:line="240" w:lineRule="auto"/>
        <w:ind w:firstLine="0" w:firstLineChars="0"/>
        <w:jc w:val="left"/>
        <w:rPr>
          <w:rFonts w:hint="eastAsia"/>
          <w:color w:val="auto"/>
        </w:rPr>
      </w:pPr>
      <w:r>
        <w:rPr>
          <w:rFonts w:hint="eastAsia"/>
          <w:color w:val="auto"/>
        </w:rPr>
        <w:t>1.</w:t>
      </w:r>
      <w:r>
        <w:rPr>
          <w:rFonts w:hint="eastAsia"/>
          <w:color w:val="auto"/>
        </w:rPr>
        <w:tab/>
      </w:r>
      <w:r>
        <w:rPr>
          <w:rFonts w:hint="eastAsia"/>
          <w:color w:val="auto"/>
        </w:rPr>
        <w:t>土石方的挖、运、弃相关子目报价时须考虑省、市对扬尘和散流物体运输控制的相关文件要求，结算时除出现与地质勘察报告不同且有经验的承包商难以预见的地质条件外，不得因任何原因调整与土石方相关子目的单价。</w:t>
      </w:r>
    </w:p>
    <w:p w14:paraId="2A6772E6">
      <w:pPr>
        <w:widowControl/>
        <w:spacing w:line="240" w:lineRule="auto"/>
        <w:ind w:firstLine="0" w:firstLineChars="0"/>
        <w:jc w:val="left"/>
        <w:rPr>
          <w:rFonts w:hint="eastAsia"/>
          <w:color w:val="auto"/>
        </w:rPr>
      </w:pPr>
      <w:r>
        <w:rPr>
          <w:rFonts w:hint="eastAsia"/>
          <w:color w:val="auto"/>
        </w:rPr>
        <w:t>2.</w:t>
      </w:r>
      <w:r>
        <w:rPr>
          <w:rFonts w:hint="eastAsia"/>
          <w:color w:val="auto"/>
        </w:rPr>
        <w:tab/>
      </w:r>
      <w:r>
        <w:rPr>
          <w:rFonts w:hint="eastAsia"/>
          <w:color w:val="auto"/>
        </w:rPr>
        <w:t>土方开挖过程中可能出现的降排水费用，需投标时综合考虑在相应报价中，结算时不再增加此部分费用。</w:t>
      </w:r>
    </w:p>
    <w:p w14:paraId="2E2330E5">
      <w:pPr>
        <w:widowControl/>
        <w:spacing w:line="240" w:lineRule="auto"/>
        <w:ind w:firstLine="0" w:firstLineChars="0"/>
        <w:jc w:val="left"/>
        <w:rPr>
          <w:rFonts w:hint="eastAsia"/>
          <w:color w:val="auto"/>
        </w:rPr>
      </w:pPr>
      <w:r>
        <w:rPr>
          <w:rFonts w:hint="eastAsia"/>
          <w:color w:val="auto"/>
        </w:rPr>
        <w:t>3.</w:t>
      </w:r>
      <w:r>
        <w:rPr>
          <w:rFonts w:hint="eastAsia"/>
          <w:color w:val="auto"/>
        </w:rPr>
        <w:tab/>
      </w:r>
      <w:r>
        <w:rPr>
          <w:rFonts w:hint="eastAsia"/>
          <w:color w:val="auto"/>
        </w:rPr>
        <w:t>混凝土子目报价须考虑混凝土材料费、运输费（含垂直运输）、各种方式的泵送费、泵送剂费用、养护费用等；须考虑商品砼泵送时产生的组管、洗管、配合泵送的材料费、人工费、机械费及各种泵的电费、燃料费等；须考虑模板、支撑方式、模板摊销次数等影响因素，结算时不另计相关费用。</w:t>
      </w:r>
    </w:p>
    <w:p w14:paraId="2D1619D0">
      <w:pPr>
        <w:widowControl/>
        <w:spacing w:line="240" w:lineRule="auto"/>
        <w:ind w:firstLine="0" w:firstLineChars="0"/>
        <w:jc w:val="left"/>
        <w:rPr>
          <w:rFonts w:hint="eastAsia"/>
          <w:color w:val="auto"/>
        </w:rPr>
      </w:pPr>
      <w:r>
        <w:rPr>
          <w:rFonts w:hint="eastAsia"/>
          <w:color w:val="auto"/>
        </w:rPr>
        <w:t>4.</w:t>
      </w:r>
      <w:r>
        <w:rPr>
          <w:rFonts w:hint="eastAsia"/>
          <w:color w:val="auto"/>
        </w:rPr>
        <w:tab/>
      </w:r>
      <w:r>
        <w:rPr>
          <w:rFonts w:hint="eastAsia"/>
          <w:color w:val="auto"/>
        </w:rPr>
        <w:t>钢筋子目报价须考虑损耗、采用带“E”钢筋、钢筋定尺长度引起价格差异等因素，结算不增加相关费用。</w:t>
      </w:r>
    </w:p>
    <w:p w14:paraId="44B8C292">
      <w:pPr>
        <w:widowControl/>
        <w:spacing w:line="240" w:lineRule="auto"/>
        <w:ind w:firstLine="0" w:firstLineChars="0"/>
        <w:jc w:val="left"/>
        <w:rPr>
          <w:rFonts w:hint="eastAsia"/>
          <w:color w:val="auto"/>
        </w:rPr>
      </w:pPr>
      <w:r>
        <w:rPr>
          <w:rFonts w:hint="eastAsia"/>
          <w:color w:val="auto"/>
        </w:rPr>
        <w:t>5.</w:t>
      </w:r>
      <w:r>
        <w:rPr>
          <w:rFonts w:hint="eastAsia"/>
          <w:color w:val="auto"/>
        </w:rPr>
        <w:tab/>
      </w:r>
      <w:r>
        <w:rPr>
          <w:rFonts w:hint="eastAsia"/>
          <w:color w:val="auto"/>
        </w:rPr>
        <w:t>含砂浆的子目报价须考虑砂浆罐的租赁费，砂浆的单价(包括砂浆标号)在结算中概不调整。</w:t>
      </w:r>
    </w:p>
    <w:p w14:paraId="318DC85F">
      <w:pPr>
        <w:widowControl/>
        <w:spacing w:line="240" w:lineRule="auto"/>
        <w:ind w:firstLine="0" w:firstLineChars="0"/>
        <w:jc w:val="left"/>
        <w:rPr>
          <w:rFonts w:hint="eastAsia"/>
          <w:color w:val="auto"/>
        </w:rPr>
      </w:pPr>
      <w:r>
        <w:rPr>
          <w:rFonts w:hint="eastAsia"/>
          <w:color w:val="auto"/>
        </w:rPr>
        <w:t>6.</w:t>
      </w:r>
      <w:r>
        <w:rPr>
          <w:rFonts w:hint="eastAsia"/>
          <w:color w:val="auto"/>
        </w:rPr>
        <w:tab/>
      </w:r>
      <w:r>
        <w:rPr>
          <w:rFonts w:hint="eastAsia"/>
          <w:color w:val="auto"/>
        </w:rPr>
        <w:t>抹灰子目报价须考虑添加剂、分隔条等费用，结算时不因材料、抹灰层厚度等影响因素调增单价。</w:t>
      </w:r>
    </w:p>
    <w:p w14:paraId="56A1F712">
      <w:pPr>
        <w:widowControl/>
        <w:spacing w:line="240" w:lineRule="auto"/>
        <w:ind w:firstLine="0" w:firstLineChars="0"/>
        <w:jc w:val="left"/>
        <w:rPr>
          <w:rFonts w:hint="eastAsia"/>
          <w:color w:val="auto"/>
        </w:rPr>
      </w:pPr>
      <w:r>
        <w:rPr>
          <w:rFonts w:hint="eastAsia"/>
          <w:color w:val="auto"/>
        </w:rPr>
        <w:t>7.</w:t>
      </w:r>
      <w:r>
        <w:rPr>
          <w:rFonts w:hint="eastAsia"/>
          <w:color w:val="auto"/>
        </w:rPr>
        <w:tab/>
      </w:r>
      <w:r>
        <w:rPr>
          <w:rFonts w:hint="eastAsia"/>
          <w:color w:val="auto"/>
        </w:rPr>
        <w:t>线缆敷设工程量按就位后净尺寸计算，线缆各处预留长度、波形余度及损耗均须考虑在综合单价中。</w:t>
      </w:r>
    </w:p>
    <w:p w14:paraId="27F1E0DE">
      <w:pPr>
        <w:widowControl/>
        <w:spacing w:line="240" w:lineRule="auto"/>
        <w:ind w:firstLine="0" w:firstLineChars="0"/>
        <w:jc w:val="left"/>
        <w:rPr>
          <w:rFonts w:hint="eastAsia"/>
          <w:color w:val="auto"/>
        </w:rPr>
      </w:pPr>
      <w:r>
        <w:rPr>
          <w:rFonts w:hint="eastAsia"/>
          <w:color w:val="auto"/>
        </w:rPr>
        <w:t>8.</w:t>
      </w:r>
      <w:r>
        <w:rPr>
          <w:rFonts w:hint="eastAsia"/>
          <w:color w:val="auto"/>
        </w:rPr>
        <w:tab/>
      </w:r>
      <w:r>
        <w:rPr>
          <w:rFonts w:hint="eastAsia"/>
          <w:color w:val="auto"/>
        </w:rPr>
        <w:t>投标时应综合考虑墙体的打、堵洞费用及防火封堵等费用，结算时不另计相关费用。</w:t>
      </w:r>
    </w:p>
    <w:p w14:paraId="597BEB67">
      <w:pPr>
        <w:widowControl/>
        <w:spacing w:line="240" w:lineRule="auto"/>
        <w:ind w:firstLine="0" w:firstLineChars="0"/>
        <w:jc w:val="left"/>
        <w:rPr>
          <w:rFonts w:hint="eastAsia"/>
          <w:color w:val="auto"/>
        </w:rPr>
      </w:pPr>
      <w:r>
        <w:rPr>
          <w:rFonts w:hint="eastAsia"/>
          <w:color w:val="auto"/>
        </w:rPr>
        <w:t>9.</w:t>
      </w:r>
      <w:r>
        <w:rPr>
          <w:rFonts w:hint="eastAsia"/>
          <w:color w:val="auto"/>
        </w:rPr>
        <w:tab/>
      </w:r>
      <w:r>
        <w:rPr>
          <w:rFonts w:hint="eastAsia"/>
          <w:color w:val="auto"/>
        </w:rPr>
        <w:t>投标单位应充分考虑与原有系统碰头衔接所发生的费用，结算时不另计相关费用。</w:t>
      </w:r>
    </w:p>
    <w:p w14:paraId="37994072">
      <w:pPr>
        <w:widowControl/>
        <w:spacing w:line="240" w:lineRule="auto"/>
        <w:ind w:firstLine="0" w:firstLineChars="0"/>
        <w:jc w:val="left"/>
        <w:rPr>
          <w:rFonts w:hint="eastAsia"/>
          <w:color w:val="auto"/>
        </w:rPr>
      </w:pPr>
      <w:r>
        <w:rPr>
          <w:rFonts w:hint="eastAsia"/>
          <w:color w:val="auto"/>
        </w:rPr>
        <w:t>二十、特别说明：</w:t>
      </w:r>
    </w:p>
    <w:p w14:paraId="3DB3A891">
      <w:pPr>
        <w:widowControl/>
        <w:spacing w:line="240" w:lineRule="auto"/>
        <w:ind w:firstLine="0" w:firstLineChars="0"/>
        <w:jc w:val="left"/>
        <w:rPr>
          <w:rFonts w:hint="eastAsia"/>
          <w:color w:val="auto"/>
        </w:rPr>
      </w:pPr>
      <w:r>
        <w:rPr>
          <w:rFonts w:hint="eastAsia"/>
          <w:color w:val="auto"/>
        </w:rPr>
        <w:t>1.</w:t>
      </w:r>
      <w:r>
        <w:rPr>
          <w:rFonts w:hint="eastAsia"/>
          <w:color w:val="auto"/>
        </w:rPr>
        <w:tab/>
      </w:r>
      <w:r>
        <w:rPr>
          <w:rFonts w:hint="eastAsia"/>
          <w:color w:val="auto"/>
        </w:rPr>
        <w:t xml:space="preserve">本次招标列有安全生产费，投标单位应按照造价总额（不含暂列金额）的2.5%计入投标总价中。  </w:t>
      </w:r>
    </w:p>
    <w:p w14:paraId="42D2E4F4">
      <w:pPr>
        <w:widowControl/>
        <w:spacing w:line="240" w:lineRule="auto"/>
        <w:ind w:firstLine="0" w:firstLineChars="0"/>
        <w:jc w:val="left"/>
        <w:rPr>
          <w:color w:val="auto"/>
        </w:rPr>
      </w:pPr>
      <w:r>
        <w:rPr>
          <w:rFonts w:hint="eastAsia"/>
          <w:color w:val="auto"/>
        </w:rPr>
        <w:t>2.</w:t>
      </w:r>
      <w:r>
        <w:rPr>
          <w:rFonts w:hint="eastAsia"/>
          <w:color w:val="auto"/>
        </w:rPr>
        <w:tab/>
      </w:r>
      <w:r>
        <w:rPr>
          <w:rFonts w:hint="eastAsia"/>
          <w:color w:val="auto"/>
        </w:rPr>
        <w:t xml:space="preserve">本次招标列有暂列金额，投标单位应按照给定的金额计入投标总价中，不能随意删除、改动。           </w:t>
      </w:r>
    </w:p>
    <w:p w14:paraId="59A544CE">
      <w:pPr>
        <w:ind w:firstLine="0" w:firstLineChars="0"/>
        <w:rPr>
          <w:color w:val="auto"/>
          <w:sz w:val="32"/>
        </w:rPr>
      </w:pPr>
    </w:p>
    <w:p w14:paraId="34272379">
      <w:pPr>
        <w:pStyle w:val="20"/>
        <w:ind w:left="560"/>
        <w:jc w:val="center"/>
        <w:rPr>
          <w:rFonts w:hint="default" w:ascii="黑体" w:hAnsi="黑体" w:eastAsia="黑体"/>
          <w:color w:val="auto"/>
          <w:sz w:val="36"/>
          <w:szCs w:val="36"/>
        </w:rPr>
      </w:pPr>
      <w:r>
        <w:rPr>
          <w:rFonts w:hint="default" w:ascii="黑体" w:hAnsi="黑体" w:eastAsia="黑体"/>
          <w:color w:val="auto"/>
          <w:sz w:val="36"/>
          <w:szCs w:val="36"/>
        </w:rPr>
        <w:br w:type="page"/>
      </w:r>
    </w:p>
    <w:p w14:paraId="377ADD25">
      <w:pPr>
        <w:pStyle w:val="20"/>
        <w:ind w:left="560"/>
        <w:jc w:val="center"/>
        <w:rPr>
          <w:color w:val="auto"/>
        </w:rPr>
      </w:pPr>
      <w:r>
        <w:rPr>
          <w:rFonts w:ascii="黑体" w:hAnsi="黑体" w:eastAsia="黑体"/>
          <w:color w:val="auto"/>
          <w:sz w:val="36"/>
          <w:szCs w:val="36"/>
        </w:rPr>
        <w:t>报价编制说明</w:t>
      </w:r>
    </w:p>
    <w:p w14:paraId="155632C4">
      <w:pPr>
        <w:ind w:firstLine="0" w:firstLineChars="0"/>
        <w:rPr>
          <w:rFonts w:hint="eastAsia"/>
          <w:color w:val="auto"/>
        </w:rPr>
      </w:pPr>
      <w:r>
        <w:rPr>
          <w:rFonts w:hint="eastAsia"/>
          <w:color w:val="auto"/>
          <w:sz w:val="32"/>
        </w:rPr>
        <w:t>工程名称：乳山市大中型水库移民后期扶持人口自然变化结余资金项目</w:t>
      </w:r>
    </w:p>
    <w:p w14:paraId="229F75FC">
      <w:pPr>
        <w:ind w:firstLine="0" w:firstLineChars="0"/>
        <w:rPr>
          <w:rFonts w:hint="eastAsia"/>
          <w:color w:val="auto"/>
        </w:rPr>
      </w:pPr>
      <w:r>
        <w:rPr>
          <w:rFonts w:hint="eastAsia"/>
          <w:color w:val="auto"/>
        </w:rPr>
        <w:t>一、</w:t>
      </w:r>
      <w:r>
        <w:rPr>
          <w:rFonts w:hint="eastAsia"/>
          <w:color w:val="auto"/>
        </w:rPr>
        <w:tab/>
      </w:r>
      <w:r>
        <w:rPr>
          <w:rFonts w:hint="eastAsia"/>
          <w:color w:val="auto"/>
        </w:rPr>
        <w:t>报价人须知：</w:t>
      </w:r>
    </w:p>
    <w:p w14:paraId="3AEDAB22">
      <w:pPr>
        <w:ind w:firstLine="0" w:firstLineChars="0"/>
        <w:rPr>
          <w:rFonts w:hint="eastAsia"/>
          <w:color w:val="auto"/>
        </w:rPr>
      </w:pPr>
      <w:r>
        <w:rPr>
          <w:rFonts w:hint="eastAsia"/>
          <w:color w:val="auto"/>
        </w:rPr>
        <w:t>1.应按工程量清单及其计价格式规定的内容进行编制、填写、签字、盖章。</w:t>
      </w:r>
    </w:p>
    <w:p w14:paraId="5FCDCE0B">
      <w:pPr>
        <w:ind w:firstLine="0" w:firstLineChars="0"/>
        <w:rPr>
          <w:rFonts w:hint="eastAsia"/>
          <w:color w:val="auto"/>
        </w:rPr>
      </w:pPr>
      <w:r>
        <w:rPr>
          <w:rFonts w:hint="eastAsia"/>
          <w:color w:val="auto"/>
        </w:rPr>
        <w:t>2.工程量清单及其计价格式中的任何内容不得随意删除或涂改。</w:t>
      </w:r>
    </w:p>
    <w:p w14:paraId="07564A53">
      <w:pPr>
        <w:ind w:firstLine="0" w:firstLineChars="0"/>
        <w:rPr>
          <w:rFonts w:hint="eastAsia"/>
          <w:color w:val="auto"/>
        </w:rPr>
      </w:pPr>
      <w:r>
        <w:rPr>
          <w:rFonts w:hint="eastAsia"/>
          <w:color w:val="auto"/>
        </w:rPr>
        <w:t>3.工程量清单计价格式中列明的所有需要填报的单价和合价，投标单位均应填报，未填报的单价和合价，视为此项费用已包含在工程量清单的其他单价和合价内。</w:t>
      </w:r>
    </w:p>
    <w:p w14:paraId="23BC3A23">
      <w:pPr>
        <w:ind w:firstLine="0" w:firstLineChars="0"/>
        <w:rPr>
          <w:rFonts w:hint="eastAsia"/>
          <w:color w:val="auto"/>
        </w:rPr>
      </w:pPr>
      <w:r>
        <w:rPr>
          <w:rFonts w:hint="eastAsia"/>
          <w:color w:val="auto"/>
        </w:rPr>
        <w:t>4.金额（价格）均以人民币表示。</w:t>
      </w:r>
    </w:p>
    <w:p w14:paraId="20C4E7E1">
      <w:pPr>
        <w:ind w:firstLine="0" w:firstLineChars="0"/>
        <w:rPr>
          <w:rFonts w:hint="eastAsia"/>
          <w:color w:val="auto"/>
        </w:rPr>
      </w:pPr>
      <w:r>
        <w:rPr>
          <w:rFonts w:hint="eastAsia"/>
          <w:color w:val="auto"/>
        </w:rPr>
        <w:t>二、</w:t>
      </w:r>
      <w:r>
        <w:rPr>
          <w:rFonts w:hint="eastAsia"/>
          <w:color w:val="auto"/>
        </w:rPr>
        <w:tab/>
      </w:r>
      <w:r>
        <w:rPr>
          <w:rFonts w:hint="eastAsia"/>
          <w:color w:val="auto"/>
        </w:rPr>
        <w:t xml:space="preserve">工程名称：乳山市大中型水库移民后期扶持人口自然变化结余资金项目。 </w:t>
      </w:r>
    </w:p>
    <w:p w14:paraId="38D948D3">
      <w:pPr>
        <w:ind w:firstLine="0" w:firstLineChars="0"/>
        <w:rPr>
          <w:rFonts w:hint="eastAsia"/>
          <w:color w:val="auto"/>
        </w:rPr>
      </w:pPr>
      <w:r>
        <w:rPr>
          <w:rFonts w:hint="eastAsia"/>
          <w:color w:val="auto"/>
        </w:rPr>
        <w:t>三、</w:t>
      </w:r>
      <w:r>
        <w:rPr>
          <w:rFonts w:hint="eastAsia"/>
          <w:color w:val="auto"/>
        </w:rPr>
        <w:tab/>
      </w:r>
      <w:r>
        <w:rPr>
          <w:rFonts w:hint="eastAsia"/>
          <w:color w:val="auto"/>
        </w:rPr>
        <w:t>工程概况：本工程位于乳山市，本项目为崖子镇东夼钟家村更换自来水管道1650.00m、道路硬化675.00m2等。</w:t>
      </w:r>
    </w:p>
    <w:p w14:paraId="2021854F">
      <w:pPr>
        <w:ind w:firstLine="0" w:firstLineChars="0"/>
        <w:rPr>
          <w:rFonts w:hint="eastAsia"/>
          <w:color w:val="auto"/>
        </w:rPr>
      </w:pPr>
      <w:r>
        <w:rPr>
          <w:rFonts w:hint="eastAsia"/>
          <w:color w:val="auto"/>
        </w:rPr>
        <w:t>四、</w:t>
      </w:r>
      <w:r>
        <w:rPr>
          <w:rFonts w:hint="eastAsia"/>
          <w:color w:val="auto"/>
        </w:rPr>
        <w:tab/>
      </w:r>
      <w:r>
        <w:rPr>
          <w:rFonts w:hint="eastAsia"/>
          <w:color w:val="auto"/>
        </w:rPr>
        <w:t>工程招标范围：挖运土石方、混凝土路面拆除、新建混凝土路面、给排水管道、阀门及检查井砌筑等。</w:t>
      </w:r>
    </w:p>
    <w:p w14:paraId="3D4DCB6C">
      <w:pPr>
        <w:ind w:firstLine="0" w:firstLineChars="0"/>
        <w:rPr>
          <w:rFonts w:hint="eastAsia"/>
          <w:color w:val="auto"/>
        </w:rPr>
      </w:pPr>
      <w:r>
        <w:rPr>
          <w:rFonts w:hint="eastAsia"/>
          <w:color w:val="auto"/>
        </w:rPr>
        <w:t>具体以工程量清单为准。</w:t>
      </w:r>
    </w:p>
    <w:p w14:paraId="16C1D215">
      <w:pPr>
        <w:ind w:firstLine="0" w:firstLineChars="0"/>
        <w:rPr>
          <w:rFonts w:hint="eastAsia"/>
          <w:color w:val="auto"/>
        </w:rPr>
      </w:pPr>
      <w:r>
        <w:rPr>
          <w:rFonts w:hint="eastAsia"/>
          <w:color w:val="auto"/>
        </w:rPr>
        <w:t>五、</w:t>
      </w:r>
      <w:r>
        <w:rPr>
          <w:rFonts w:hint="eastAsia"/>
          <w:color w:val="auto"/>
        </w:rPr>
        <w:tab/>
      </w:r>
      <w:r>
        <w:rPr>
          <w:rFonts w:hint="eastAsia"/>
          <w:color w:val="auto"/>
        </w:rPr>
        <w:t>工程质量：达到验收规范合格标准。</w:t>
      </w:r>
    </w:p>
    <w:p w14:paraId="6EE645CF">
      <w:pPr>
        <w:ind w:firstLine="0" w:firstLineChars="0"/>
        <w:rPr>
          <w:rFonts w:hint="eastAsia"/>
          <w:color w:val="auto"/>
        </w:rPr>
      </w:pPr>
      <w:r>
        <w:rPr>
          <w:rFonts w:hint="eastAsia"/>
          <w:color w:val="auto"/>
        </w:rPr>
        <w:t>六、编制依据：</w:t>
      </w:r>
    </w:p>
    <w:p w14:paraId="7F8D5613">
      <w:pPr>
        <w:ind w:firstLine="0" w:firstLineChars="0"/>
        <w:rPr>
          <w:rFonts w:hint="eastAsia"/>
          <w:color w:val="auto"/>
        </w:rPr>
      </w:pPr>
      <w:r>
        <w:rPr>
          <w:rFonts w:hint="eastAsia"/>
          <w:color w:val="auto"/>
        </w:rPr>
        <w:t>1.工程项目设计文件、问题答疑等相关资料。</w:t>
      </w:r>
    </w:p>
    <w:p w14:paraId="3E3305AB">
      <w:pPr>
        <w:ind w:firstLine="0" w:firstLineChars="0"/>
        <w:rPr>
          <w:rFonts w:hint="eastAsia"/>
          <w:color w:val="auto"/>
        </w:rPr>
      </w:pPr>
      <w:r>
        <w:rPr>
          <w:rFonts w:hint="eastAsia"/>
          <w:color w:val="auto"/>
        </w:rPr>
        <w:t>2.与工程项目相关的标准设计图集、规范、技术资料等。</w:t>
      </w:r>
    </w:p>
    <w:p w14:paraId="37AE477A">
      <w:pPr>
        <w:ind w:firstLine="0" w:firstLineChars="0"/>
        <w:rPr>
          <w:rFonts w:hint="eastAsia"/>
          <w:color w:val="auto"/>
        </w:rPr>
      </w:pPr>
      <w:r>
        <w:rPr>
          <w:rFonts w:hint="eastAsia"/>
          <w:color w:val="auto"/>
        </w:rPr>
        <w:t>3.已拟定的招标文件资料等。</w:t>
      </w:r>
    </w:p>
    <w:p w14:paraId="6A43DD8E">
      <w:pPr>
        <w:ind w:firstLine="0" w:firstLineChars="0"/>
        <w:rPr>
          <w:rFonts w:hint="eastAsia"/>
          <w:color w:val="auto"/>
        </w:rPr>
      </w:pPr>
      <w:r>
        <w:rPr>
          <w:rFonts w:hint="eastAsia"/>
          <w:color w:val="auto"/>
        </w:rPr>
        <w:t>4.项目现场情况、工程特点及常规施工方案等。</w:t>
      </w:r>
    </w:p>
    <w:p w14:paraId="636E023D">
      <w:pPr>
        <w:ind w:firstLine="0" w:firstLineChars="0"/>
        <w:rPr>
          <w:rFonts w:hint="eastAsia"/>
          <w:color w:val="auto"/>
        </w:rPr>
      </w:pPr>
      <w:r>
        <w:rPr>
          <w:rFonts w:hint="eastAsia"/>
          <w:color w:val="auto"/>
        </w:rPr>
        <w:t>5.类似工程相关造价数据以及市场价格信息等。</w:t>
      </w:r>
    </w:p>
    <w:p w14:paraId="4D16071B">
      <w:pPr>
        <w:ind w:firstLine="0" w:firstLineChars="0"/>
        <w:rPr>
          <w:rFonts w:hint="eastAsia"/>
          <w:color w:val="auto"/>
        </w:rPr>
      </w:pPr>
      <w:r>
        <w:rPr>
          <w:rFonts w:hint="eastAsia"/>
          <w:color w:val="auto"/>
        </w:rPr>
        <w:t>七、清单项目中凡注明“以下、以内、小于”字样者，均包括本身；注明“以上、以外、大于”字样者，均不包括本身。</w:t>
      </w:r>
    </w:p>
    <w:p w14:paraId="4D236DEB">
      <w:pPr>
        <w:ind w:firstLine="0" w:firstLineChars="0"/>
        <w:rPr>
          <w:rFonts w:hint="eastAsia"/>
          <w:color w:val="auto"/>
        </w:rPr>
      </w:pPr>
      <w:r>
        <w:rPr>
          <w:rFonts w:hint="eastAsia"/>
          <w:color w:val="auto"/>
        </w:rPr>
        <w:t>八、投标单位参与投标视为已考察工程现场，对现场情况（包括工地位置情况、临设、道路、存贮空间、装运限制及任何其他影响报价的情况）已充分了解并预计，并能根据掌握的情况完成施工。现场原有工程的实际情况（包括与其他专业施工单位交接过程中的各种因素）视为在报价中已充分考虑，任何因忽视或误解工地情况而导致的索赔或工期延长将不被批准。</w:t>
      </w:r>
    </w:p>
    <w:p w14:paraId="10A49B12">
      <w:pPr>
        <w:ind w:firstLine="0" w:firstLineChars="0"/>
        <w:rPr>
          <w:rFonts w:hint="eastAsia"/>
          <w:color w:val="auto"/>
        </w:rPr>
      </w:pPr>
      <w:r>
        <w:rPr>
          <w:rFonts w:hint="eastAsia"/>
          <w:color w:val="auto"/>
        </w:rPr>
        <w:t>九、工程量清单中的项目特征描述为分部分项清单项目的全部内容，所有分部分项工程量清单均以完成该清单项目的所有内容为准考虑到综合报价中，若有未列全的其他内容由投标单位按照招标文件、设计图纸、规范等资料要求综合考虑；设计及规范等资料未明确的由投标单位书面提出质疑，以答疑回复内容为准；认为清单或图纸描述不详、缺失或有误而未进行书面质疑的，结算时要求签证增加相应内容不予支持；现场未按照清单描述或图纸设计内容施工的，结算时扣减未施工部分的费用。</w:t>
      </w:r>
    </w:p>
    <w:p w14:paraId="127F86E0">
      <w:pPr>
        <w:ind w:firstLine="0" w:firstLineChars="0"/>
        <w:rPr>
          <w:rFonts w:hint="eastAsia"/>
          <w:color w:val="auto"/>
        </w:rPr>
      </w:pPr>
      <w:r>
        <w:rPr>
          <w:rFonts w:hint="eastAsia"/>
          <w:color w:val="auto"/>
        </w:rPr>
        <w:t>十、投标单位在投标报价时，应根据现场条件、招标文件要求、承包方式，在保证施工质量的前提下，综合考虑自身施工经验、技术能力、市场竞争因素、风险因素以及不同专业交叉作业影响等，进行自主报价。除非合同另有约定，全费用综合单价应包括完成本项目（清单子目）内容所需的人工费、材料费、机械使用费、措施费、制作费、运输费、安装费、超高费、吊装费、管理费、利润、检验试验费、采保费（包括自购及指定材料）、材料设备搬运费、二次倒运费、损耗、缺陷修复、保险、规费、税金等费用，以及为保证质量和方便施工采用的工艺措施和未形成工程实体的费用，并包括招标文件和合同中明示或暗示所有责任、义务和一般风险。上述费用如在清单标价的全费用综合单价外额外发生，由中标人自行承担，结算不予认可。</w:t>
      </w:r>
    </w:p>
    <w:p w14:paraId="781DC107">
      <w:pPr>
        <w:ind w:firstLine="0" w:firstLineChars="0"/>
        <w:rPr>
          <w:rFonts w:hint="eastAsia"/>
          <w:color w:val="auto"/>
        </w:rPr>
      </w:pPr>
      <w:r>
        <w:rPr>
          <w:rFonts w:hint="eastAsia"/>
          <w:color w:val="auto"/>
        </w:rPr>
        <w:t>十一、投标单位按照本清单填报全费用综合单价，严禁不平衡报价，不得恶意降低报价扰乱市场，评标委员会有权对不合理报价进行质疑，投标单位应给予合理的答复。</w:t>
      </w:r>
    </w:p>
    <w:p w14:paraId="58901B8B">
      <w:pPr>
        <w:ind w:firstLine="0" w:firstLineChars="0"/>
        <w:rPr>
          <w:rFonts w:hint="eastAsia"/>
          <w:color w:val="auto"/>
        </w:rPr>
      </w:pPr>
      <w:r>
        <w:rPr>
          <w:rFonts w:hint="eastAsia"/>
          <w:color w:val="auto"/>
        </w:rPr>
        <w:t>十二、本项目所用材料均应符合国标，中标单位须严格按照图纸中的技术要求进行采购。除特殊要求，均采用中等偏上品质材料，若中标单位提供质量档次明显低于设计或招标文件要求的材料招标人有权指定供应商，一切费用由中标单位承担。招标人因特殊原因主张更换材料导致产生材料差价的，结算时给予计取材料差价，并计取规费与税金，其他费用不予计取。</w:t>
      </w:r>
    </w:p>
    <w:p w14:paraId="30AD592A">
      <w:pPr>
        <w:ind w:firstLine="0" w:firstLineChars="0"/>
        <w:rPr>
          <w:rFonts w:hint="eastAsia"/>
          <w:color w:val="auto"/>
        </w:rPr>
      </w:pPr>
      <w:r>
        <w:rPr>
          <w:rFonts w:hint="eastAsia"/>
          <w:color w:val="auto"/>
        </w:rPr>
        <w:t>十三、施工现场临时场地、临时水电及施工过程中用水(包括施工单位利用地下水）、用电由投标单位自行解决，并且根据水源接入点及平面布置，不到位的管线等所需费用应包含在相应的投标报价中，结算时不增加此部分费用；因临时设施的搭设位置的变化导致的费用增加，在结算时不予考虑。</w:t>
      </w:r>
    </w:p>
    <w:p w14:paraId="5D170554">
      <w:pPr>
        <w:ind w:firstLine="0" w:firstLineChars="0"/>
        <w:rPr>
          <w:rFonts w:hint="eastAsia"/>
          <w:color w:val="auto"/>
        </w:rPr>
      </w:pPr>
      <w:r>
        <w:rPr>
          <w:rFonts w:hint="eastAsia"/>
          <w:color w:val="auto"/>
        </w:rPr>
        <w:t>十四、本次报价应包含建设过程中发生诸如物价涨跌和政策性调价等因素，结算时全费用综合单价不调整（合同另有约定的除外）。</w:t>
      </w:r>
    </w:p>
    <w:p w14:paraId="1CB2ED03">
      <w:pPr>
        <w:ind w:firstLine="0" w:firstLineChars="0"/>
        <w:rPr>
          <w:rFonts w:hint="eastAsia"/>
          <w:color w:val="auto"/>
        </w:rPr>
      </w:pPr>
      <w:r>
        <w:rPr>
          <w:rFonts w:hint="eastAsia"/>
          <w:color w:val="auto"/>
        </w:rPr>
        <w:t>十五、施工单位为本工程提供的各类车辆及机械设备费用，包括机械设备的进出场、装卸、拼装、交通标示牌、警示牌等所有费用，应包括在清单报价中，投标单位应充分考虑施工过程中发生的各种机械的多次进出场和机械停滞的费用及风险费用，结算时不再增加此部分费用。</w:t>
      </w:r>
    </w:p>
    <w:p w14:paraId="68C93ADF">
      <w:pPr>
        <w:ind w:firstLine="0" w:firstLineChars="0"/>
        <w:rPr>
          <w:rFonts w:hint="eastAsia"/>
          <w:color w:val="auto"/>
        </w:rPr>
      </w:pPr>
      <w:r>
        <w:rPr>
          <w:rFonts w:hint="eastAsia"/>
          <w:color w:val="auto"/>
        </w:rPr>
        <w:t>十六、投标报价要充分考虑施工过程中不可避免的赶工期增加费，结算不予调整。</w:t>
      </w:r>
    </w:p>
    <w:p w14:paraId="4C7AC3B0">
      <w:pPr>
        <w:ind w:firstLine="0" w:firstLineChars="0"/>
        <w:rPr>
          <w:rFonts w:hint="eastAsia"/>
          <w:color w:val="auto"/>
        </w:rPr>
      </w:pPr>
      <w:r>
        <w:rPr>
          <w:rFonts w:hint="eastAsia"/>
          <w:color w:val="auto"/>
        </w:rPr>
        <w:t>十七、施工单位要提交符合城建档案馆要求的竣工资料，相应发生的费用也应充分考虑在投标报价中，结算时不再增加此部分费用。</w:t>
      </w:r>
    </w:p>
    <w:p w14:paraId="0BCA9335">
      <w:pPr>
        <w:ind w:firstLine="0" w:firstLineChars="0"/>
        <w:rPr>
          <w:rFonts w:hint="eastAsia"/>
          <w:color w:val="auto"/>
        </w:rPr>
      </w:pPr>
      <w:r>
        <w:rPr>
          <w:rFonts w:hint="eastAsia"/>
          <w:color w:val="auto"/>
        </w:rPr>
        <w:t>十八、清单报价时，投标单位应注意：</w:t>
      </w:r>
    </w:p>
    <w:p w14:paraId="71A6D9B3">
      <w:pPr>
        <w:ind w:firstLine="0" w:firstLineChars="0"/>
        <w:rPr>
          <w:rFonts w:hint="eastAsia"/>
          <w:color w:val="auto"/>
        </w:rPr>
      </w:pPr>
      <w:r>
        <w:rPr>
          <w:rFonts w:hint="eastAsia"/>
          <w:color w:val="auto"/>
        </w:rPr>
        <w:t>1.</w:t>
      </w:r>
      <w:r>
        <w:rPr>
          <w:rFonts w:hint="eastAsia"/>
          <w:color w:val="auto"/>
        </w:rPr>
        <w:tab/>
      </w:r>
      <w:r>
        <w:rPr>
          <w:rFonts w:hint="eastAsia"/>
          <w:color w:val="auto"/>
        </w:rPr>
        <w:t>土石方的挖、运、弃相关子目报价时须考虑省、市对扬尘和散流物体运输控制的相关文件要求，结算时除出现与地质勘察报告不同且有经验的承包商难以预见的地质条件外，不得因任何原因调整与土石方相关子目的单价。</w:t>
      </w:r>
    </w:p>
    <w:p w14:paraId="473ED4EB">
      <w:pPr>
        <w:ind w:firstLine="0" w:firstLineChars="0"/>
        <w:rPr>
          <w:rFonts w:hint="eastAsia"/>
          <w:color w:val="auto"/>
        </w:rPr>
      </w:pPr>
      <w:r>
        <w:rPr>
          <w:rFonts w:hint="eastAsia"/>
          <w:color w:val="auto"/>
        </w:rPr>
        <w:t>2.</w:t>
      </w:r>
      <w:r>
        <w:rPr>
          <w:rFonts w:hint="eastAsia"/>
          <w:color w:val="auto"/>
        </w:rPr>
        <w:tab/>
      </w:r>
      <w:r>
        <w:rPr>
          <w:rFonts w:hint="eastAsia"/>
          <w:color w:val="auto"/>
        </w:rPr>
        <w:t>土方开挖过程中可能出现的降排水费用，需投标时综合考虑在相应报价中，结算时不再增加此部分费用。</w:t>
      </w:r>
    </w:p>
    <w:p w14:paraId="3F1D4DE3">
      <w:pPr>
        <w:ind w:firstLine="0" w:firstLineChars="0"/>
        <w:rPr>
          <w:rFonts w:hint="eastAsia"/>
          <w:color w:val="auto"/>
        </w:rPr>
      </w:pPr>
      <w:r>
        <w:rPr>
          <w:rFonts w:hint="eastAsia"/>
          <w:color w:val="auto"/>
        </w:rPr>
        <w:t>3.</w:t>
      </w:r>
      <w:r>
        <w:rPr>
          <w:rFonts w:hint="eastAsia"/>
          <w:color w:val="auto"/>
        </w:rPr>
        <w:tab/>
      </w:r>
      <w:r>
        <w:rPr>
          <w:rFonts w:hint="eastAsia"/>
          <w:color w:val="auto"/>
        </w:rPr>
        <w:t>混凝土子目报价须考虑混凝土材料费、运输费（含垂直运输）、各种方式的泵送费、泵送剂费用、养护费用等；须考虑商品砼泵送时产生的组管、洗管、配合泵送的材料费、人工费、机械费及各种泵的电费、燃料费等；须考虑模板、支撑方式、模板摊销次数等影响因素，结算时不另计相关费用。</w:t>
      </w:r>
    </w:p>
    <w:p w14:paraId="77DB31D2">
      <w:pPr>
        <w:ind w:firstLine="0" w:firstLineChars="0"/>
        <w:rPr>
          <w:rFonts w:hint="eastAsia"/>
          <w:color w:val="auto"/>
        </w:rPr>
      </w:pPr>
      <w:r>
        <w:rPr>
          <w:rFonts w:hint="eastAsia"/>
          <w:color w:val="auto"/>
        </w:rPr>
        <w:t>4.</w:t>
      </w:r>
      <w:r>
        <w:rPr>
          <w:rFonts w:hint="eastAsia"/>
          <w:color w:val="auto"/>
        </w:rPr>
        <w:tab/>
      </w:r>
      <w:r>
        <w:rPr>
          <w:rFonts w:hint="eastAsia"/>
          <w:color w:val="auto"/>
        </w:rPr>
        <w:t>含砂浆的子目报价须考虑砂浆罐的租赁费，砂浆的单价(包括砂浆标号)在结算中概不调整。</w:t>
      </w:r>
    </w:p>
    <w:p w14:paraId="255A5A72">
      <w:pPr>
        <w:ind w:firstLine="0" w:firstLineChars="0"/>
        <w:rPr>
          <w:rFonts w:hint="eastAsia"/>
          <w:color w:val="auto"/>
        </w:rPr>
      </w:pPr>
      <w:r>
        <w:rPr>
          <w:rFonts w:hint="eastAsia"/>
          <w:color w:val="auto"/>
        </w:rPr>
        <w:t>5.</w:t>
      </w:r>
      <w:r>
        <w:rPr>
          <w:rFonts w:hint="eastAsia"/>
          <w:color w:val="auto"/>
        </w:rPr>
        <w:tab/>
      </w:r>
      <w:r>
        <w:rPr>
          <w:rFonts w:hint="eastAsia"/>
          <w:color w:val="auto"/>
        </w:rPr>
        <w:t>抹灰子目报价须考虑添加剂、分隔条等费用，结算时不因材料、抹灰层厚度等影响因素调增单价。</w:t>
      </w:r>
    </w:p>
    <w:p w14:paraId="43CF8487">
      <w:pPr>
        <w:ind w:firstLine="0" w:firstLineChars="0"/>
        <w:rPr>
          <w:rFonts w:hint="eastAsia"/>
          <w:color w:val="auto"/>
        </w:rPr>
      </w:pPr>
      <w:r>
        <w:rPr>
          <w:rFonts w:hint="eastAsia"/>
          <w:color w:val="auto"/>
        </w:rPr>
        <w:t>6.</w:t>
      </w:r>
      <w:r>
        <w:rPr>
          <w:rFonts w:hint="eastAsia"/>
          <w:color w:val="auto"/>
        </w:rPr>
        <w:tab/>
      </w:r>
      <w:r>
        <w:rPr>
          <w:rFonts w:hint="eastAsia"/>
          <w:color w:val="auto"/>
        </w:rPr>
        <w:t>投标时应综合考虑墙体的打、堵洞费用及防火封堵等费用，结算时不另计相关费用。</w:t>
      </w:r>
    </w:p>
    <w:p w14:paraId="77883542">
      <w:pPr>
        <w:ind w:firstLine="0" w:firstLineChars="0"/>
        <w:rPr>
          <w:rFonts w:hint="eastAsia"/>
          <w:color w:val="auto"/>
        </w:rPr>
      </w:pPr>
      <w:r>
        <w:rPr>
          <w:rFonts w:hint="eastAsia"/>
          <w:color w:val="auto"/>
        </w:rPr>
        <w:t>7.</w:t>
      </w:r>
      <w:r>
        <w:rPr>
          <w:rFonts w:hint="eastAsia"/>
          <w:color w:val="auto"/>
        </w:rPr>
        <w:tab/>
      </w:r>
      <w:r>
        <w:rPr>
          <w:rFonts w:hint="eastAsia"/>
          <w:color w:val="auto"/>
        </w:rPr>
        <w:t>投标单位应充分考虑与原有系统碰头衔接所发生的费用，结算时不另计相关费用。</w:t>
      </w:r>
    </w:p>
    <w:p w14:paraId="34C2FFDF">
      <w:pPr>
        <w:ind w:firstLine="0" w:firstLineChars="0"/>
        <w:rPr>
          <w:rFonts w:hint="eastAsia"/>
          <w:color w:val="auto"/>
        </w:rPr>
      </w:pPr>
      <w:r>
        <w:rPr>
          <w:rFonts w:hint="eastAsia"/>
          <w:color w:val="auto"/>
        </w:rPr>
        <w:t>二十、特别说明：</w:t>
      </w:r>
    </w:p>
    <w:p w14:paraId="2921E4C3">
      <w:pPr>
        <w:ind w:firstLine="0" w:firstLineChars="0"/>
        <w:rPr>
          <w:rFonts w:hint="eastAsia"/>
          <w:color w:val="auto"/>
        </w:rPr>
      </w:pPr>
      <w:r>
        <w:rPr>
          <w:rFonts w:hint="eastAsia"/>
          <w:color w:val="auto"/>
        </w:rPr>
        <w:t>1.</w:t>
      </w:r>
      <w:r>
        <w:rPr>
          <w:rFonts w:hint="eastAsia"/>
          <w:color w:val="auto"/>
        </w:rPr>
        <w:tab/>
      </w:r>
      <w:r>
        <w:rPr>
          <w:rFonts w:hint="eastAsia"/>
          <w:color w:val="auto"/>
        </w:rPr>
        <w:t xml:space="preserve">本次招标列有安全生产费，投标单位应按照造价总额（不含暂列金额）的2.5%计入投标总价中。  </w:t>
      </w:r>
    </w:p>
    <w:p w14:paraId="28CD9B35">
      <w:pPr>
        <w:spacing w:line="560" w:lineRule="exact"/>
        <w:ind w:firstLine="560"/>
        <w:rPr>
          <w:color w:val="auto"/>
        </w:rPr>
        <w:sectPr>
          <w:pgSz w:w="11906" w:h="16838"/>
          <w:pgMar w:top="1440" w:right="1077" w:bottom="1440" w:left="1077" w:header="851" w:footer="992" w:gutter="0"/>
          <w:cols w:space="720" w:num="1"/>
          <w:docGrid w:type="lines" w:linePitch="312" w:charSpace="0"/>
        </w:sectPr>
      </w:pPr>
      <w:r>
        <w:rPr>
          <w:rFonts w:hint="eastAsia"/>
          <w:color w:val="auto"/>
        </w:rPr>
        <w:t>2.</w:t>
      </w:r>
      <w:r>
        <w:rPr>
          <w:rFonts w:hint="eastAsia"/>
          <w:color w:val="auto"/>
        </w:rPr>
        <w:tab/>
      </w:r>
      <w:r>
        <w:rPr>
          <w:rFonts w:hint="eastAsia"/>
          <w:color w:val="auto"/>
        </w:rPr>
        <w:t xml:space="preserve">本次招标列有暂列金额，投标单位应按照给定的金额计入投标总价中，不能随意删除、改动。   </w:t>
      </w:r>
    </w:p>
    <w:p w14:paraId="6C2C9DD5">
      <w:pPr>
        <w:pStyle w:val="43"/>
        <w:spacing w:before="100" w:beforeAutospacing="1" w:after="100" w:afterAutospacing="1" w:line="415" w:lineRule="auto"/>
        <w:ind w:left="1440" w:firstLine="883"/>
        <w:jc w:val="both"/>
        <w:rPr>
          <w:rFonts w:ascii="宋体" w:hAnsi="宋体" w:cs="宋体"/>
          <w:color w:val="auto"/>
          <w:sz w:val="44"/>
          <w:szCs w:val="44"/>
        </w:rPr>
      </w:pPr>
      <w:r>
        <w:rPr>
          <w:rFonts w:hint="eastAsia" w:ascii="宋体" w:hAnsi="宋体" w:cs="宋体"/>
          <w:color w:val="auto"/>
          <w:sz w:val="44"/>
          <w:szCs w:val="44"/>
        </w:rPr>
        <w:t>第四章</w:t>
      </w:r>
      <w:r>
        <w:rPr>
          <w:rFonts w:hint="eastAsia" w:ascii="楷体_GB2312" w:hAnsi="宋体" w:eastAsia="楷体_GB2312" w:cs="宋体"/>
          <w:color w:val="auto"/>
          <w:sz w:val="44"/>
          <w:szCs w:val="44"/>
        </w:rPr>
        <w:t>磋商原则、程序和方法</w:t>
      </w:r>
    </w:p>
    <w:p w14:paraId="3DA28B4F">
      <w:pPr>
        <w:spacing w:line="720" w:lineRule="auto"/>
        <w:ind w:firstLine="562"/>
        <w:rPr>
          <w:rFonts w:ascii="楷体_GB2312" w:eastAsia="楷体_GB2312"/>
          <w:b/>
          <w:color w:val="auto"/>
          <w:szCs w:val="28"/>
        </w:rPr>
      </w:pPr>
      <w:r>
        <w:rPr>
          <w:rFonts w:hint="eastAsia" w:ascii="楷体_GB2312" w:eastAsia="楷体_GB2312"/>
          <w:b/>
          <w:color w:val="auto"/>
          <w:szCs w:val="28"/>
        </w:rPr>
        <w:t>一、评审原则</w:t>
      </w:r>
    </w:p>
    <w:p w14:paraId="516AF85E">
      <w:pPr>
        <w:spacing w:line="520" w:lineRule="exact"/>
        <w:ind w:firstLine="560"/>
        <w:rPr>
          <w:rFonts w:ascii="仿宋_GB2312" w:hAnsi="宋体"/>
          <w:color w:val="auto"/>
          <w:szCs w:val="21"/>
        </w:rPr>
      </w:pPr>
      <w:r>
        <w:rPr>
          <w:rFonts w:hint="eastAsia" w:ascii="仿宋_GB2312" w:hAnsi="宋体"/>
          <w:color w:val="auto"/>
          <w:szCs w:val="21"/>
        </w:rPr>
        <w:t>“客观、公正、审慎”为本次评审的基本原则，磋商小组将按照这一原则的要求，公正、平等地对待各报价供应商，同时，在评审时恪守以下原则：</w:t>
      </w:r>
    </w:p>
    <w:p w14:paraId="283124C6">
      <w:pPr>
        <w:spacing w:line="520" w:lineRule="exact"/>
        <w:ind w:firstLine="560"/>
        <w:rPr>
          <w:rFonts w:ascii="仿宋_GB2312" w:hAnsi="宋体"/>
          <w:color w:val="auto"/>
          <w:szCs w:val="21"/>
        </w:rPr>
      </w:pPr>
      <w:r>
        <w:rPr>
          <w:rFonts w:hint="eastAsia" w:ascii="仿宋_GB2312" w:hAnsi="宋体"/>
          <w:color w:val="auto"/>
          <w:szCs w:val="21"/>
        </w:rPr>
        <w:t>1.客观性原则：磋商小组将严格按照竞争性磋商文件的要求，对报价供应商的响应文件进行认真评审，磋商小组对响应文件的评审仅依据响应文件本身，而不依靠响应文件以外的任何因素。</w:t>
      </w:r>
    </w:p>
    <w:p w14:paraId="5FE8DDD3">
      <w:pPr>
        <w:spacing w:line="520" w:lineRule="exact"/>
        <w:ind w:firstLine="560"/>
        <w:rPr>
          <w:rFonts w:ascii="仿宋_GB2312" w:hAnsi="宋体"/>
          <w:color w:val="auto"/>
          <w:szCs w:val="21"/>
        </w:rPr>
      </w:pPr>
      <w:r>
        <w:rPr>
          <w:rFonts w:hint="eastAsia" w:ascii="仿宋_GB2312" w:hAnsi="宋体"/>
          <w:color w:val="auto"/>
          <w:szCs w:val="21"/>
        </w:rPr>
        <w:t>2.统一性原则：磋商小组将按照统一的评审原则和评审方法，采用统一标准进行评审。</w:t>
      </w:r>
    </w:p>
    <w:p w14:paraId="30264290">
      <w:pPr>
        <w:spacing w:line="520" w:lineRule="exact"/>
        <w:ind w:firstLine="560"/>
        <w:rPr>
          <w:rFonts w:ascii="仿宋_GB2312" w:hAnsi="宋体"/>
          <w:color w:val="auto"/>
          <w:szCs w:val="21"/>
        </w:rPr>
      </w:pPr>
      <w:r>
        <w:rPr>
          <w:rFonts w:hint="eastAsia" w:ascii="仿宋_GB2312" w:hAnsi="宋体"/>
          <w:color w:val="auto"/>
          <w:szCs w:val="21"/>
        </w:rPr>
        <w:t>3.独立性原则：评审工作在磋商小组内部独立进行，不受外界任何因素的干扰和影响。</w:t>
      </w:r>
    </w:p>
    <w:p w14:paraId="43238F80">
      <w:pPr>
        <w:spacing w:line="520" w:lineRule="exact"/>
        <w:ind w:firstLine="560"/>
        <w:rPr>
          <w:rFonts w:ascii="仿宋_GB2312" w:hAnsi="宋体"/>
          <w:color w:val="auto"/>
          <w:szCs w:val="21"/>
        </w:rPr>
      </w:pPr>
      <w:r>
        <w:rPr>
          <w:rFonts w:hint="eastAsia" w:ascii="仿宋_GB2312" w:hAnsi="宋体"/>
          <w:color w:val="auto"/>
          <w:szCs w:val="21"/>
        </w:rPr>
        <w:t>4.保密性原则：磋商小组及熟知情况的有关工作人员必须对每位评委的评审意见和报价供应商的商业秘密严格保密。</w:t>
      </w:r>
    </w:p>
    <w:p w14:paraId="0A248BDE">
      <w:pPr>
        <w:spacing w:line="520" w:lineRule="exact"/>
        <w:ind w:firstLine="560"/>
        <w:rPr>
          <w:rFonts w:ascii="仿宋_GB2312" w:hAnsi="宋体"/>
          <w:color w:val="auto"/>
          <w:szCs w:val="21"/>
        </w:rPr>
      </w:pPr>
      <w:r>
        <w:rPr>
          <w:rFonts w:hint="eastAsia" w:ascii="仿宋_GB2312" w:hAnsi="宋体"/>
          <w:color w:val="auto"/>
          <w:szCs w:val="21"/>
        </w:rPr>
        <w:t>5.综合性原则：磋商小组将综合分析、评审报价供应商的各项指标。</w:t>
      </w:r>
    </w:p>
    <w:p w14:paraId="4CF00727">
      <w:pPr>
        <w:spacing w:line="720" w:lineRule="auto"/>
        <w:ind w:firstLine="562"/>
        <w:rPr>
          <w:rFonts w:ascii="楷体_GB2312" w:eastAsia="楷体_GB2312"/>
          <w:b/>
          <w:color w:val="auto"/>
          <w:szCs w:val="28"/>
        </w:rPr>
      </w:pPr>
      <w:r>
        <w:rPr>
          <w:rFonts w:hint="eastAsia" w:ascii="楷体_GB2312" w:eastAsia="楷体_GB2312"/>
          <w:b/>
          <w:color w:val="auto"/>
          <w:szCs w:val="28"/>
        </w:rPr>
        <w:t>二、评审程序</w:t>
      </w:r>
    </w:p>
    <w:p w14:paraId="04353B0E">
      <w:pPr>
        <w:spacing w:before="156" w:beforeLines="50" w:line="520" w:lineRule="exact"/>
        <w:ind w:firstLine="562"/>
        <w:rPr>
          <w:rFonts w:ascii="仿宋_GB2312" w:hAnsi="宋体"/>
          <w:b/>
          <w:color w:val="auto"/>
          <w:szCs w:val="21"/>
        </w:rPr>
      </w:pPr>
      <w:r>
        <w:rPr>
          <w:rFonts w:hint="eastAsia" w:ascii="仿宋_GB2312" w:hAnsi="宋体"/>
          <w:b/>
          <w:color w:val="auto"/>
          <w:szCs w:val="21"/>
        </w:rPr>
        <w:t>（一）磋商程序</w:t>
      </w:r>
    </w:p>
    <w:p w14:paraId="4CB69ADC">
      <w:pPr>
        <w:spacing w:line="520" w:lineRule="exact"/>
        <w:ind w:firstLine="560"/>
        <w:rPr>
          <w:rFonts w:ascii="仿宋_GB2312" w:hAnsi="宋体"/>
          <w:color w:val="auto"/>
          <w:szCs w:val="21"/>
        </w:rPr>
      </w:pPr>
      <w:r>
        <w:rPr>
          <w:rFonts w:hint="eastAsia" w:ascii="仿宋_GB2312" w:hAnsi="宋体"/>
          <w:color w:val="auto"/>
          <w:szCs w:val="21"/>
        </w:rPr>
        <w:t>1.磋商小组将按照竞争性磋商文件的规定对响应文件进行有效性、完整性和响应程度审查，以确定响应文件的实质性响应。</w:t>
      </w:r>
    </w:p>
    <w:p w14:paraId="6FE38250">
      <w:pPr>
        <w:spacing w:line="520" w:lineRule="exact"/>
        <w:ind w:firstLine="560"/>
        <w:rPr>
          <w:rFonts w:ascii="仿宋_GB2312" w:hAnsi="宋体"/>
          <w:color w:val="auto"/>
          <w:szCs w:val="21"/>
        </w:rPr>
      </w:pPr>
      <w:r>
        <w:rPr>
          <w:rFonts w:hint="eastAsia" w:ascii="仿宋_GB2312" w:hAnsi="宋体"/>
          <w:color w:val="auto"/>
          <w:szCs w:val="21"/>
        </w:rPr>
        <w:t>2.出现下列情形之一的，视为对竞争性磋商文件未做出实质性响应，按照无效报价处理。</w:t>
      </w:r>
    </w:p>
    <w:p w14:paraId="2656E0B0">
      <w:pPr>
        <w:spacing w:line="520" w:lineRule="exact"/>
        <w:ind w:firstLine="560"/>
        <w:rPr>
          <w:rFonts w:ascii="仿宋_GB2312" w:hAnsi="宋体"/>
          <w:color w:val="auto"/>
          <w:szCs w:val="21"/>
        </w:rPr>
      </w:pPr>
      <w:r>
        <w:rPr>
          <w:rFonts w:hint="eastAsia" w:ascii="仿宋_GB2312" w:hAnsi="宋体"/>
          <w:color w:val="auto"/>
          <w:szCs w:val="21"/>
        </w:rPr>
        <w:t>详见《响应须知前附表》-《实质性条款一览表》</w:t>
      </w:r>
    </w:p>
    <w:p w14:paraId="3BCB8486">
      <w:pPr>
        <w:spacing w:line="520" w:lineRule="exact"/>
        <w:ind w:firstLine="560"/>
        <w:rPr>
          <w:rFonts w:ascii="仿宋_GB2312" w:hAnsi="宋体"/>
          <w:color w:val="auto"/>
          <w:szCs w:val="21"/>
        </w:rPr>
      </w:pPr>
      <w:r>
        <w:rPr>
          <w:rFonts w:hint="eastAsia" w:ascii="仿宋_GB2312" w:hAnsi="宋体"/>
          <w:color w:val="auto"/>
          <w:szCs w:val="21"/>
        </w:rPr>
        <w:t>3.属于无效报价的，报价供应商不能通过修正或撤消响应文件中不符合之处而成为实质性响应的报价，采购代理将通知报价供应商，并说明无效报价理由。属于有效响应文件的，将进行下一轮此的询标和澄清。</w:t>
      </w:r>
    </w:p>
    <w:p w14:paraId="5ED298F3">
      <w:pPr>
        <w:spacing w:line="520" w:lineRule="exact"/>
        <w:ind w:firstLine="560"/>
        <w:rPr>
          <w:rFonts w:ascii="仿宋_GB2312" w:hAnsi="宋体"/>
          <w:color w:val="auto"/>
          <w:szCs w:val="21"/>
        </w:rPr>
      </w:pPr>
      <w:r>
        <w:rPr>
          <w:rFonts w:hint="eastAsia" w:ascii="仿宋_GB2312" w:hAnsi="宋体"/>
          <w:color w:val="auto"/>
          <w:szCs w:val="21"/>
        </w:rPr>
        <w:t>4.澄清、说明或者补正</w:t>
      </w:r>
    </w:p>
    <w:p w14:paraId="25A2829E">
      <w:pPr>
        <w:spacing w:line="520" w:lineRule="exact"/>
        <w:ind w:firstLine="560"/>
        <w:rPr>
          <w:rFonts w:ascii="仿宋_GB2312" w:hAnsi="宋体"/>
          <w:color w:val="auto"/>
          <w:szCs w:val="21"/>
        </w:rPr>
      </w:pPr>
      <w:r>
        <w:rPr>
          <w:rFonts w:hint="eastAsia" w:ascii="仿宋_GB2312" w:hAnsi="宋体"/>
          <w:color w:val="auto"/>
          <w:szCs w:val="21"/>
        </w:rPr>
        <w:t>（1）对有效响应文件中含义不明确、同类问题前后表述不一致或者有明显文字和计算错误的内容，磋商小组可以书面形式要求报价供应商在规定的时间内做出必要的澄清、说明或者纠正，报价供应商应在要求的时间内以书面形式澄清、说明或者补正,并由其法定代表人或被授权人签字，且不得超出响应文件的范围或者改变响应文件的实质性内容。</w:t>
      </w:r>
    </w:p>
    <w:p w14:paraId="111FAA31">
      <w:pPr>
        <w:spacing w:line="520" w:lineRule="exact"/>
        <w:ind w:firstLine="560"/>
        <w:rPr>
          <w:rFonts w:ascii="宋体" w:hAnsi="宋体"/>
          <w:color w:val="auto"/>
          <w:sz w:val="24"/>
          <w:szCs w:val="21"/>
        </w:rPr>
      </w:pPr>
      <w:r>
        <w:rPr>
          <w:rFonts w:hint="eastAsia" w:ascii="仿宋_GB2312" w:hAnsi="宋体"/>
          <w:color w:val="auto"/>
          <w:szCs w:val="21"/>
        </w:rPr>
        <w:t>（2）报价供应商依据评审要求进行澄清、说明或者补正的内容构成响应文件的组成部分。</w:t>
      </w:r>
    </w:p>
    <w:p w14:paraId="6516E1A0">
      <w:pPr>
        <w:spacing w:before="156" w:beforeLines="50" w:line="520" w:lineRule="exact"/>
        <w:ind w:firstLine="562"/>
        <w:rPr>
          <w:rFonts w:ascii="仿宋_GB2312" w:hAnsi="宋体"/>
          <w:b/>
          <w:color w:val="auto"/>
          <w:szCs w:val="21"/>
        </w:rPr>
      </w:pPr>
      <w:r>
        <w:rPr>
          <w:rFonts w:hint="eastAsia" w:ascii="仿宋_GB2312" w:hAnsi="宋体"/>
          <w:b/>
          <w:color w:val="auto"/>
          <w:szCs w:val="21"/>
        </w:rPr>
        <w:t>（二）磋商、优化方案</w:t>
      </w:r>
    </w:p>
    <w:p w14:paraId="6670E98E">
      <w:pPr>
        <w:spacing w:line="520" w:lineRule="exact"/>
        <w:ind w:firstLine="560"/>
        <w:rPr>
          <w:rFonts w:ascii="仿宋_GB2312" w:hAnsi="宋体"/>
          <w:color w:val="auto"/>
          <w:szCs w:val="21"/>
        </w:rPr>
      </w:pPr>
      <w:r>
        <w:rPr>
          <w:rFonts w:hint="eastAsia" w:ascii="仿宋_GB2312" w:hAnsi="宋体"/>
          <w:color w:val="auto"/>
          <w:szCs w:val="21"/>
        </w:rPr>
        <w:t>（1）磋商小组所有成员应当集中与单一供应商分别进行磋商，并给予所有参加磋商的供应商平等的磋商机会。</w:t>
      </w:r>
    </w:p>
    <w:p w14:paraId="6F3F2606">
      <w:pPr>
        <w:spacing w:line="520" w:lineRule="exact"/>
        <w:ind w:firstLine="560"/>
        <w:rPr>
          <w:rFonts w:ascii="仿宋_GB2312" w:hAnsi="宋体"/>
          <w:color w:val="auto"/>
          <w:szCs w:val="21"/>
        </w:rPr>
      </w:pPr>
      <w:r>
        <w:rPr>
          <w:rFonts w:hint="eastAsia" w:ascii="仿宋_GB2312" w:hAnsi="宋体"/>
          <w:color w:val="auto"/>
          <w:szCs w:val="21"/>
        </w:rPr>
        <w:t>（2）磋商小组可以根据磋商文件和磋商情况实质性变动采购需求中的技术、服务要求以及合同草案条款，但不得变动磋商文件中的其他内容。实质性变动的内容，须经采购人代表确认。</w:t>
      </w:r>
    </w:p>
    <w:p w14:paraId="746C196D">
      <w:pPr>
        <w:spacing w:line="520" w:lineRule="exact"/>
        <w:ind w:firstLine="560"/>
        <w:rPr>
          <w:rFonts w:ascii="仿宋_GB2312" w:hAnsi="宋体"/>
          <w:color w:val="auto"/>
          <w:szCs w:val="21"/>
        </w:rPr>
      </w:pPr>
      <w:r>
        <w:rPr>
          <w:rFonts w:hint="eastAsia" w:ascii="仿宋_GB2312" w:hAnsi="宋体"/>
          <w:color w:val="auto"/>
          <w:szCs w:val="21"/>
        </w:rPr>
        <w:t>（3）对磋商文件做出的实质性变动是磋商文件的有效组成部分，磋商小组应当及时以书面形式同时通知所有参加磋商的供应商。</w:t>
      </w:r>
    </w:p>
    <w:p w14:paraId="0EE6B332">
      <w:pPr>
        <w:spacing w:line="520" w:lineRule="exact"/>
        <w:ind w:firstLine="560"/>
        <w:rPr>
          <w:rFonts w:ascii="仿宋_GB2312" w:hAnsi="宋体"/>
          <w:color w:val="auto"/>
          <w:szCs w:val="21"/>
        </w:rPr>
      </w:pPr>
      <w:r>
        <w:rPr>
          <w:rFonts w:hint="eastAsia" w:ascii="仿宋_GB2312" w:hAnsi="宋体"/>
          <w:color w:val="auto"/>
          <w:szCs w:val="21"/>
        </w:rPr>
        <w:t>（4）供应商应当按照磋商文件的变动情况和磋商小组的要求重新提交响应文件，并由其法定代表人或被授权人签字或者加盖公章。</w:t>
      </w:r>
    </w:p>
    <w:p w14:paraId="5476B792">
      <w:pPr>
        <w:spacing w:before="156" w:beforeLines="50" w:line="520" w:lineRule="exact"/>
        <w:ind w:firstLine="562"/>
        <w:rPr>
          <w:rFonts w:ascii="仿宋_GB2312" w:hAnsi="宋体"/>
          <w:b/>
          <w:color w:val="auto"/>
          <w:szCs w:val="21"/>
        </w:rPr>
      </w:pPr>
      <w:r>
        <w:rPr>
          <w:rFonts w:hint="eastAsia" w:ascii="仿宋_GB2312" w:hAnsi="宋体"/>
          <w:b/>
          <w:color w:val="auto"/>
          <w:szCs w:val="21"/>
        </w:rPr>
        <w:t>（三）最后报价</w:t>
      </w:r>
    </w:p>
    <w:p w14:paraId="35011909">
      <w:pPr>
        <w:spacing w:line="520" w:lineRule="exact"/>
        <w:ind w:firstLine="560"/>
        <w:rPr>
          <w:rFonts w:ascii="仿宋_GB2312" w:hAnsi="宋体"/>
          <w:color w:val="auto"/>
          <w:szCs w:val="21"/>
        </w:rPr>
      </w:pPr>
      <w:r>
        <w:rPr>
          <w:rFonts w:hint="eastAsia" w:ascii="仿宋_GB2312" w:hAnsi="宋体"/>
          <w:color w:val="auto"/>
          <w:szCs w:val="21"/>
        </w:rPr>
        <w:t>（1）磋商文件能够详细列明采购标的的技术、服务要求的，磋商结束后，磋商小组应当要求所有实质性响应的报价供应商在规定时间内提交最终报价。</w:t>
      </w:r>
    </w:p>
    <w:p w14:paraId="79228A40">
      <w:pPr>
        <w:spacing w:line="520" w:lineRule="exact"/>
        <w:ind w:firstLine="560"/>
        <w:rPr>
          <w:rFonts w:ascii="仿宋_GB2312" w:hAnsi="宋体"/>
          <w:color w:val="auto"/>
          <w:szCs w:val="21"/>
        </w:rPr>
      </w:pPr>
      <w:r>
        <w:rPr>
          <w:rFonts w:hint="eastAsia" w:ascii="仿宋_GB2312" w:hAnsi="宋体"/>
          <w:color w:val="auto"/>
          <w:szCs w:val="21"/>
        </w:rPr>
        <w:t>（2）最终报价是报价供应商响应文件的有效组成部分。</w:t>
      </w:r>
    </w:p>
    <w:p w14:paraId="24C34294">
      <w:pPr>
        <w:spacing w:line="720" w:lineRule="auto"/>
        <w:ind w:firstLine="562"/>
        <w:rPr>
          <w:rFonts w:ascii="楷体_GB2312" w:eastAsia="楷体_GB2312"/>
          <w:b/>
          <w:color w:val="auto"/>
          <w:szCs w:val="28"/>
        </w:rPr>
      </w:pPr>
      <w:r>
        <w:rPr>
          <w:rFonts w:hint="eastAsia" w:ascii="楷体_GB2312" w:eastAsia="楷体_GB2312"/>
          <w:b/>
          <w:color w:val="auto"/>
          <w:szCs w:val="28"/>
        </w:rPr>
        <w:t>三、评审方法</w:t>
      </w:r>
    </w:p>
    <w:p w14:paraId="01A1255C">
      <w:pPr>
        <w:spacing w:line="520" w:lineRule="exact"/>
        <w:ind w:firstLine="560"/>
        <w:rPr>
          <w:rFonts w:ascii="仿宋_GB2312" w:hAnsi="宋体"/>
          <w:color w:val="auto"/>
          <w:szCs w:val="21"/>
        </w:rPr>
      </w:pPr>
      <w:r>
        <w:rPr>
          <w:rFonts w:hint="eastAsia" w:ascii="仿宋_GB2312" w:hAnsi="宋体"/>
          <w:color w:val="auto"/>
          <w:szCs w:val="21"/>
        </w:rPr>
        <w:t>（1）评审方法：综合评分法，即报价供应商的响应文件满足磋商文件全部实质性要求，且按评审因素的量化指标评审得分最高的供应商为成交候选供应商的评审方法。</w:t>
      </w:r>
    </w:p>
    <w:p w14:paraId="7996AA93">
      <w:pPr>
        <w:spacing w:line="520" w:lineRule="exact"/>
        <w:ind w:firstLine="560"/>
        <w:rPr>
          <w:rFonts w:ascii="仿宋_GB2312" w:hAnsi="宋体"/>
          <w:color w:val="auto"/>
          <w:szCs w:val="21"/>
        </w:rPr>
      </w:pPr>
      <w:r>
        <w:rPr>
          <w:rFonts w:hint="eastAsia" w:ascii="仿宋_GB2312" w:hAnsi="宋体"/>
          <w:color w:val="auto"/>
          <w:szCs w:val="21"/>
        </w:rPr>
        <w:t>（2）评审细则：</w:t>
      </w:r>
    </w:p>
    <w:p w14:paraId="2BEC45D6">
      <w:pPr>
        <w:widowControl/>
        <w:ind w:firstLine="480"/>
        <w:rPr>
          <w:rFonts w:ascii="宋体" w:hAnsi="宋体"/>
          <w:color w:val="auto"/>
          <w:sz w:val="24"/>
        </w:rPr>
      </w:pPr>
    </w:p>
    <w:tbl>
      <w:tblPr>
        <w:tblStyle w:val="45"/>
        <w:tblW w:w="975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57" w:type="dxa"/>
          <w:bottom w:w="0" w:type="dxa"/>
          <w:right w:w="57" w:type="dxa"/>
        </w:tblCellMar>
      </w:tblPr>
      <w:tblGrid>
        <w:gridCol w:w="826"/>
        <w:gridCol w:w="773"/>
        <w:gridCol w:w="1665"/>
        <w:gridCol w:w="4689"/>
        <w:gridCol w:w="1026"/>
        <w:gridCol w:w="773"/>
      </w:tblGrid>
      <w:tr w14:paraId="177A07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shd w:val="clear" w:color="auto" w:fill="D9D9D9"/>
            <w:vAlign w:val="center"/>
          </w:tcPr>
          <w:p w14:paraId="1C9475A9">
            <w:pPr>
              <w:widowControl w:val="0"/>
              <w:spacing w:line="360" w:lineRule="auto"/>
              <w:ind w:firstLine="0" w:firstLineChars="0"/>
              <w:jc w:val="center"/>
              <w:rPr>
                <w:rFonts w:ascii="仿宋_GB2312" w:hAnsi="宋体" w:eastAsia="仿宋_GB2312" w:cs="Times New Roman"/>
                <w:b/>
                <w:kern w:val="2"/>
                <w:sz w:val="24"/>
                <w:szCs w:val="24"/>
                <w:lang w:val="en-US" w:eastAsia="zh-CN" w:bidi="ar-SA"/>
              </w:rPr>
            </w:pPr>
            <w:r>
              <w:rPr>
                <w:rFonts w:hint="eastAsia" w:ascii="仿宋_GB2312" w:hAnsi="宋体" w:eastAsia="仿宋_GB2312" w:cs="Times New Roman"/>
                <w:b/>
                <w:kern w:val="2"/>
                <w:sz w:val="24"/>
                <w:szCs w:val="24"/>
                <w:lang w:val="en-US" w:eastAsia="zh-CN" w:bidi="ar-SA"/>
              </w:rPr>
              <w:t>编号</w:t>
            </w:r>
          </w:p>
        </w:tc>
        <w:tc>
          <w:tcPr>
            <w:tcW w:w="773" w:type="dxa"/>
            <w:shd w:val="clear" w:color="auto" w:fill="D9D9D9"/>
            <w:vAlign w:val="center"/>
          </w:tcPr>
          <w:p w14:paraId="3C039980">
            <w:pPr>
              <w:widowControl w:val="0"/>
              <w:spacing w:line="360" w:lineRule="auto"/>
              <w:ind w:firstLine="0" w:firstLineChars="0"/>
              <w:jc w:val="center"/>
              <w:rPr>
                <w:rFonts w:ascii="仿宋_GB2312" w:hAnsi="宋体" w:eastAsia="仿宋_GB2312" w:cs="Times New Roman"/>
                <w:b/>
                <w:kern w:val="2"/>
                <w:sz w:val="24"/>
                <w:szCs w:val="24"/>
                <w:lang w:val="en-US" w:eastAsia="zh-CN" w:bidi="ar-SA"/>
              </w:rPr>
            </w:pPr>
            <w:r>
              <w:rPr>
                <w:rFonts w:hint="eastAsia" w:ascii="仿宋_GB2312" w:hAnsi="宋体" w:eastAsia="仿宋_GB2312" w:cs="Times New Roman"/>
                <w:b/>
                <w:kern w:val="2"/>
                <w:sz w:val="24"/>
                <w:szCs w:val="24"/>
                <w:lang w:val="en-US" w:eastAsia="zh-CN" w:bidi="ar-SA"/>
              </w:rPr>
              <w:t>类型</w:t>
            </w:r>
          </w:p>
        </w:tc>
        <w:tc>
          <w:tcPr>
            <w:tcW w:w="1665" w:type="dxa"/>
            <w:shd w:val="clear" w:color="auto" w:fill="D9D9D9"/>
            <w:vAlign w:val="center"/>
          </w:tcPr>
          <w:p w14:paraId="4919CDD5">
            <w:pPr>
              <w:widowControl w:val="0"/>
              <w:spacing w:line="360" w:lineRule="auto"/>
              <w:ind w:firstLine="0" w:firstLineChars="0"/>
              <w:jc w:val="center"/>
              <w:rPr>
                <w:rFonts w:ascii="仿宋_GB2312" w:hAnsi="宋体" w:eastAsia="仿宋_GB2312" w:cs="Times New Roman"/>
                <w:b/>
                <w:kern w:val="2"/>
                <w:sz w:val="24"/>
                <w:szCs w:val="24"/>
                <w:lang w:val="en-US" w:eastAsia="zh-CN" w:bidi="ar-SA"/>
              </w:rPr>
            </w:pPr>
            <w:r>
              <w:rPr>
                <w:rFonts w:hint="eastAsia" w:ascii="仿宋_GB2312" w:hAnsi="宋体" w:eastAsia="仿宋_GB2312" w:cs="Times New Roman"/>
                <w:b/>
                <w:kern w:val="2"/>
                <w:sz w:val="24"/>
                <w:szCs w:val="24"/>
                <w:lang w:val="en-US" w:eastAsia="zh-CN" w:bidi="ar-SA"/>
              </w:rPr>
              <w:t>评分标题</w:t>
            </w:r>
          </w:p>
        </w:tc>
        <w:tc>
          <w:tcPr>
            <w:tcW w:w="4689" w:type="dxa"/>
            <w:shd w:val="clear" w:color="auto" w:fill="D9D9D9"/>
            <w:vAlign w:val="center"/>
          </w:tcPr>
          <w:p w14:paraId="1009432D">
            <w:pPr>
              <w:widowControl w:val="0"/>
              <w:spacing w:line="360" w:lineRule="auto"/>
              <w:ind w:firstLine="0" w:firstLineChars="0"/>
              <w:jc w:val="center"/>
              <w:rPr>
                <w:rFonts w:ascii="仿宋_GB2312" w:hAnsi="宋体" w:eastAsia="仿宋_GB2312" w:cs="Times New Roman"/>
                <w:b/>
                <w:kern w:val="2"/>
                <w:sz w:val="24"/>
                <w:szCs w:val="24"/>
                <w:lang w:val="en-US" w:eastAsia="zh-CN" w:bidi="ar-SA"/>
              </w:rPr>
            </w:pPr>
            <w:r>
              <w:rPr>
                <w:rFonts w:hint="eastAsia" w:ascii="仿宋_GB2312" w:hAnsi="宋体" w:eastAsia="仿宋_GB2312" w:cs="Times New Roman"/>
                <w:b/>
                <w:kern w:val="2"/>
                <w:sz w:val="24"/>
                <w:szCs w:val="24"/>
                <w:lang w:val="en-US" w:eastAsia="zh-CN" w:bidi="ar-SA"/>
              </w:rPr>
              <w:t>评分标准</w:t>
            </w:r>
          </w:p>
        </w:tc>
        <w:tc>
          <w:tcPr>
            <w:tcW w:w="1026" w:type="dxa"/>
            <w:shd w:val="clear" w:color="auto" w:fill="D9D9D9"/>
            <w:vAlign w:val="center"/>
          </w:tcPr>
          <w:p w14:paraId="732A2BBA">
            <w:pPr>
              <w:widowControl w:val="0"/>
              <w:spacing w:line="360" w:lineRule="auto"/>
              <w:ind w:firstLine="0" w:firstLineChars="0"/>
              <w:jc w:val="center"/>
              <w:rPr>
                <w:rFonts w:ascii="仿宋_GB2312" w:hAnsi="宋体" w:eastAsia="仿宋_GB2312" w:cs="Times New Roman"/>
                <w:b/>
                <w:kern w:val="2"/>
                <w:sz w:val="24"/>
                <w:szCs w:val="24"/>
                <w:lang w:val="en-US" w:eastAsia="zh-CN" w:bidi="ar-SA"/>
              </w:rPr>
            </w:pPr>
            <w:r>
              <w:rPr>
                <w:rFonts w:hint="eastAsia" w:ascii="仿宋_GB2312" w:hAnsi="宋体" w:eastAsia="仿宋_GB2312" w:cs="Times New Roman"/>
                <w:b/>
                <w:kern w:val="2"/>
                <w:sz w:val="24"/>
                <w:szCs w:val="24"/>
                <w:lang w:val="en-US" w:eastAsia="zh-CN" w:bidi="ar-SA"/>
              </w:rPr>
              <w:t>性质</w:t>
            </w:r>
          </w:p>
        </w:tc>
        <w:tc>
          <w:tcPr>
            <w:tcW w:w="773" w:type="dxa"/>
            <w:shd w:val="clear" w:color="auto" w:fill="D9D9D9"/>
            <w:vAlign w:val="center"/>
          </w:tcPr>
          <w:p w14:paraId="322CD1DE">
            <w:pPr>
              <w:widowControl w:val="0"/>
              <w:spacing w:line="360" w:lineRule="auto"/>
              <w:ind w:firstLine="0" w:firstLineChars="0"/>
              <w:jc w:val="center"/>
              <w:rPr>
                <w:rFonts w:ascii="仿宋_GB2312" w:hAnsi="宋体" w:eastAsia="仿宋_GB2312" w:cs="Times New Roman"/>
                <w:b/>
                <w:kern w:val="2"/>
                <w:sz w:val="24"/>
                <w:szCs w:val="24"/>
                <w:lang w:val="en-US" w:eastAsia="zh-CN" w:bidi="ar-SA"/>
              </w:rPr>
            </w:pPr>
            <w:r>
              <w:rPr>
                <w:rFonts w:hint="eastAsia" w:ascii="仿宋_GB2312" w:hAnsi="宋体" w:eastAsia="仿宋_GB2312" w:cs="Times New Roman"/>
                <w:b/>
                <w:kern w:val="2"/>
                <w:sz w:val="24"/>
                <w:szCs w:val="24"/>
                <w:lang w:val="en-US" w:eastAsia="zh-CN" w:bidi="ar-SA"/>
              </w:rPr>
              <w:t>分数</w:t>
            </w:r>
          </w:p>
        </w:tc>
      </w:tr>
      <w:tr w14:paraId="1AC786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5B9DE6A1">
            <w:pPr>
              <w:widowControl w:val="0"/>
              <w:spacing w:line="360" w:lineRule="auto"/>
              <w:ind w:firstLine="0" w:firstLineChars="0"/>
              <w:jc w:val="center"/>
              <w:rPr>
                <w:rFonts w:hint="default"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1.01</w:t>
            </w:r>
          </w:p>
        </w:tc>
        <w:tc>
          <w:tcPr>
            <w:tcW w:w="773" w:type="dxa"/>
            <w:vAlign w:val="center"/>
          </w:tcPr>
          <w:p w14:paraId="3CAAFF38">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价格</w:t>
            </w:r>
          </w:p>
        </w:tc>
        <w:tc>
          <w:tcPr>
            <w:tcW w:w="1665" w:type="dxa"/>
            <w:vAlign w:val="center"/>
          </w:tcPr>
          <w:p w14:paraId="718C6DC4">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报价</w:t>
            </w:r>
          </w:p>
        </w:tc>
        <w:tc>
          <w:tcPr>
            <w:tcW w:w="4689" w:type="dxa"/>
            <w:vAlign w:val="center"/>
          </w:tcPr>
          <w:p w14:paraId="40888569">
            <w:pPr>
              <w:widowControl w:val="0"/>
              <w:spacing w:line="360" w:lineRule="auto"/>
              <w:ind w:firstLine="0" w:firstLineChars="0"/>
              <w:jc w:val="both"/>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系统价格分为0分</w:t>
            </w:r>
          </w:p>
        </w:tc>
        <w:tc>
          <w:tcPr>
            <w:tcW w:w="1026" w:type="dxa"/>
            <w:vAlign w:val="center"/>
          </w:tcPr>
          <w:p w14:paraId="0C347554">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系统分</w:t>
            </w:r>
          </w:p>
        </w:tc>
        <w:tc>
          <w:tcPr>
            <w:tcW w:w="773" w:type="dxa"/>
            <w:vAlign w:val="center"/>
          </w:tcPr>
          <w:p w14:paraId="12E92CD4">
            <w:pPr>
              <w:widowControl w:val="0"/>
              <w:spacing w:line="360" w:lineRule="auto"/>
              <w:ind w:firstLine="0" w:firstLineChars="0"/>
              <w:jc w:val="center"/>
              <w:rPr>
                <w:rFonts w:hint="default"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0</w:t>
            </w:r>
          </w:p>
        </w:tc>
      </w:tr>
      <w:tr w14:paraId="52F34D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6E824C1E">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1.0</w:t>
            </w:r>
            <w:r>
              <w:rPr>
                <w:rFonts w:hint="eastAsia" w:ascii="仿宋_GB2312" w:hAnsi="宋体" w:eastAsia="仿宋_GB2312" w:cs="Times New Roman"/>
                <w:kern w:val="2"/>
                <w:sz w:val="24"/>
                <w:szCs w:val="24"/>
                <w:lang w:val="en-US" w:eastAsia="zh-CN" w:bidi="ar-SA"/>
              </w:rPr>
              <w:t>2</w:t>
            </w:r>
          </w:p>
        </w:tc>
        <w:tc>
          <w:tcPr>
            <w:tcW w:w="773" w:type="dxa"/>
            <w:vAlign w:val="center"/>
          </w:tcPr>
          <w:p w14:paraId="46CC2123">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商务</w:t>
            </w:r>
          </w:p>
        </w:tc>
        <w:tc>
          <w:tcPr>
            <w:tcW w:w="1665" w:type="dxa"/>
            <w:vAlign w:val="center"/>
          </w:tcPr>
          <w:p w14:paraId="749B3F59">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报价</w:t>
            </w:r>
          </w:p>
        </w:tc>
        <w:tc>
          <w:tcPr>
            <w:tcW w:w="4689" w:type="dxa"/>
            <w:vAlign w:val="center"/>
          </w:tcPr>
          <w:p w14:paraId="502794C7">
            <w:pPr>
              <w:widowControl w:val="0"/>
              <w:spacing w:line="360" w:lineRule="auto"/>
              <w:ind w:firstLine="0" w:firstLineChars="0"/>
              <w:jc w:val="both"/>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报价供应商投标报价等于投标报价评标基准价的，得满分40分。投标报价每高于评标基准价1％扣0.1分，每低于1％扣0.1分，最低计至0分，偏离不足1%的，按照插入法计算得分，得分精确到小数点后2位。</w:t>
            </w:r>
          </w:p>
          <w:p w14:paraId="69EBA813">
            <w:pPr>
              <w:widowControl w:val="0"/>
              <w:spacing w:line="360" w:lineRule="auto"/>
              <w:ind w:firstLine="0" w:firstLineChars="0"/>
              <w:jc w:val="both"/>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评标基准价确定方法：</w:t>
            </w:r>
          </w:p>
          <w:p w14:paraId="1A468E08">
            <w:pPr>
              <w:widowControl w:val="0"/>
              <w:spacing w:line="360" w:lineRule="auto"/>
              <w:ind w:firstLine="0" w:firstLineChars="0"/>
              <w:jc w:val="both"/>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当有效报价单位家数＞8家</w:t>
            </w:r>
          </w:p>
          <w:p w14:paraId="1C8DE3FE">
            <w:pPr>
              <w:widowControl w:val="0"/>
              <w:spacing w:line="360" w:lineRule="auto"/>
              <w:ind w:firstLine="0" w:firstLineChars="0"/>
              <w:jc w:val="both"/>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评标基准价=（所有报价单位的有效报价之和-有效报价的最高值及次高值-有效报价的最低值）的算术平均值；</w:t>
            </w:r>
          </w:p>
          <w:p w14:paraId="4BA145BB">
            <w:pPr>
              <w:widowControl w:val="0"/>
              <w:spacing w:line="360" w:lineRule="auto"/>
              <w:ind w:firstLine="0" w:firstLineChars="0"/>
              <w:jc w:val="both"/>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当5家≤有效报价单位家数≤8家</w:t>
            </w:r>
          </w:p>
          <w:p w14:paraId="189C2755">
            <w:pPr>
              <w:widowControl w:val="0"/>
              <w:spacing w:line="360" w:lineRule="auto"/>
              <w:ind w:firstLine="0" w:firstLineChars="0"/>
              <w:jc w:val="both"/>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评标基准价=（所有报价单位的有效报价之和-有效报价的最高值-有效报价的最低值）的算术平均值；</w:t>
            </w:r>
          </w:p>
          <w:p w14:paraId="7F2D5726">
            <w:pPr>
              <w:widowControl w:val="0"/>
              <w:spacing w:line="360" w:lineRule="auto"/>
              <w:ind w:firstLine="0" w:firstLineChars="0"/>
              <w:jc w:val="both"/>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当有效报价单位家数＜5家</w:t>
            </w:r>
          </w:p>
          <w:p w14:paraId="596C7B03">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评标基准价=所有报价单位的有效报价的算术平均值。</w:t>
            </w:r>
          </w:p>
        </w:tc>
        <w:tc>
          <w:tcPr>
            <w:tcW w:w="1026" w:type="dxa"/>
            <w:vAlign w:val="center"/>
          </w:tcPr>
          <w:p w14:paraId="5995A18F">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系统分</w:t>
            </w:r>
          </w:p>
        </w:tc>
        <w:tc>
          <w:tcPr>
            <w:tcW w:w="773" w:type="dxa"/>
            <w:vAlign w:val="center"/>
          </w:tcPr>
          <w:p w14:paraId="0957193E">
            <w:pPr>
              <w:widowControl w:val="0"/>
              <w:spacing w:line="360" w:lineRule="auto"/>
              <w:ind w:firstLine="0" w:firstLineChars="0"/>
              <w:jc w:val="center"/>
              <w:rPr>
                <w:rFonts w:hint="default"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40</w:t>
            </w:r>
          </w:p>
        </w:tc>
      </w:tr>
      <w:tr w14:paraId="5D0A4F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1555" w:hRule="atLeast"/>
          <w:jc w:val="center"/>
        </w:trPr>
        <w:tc>
          <w:tcPr>
            <w:tcW w:w="826" w:type="dxa"/>
            <w:vAlign w:val="center"/>
          </w:tcPr>
          <w:p w14:paraId="526E967C">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1.0</w:t>
            </w:r>
            <w:r>
              <w:rPr>
                <w:rFonts w:hint="eastAsia" w:ascii="仿宋_GB2312" w:hAnsi="宋体" w:eastAsia="仿宋_GB2312" w:cs="Times New Roman"/>
                <w:kern w:val="2"/>
                <w:sz w:val="24"/>
                <w:szCs w:val="24"/>
                <w:lang w:val="en-US" w:eastAsia="zh-CN" w:bidi="ar-SA"/>
              </w:rPr>
              <w:t>3</w:t>
            </w:r>
          </w:p>
        </w:tc>
        <w:tc>
          <w:tcPr>
            <w:tcW w:w="773" w:type="dxa"/>
            <w:vAlign w:val="center"/>
          </w:tcPr>
          <w:p w14:paraId="6C2D5F2F">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商务</w:t>
            </w:r>
          </w:p>
        </w:tc>
        <w:tc>
          <w:tcPr>
            <w:tcW w:w="1665" w:type="dxa"/>
            <w:vAlign w:val="center"/>
          </w:tcPr>
          <w:p w14:paraId="57E96684">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业绩</w:t>
            </w:r>
          </w:p>
        </w:tc>
        <w:tc>
          <w:tcPr>
            <w:tcW w:w="4689" w:type="dxa"/>
            <w:vAlign w:val="center"/>
          </w:tcPr>
          <w:p w14:paraId="7F921127">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近五年（指从开标日向前推算，精确到日，以此类推，以合同签订时间为准），报价供应商承揽的类似项目业绩）；每有一个得1分，最高得5分。</w:t>
            </w:r>
          </w:p>
          <w:p w14:paraId="6D7F045A">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【投标文件附合同扫描件，否则不得分。】</w:t>
            </w:r>
          </w:p>
        </w:tc>
        <w:tc>
          <w:tcPr>
            <w:tcW w:w="1026" w:type="dxa"/>
            <w:vAlign w:val="center"/>
          </w:tcPr>
          <w:p w14:paraId="6F5614A2">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客观分</w:t>
            </w:r>
          </w:p>
        </w:tc>
        <w:tc>
          <w:tcPr>
            <w:tcW w:w="773" w:type="dxa"/>
            <w:vAlign w:val="center"/>
          </w:tcPr>
          <w:p w14:paraId="3C03F322">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5CD6AF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23094DE1">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1.0</w:t>
            </w:r>
            <w:r>
              <w:rPr>
                <w:rFonts w:hint="eastAsia" w:ascii="仿宋_GB2312" w:hAnsi="宋体" w:eastAsia="仿宋_GB2312" w:cs="Times New Roman"/>
                <w:kern w:val="2"/>
                <w:sz w:val="24"/>
                <w:szCs w:val="24"/>
                <w:lang w:val="en-US" w:eastAsia="zh-CN" w:bidi="ar-SA"/>
              </w:rPr>
              <w:t>4</w:t>
            </w:r>
          </w:p>
        </w:tc>
        <w:tc>
          <w:tcPr>
            <w:tcW w:w="773" w:type="dxa"/>
            <w:vAlign w:val="center"/>
          </w:tcPr>
          <w:p w14:paraId="7B3C17C0">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商务</w:t>
            </w:r>
          </w:p>
        </w:tc>
        <w:tc>
          <w:tcPr>
            <w:tcW w:w="1665" w:type="dxa"/>
            <w:vAlign w:val="center"/>
          </w:tcPr>
          <w:p w14:paraId="36C48E57">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项目管理机构</w:t>
            </w:r>
          </w:p>
        </w:tc>
        <w:tc>
          <w:tcPr>
            <w:tcW w:w="4689" w:type="dxa"/>
            <w:vAlign w:val="center"/>
          </w:tcPr>
          <w:p w14:paraId="4FE51F30">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项目经理配备必须符合注册建造师项目规模标准和专业要求；技术负责人必须持相关工程系列中级以上职称或建设类注册证书；其他关键岗位管理人员（包括施工员、质检员、材料员、专职安全员、资料员）配备齐全，分工明确，得5</w:t>
            </w:r>
            <w:r>
              <w:rPr>
                <w:rFonts w:ascii="仿宋_GB2312" w:hAnsi="宋体" w:eastAsia="仿宋_GB2312" w:cs="Times New Roman"/>
                <w:kern w:val="2"/>
                <w:sz w:val="24"/>
                <w:szCs w:val="24"/>
                <w:lang w:val="en-US" w:eastAsia="zh-CN" w:bidi="ar-SA"/>
              </w:rPr>
              <w:t>分。响应文件中需附上述人员近三个月的社保证明扫描件及项目经理、技术负责人和专职安全员证书扫描件，否则不得分。</w:t>
            </w:r>
          </w:p>
        </w:tc>
        <w:tc>
          <w:tcPr>
            <w:tcW w:w="1026" w:type="dxa"/>
            <w:vAlign w:val="center"/>
          </w:tcPr>
          <w:p w14:paraId="122A527C">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客观分</w:t>
            </w:r>
          </w:p>
        </w:tc>
        <w:tc>
          <w:tcPr>
            <w:tcW w:w="773" w:type="dxa"/>
            <w:vAlign w:val="center"/>
          </w:tcPr>
          <w:p w14:paraId="4841150B">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4B1AA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4D167104">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1.0</w:t>
            </w:r>
            <w:r>
              <w:rPr>
                <w:rFonts w:hint="eastAsia" w:ascii="仿宋_GB2312" w:hAnsi="宋体" w:eastAsia="仿宋_GB2312" w:cs="Times New Roman"/>
                <w:kern w:val="2"/>
                <w:sz w:val="24"/>
                <w:szCs w:val="24"/>
                <w:lang w:val="en-US" w:eastAsia="zh-CN" w:bidi="ar-SA"/>
              </w:rPr>
              <w:t>5</w:t>
            </w:r>
          </w:p>
        </w:tc>
        <w:tc>
          <w:tcPr>
            <w:tcW w:w="773" w:type="dxa"/>
            <w:vAlign w:val="center"/>
          </w:tcPr>
          <w:p w14:paraId="48B1556A">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技术</w:t>
            </w:r>
          </w:p>
        </w:tc>
        <w:tc>
          <w:tcPr>
            <w:tcW w:w="1665" w:type="dxa"/>
            <w:vAlign w:val="center"/>
          </w:tcPr>
          <w:p w14:paraId="33486932">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施工总平面图布置设计合理</w:t>
            </w:r>
          </w:p>
        </w:tc>
        <w:tc>
          <w:tcPr>
            <w:tcW w:w="4689" w:type="dxa"/>
            <w:vAlign w:val="center"/>
          </w:tcPr>
          <w:p w14:paraId="3E713072">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对工程整体有深刻认识，表述清晰完整，施工段划分、临时设施、临时道路、施工总平面图布置设计合理。</w:t>
            </w:r>
          </w:p>
          <w:p w14:paraId="17FF0493">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评委根据投标人本项编制情况以0.1分为单位在0-5分之间进行打分。</w:t>
            </w:r>
          </w:p>
        </w:tc>
        <w:tc>
          <w:tcPr>
            <w:tcW w:w="1026" w:type="dxa"/>
            <w:vAlign w:val="center"/>
          </w:tcPr>
          <w:p w14:paraId="435AF67C">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主观分</w:t>
            </w:r>
          </w:p>
        </w:tc>
        <w:tc>
          <w:tcPr>
            <w:tcW w:w="773" w:type="dxa"/>
            <w:vAlign w:val="center"/>
          </w:tcPr>
          <w:p w14:paraId="3005B342">
            <w:pPr>
              <w:widowControl w:val="0"/>
              <w:spacing w:line="360" w:lineRule="auto"/>
              <w:ind w:firstLine="0" w:firstLineChars="0"/>
              <w:jc w:val="center"/>
              <w:rPr>
                <w:rFonts w:hint="default"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110CE0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583E4FB3">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1.0</w:t>
            </w:r>
            <w:r>
              <w:rPr>
                <w:rFonts w:hint="eastAsia" w:ascii="仿宋_GB2312" w:hAnsi="宋体" w:eastAsia="仿宋_GB2312" w:cs="Times New Roman"/>
                <w:kern w:val="2"/>
                <w:sz w:val="24"/>
                <w:szCs w:val="24"/>
                <w:lang w:val="en-US" w:eastAsia="zh-CN" w:bidi="ar-SA"/>
              </w:rPr>
              <w:t>6</w:t>
            </w:r>
          </w:p>
        </w:tc>
        <w:tc>
          <w:tcPr>
            <w:tcW w:w="773" w:type="dxa"/>
            <w:vAlign w:val="center"/>
          </w:tcPr>
          <w:p w14:paraId="7601200E">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技术</w:t>
            </w:r>
          </w:p>
        </w:tc>
        <w:tc>
          <w:tcPr>
            <w:tcW w:w="1665" w:type="dxa"/>
            <w:vAlign w:val="center"/>
          </w:tcPr>
          <w:p w14:paraId="6B585612">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施工方案和技术措施合理，对关键工序有针对性等</w:t>
            </w:r>
          </w:p>
        </w:tc>
        <w:tc>
          <w:tcPr>
            <w:tcW w:w="4689" w:type="dxa"/>
            <w:vAlign w:val="center"/>
          </w:tcPr>
          <w:p w14:paraId="44E671DE">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施工方案和技术措施合理，对关键工序和关键部位施工具有针对性，措施得力、经济、安全、可行。</w:t>
            </w:r>
          </w:p>
          <w:p w14:paraId="1BDD0D65">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评委根据投标人本项编制情况以0.1分为单位在0-5分之间进行打分。</w:t>
            </w:r>
          </w:p>
        </w:tc>
        <w:tc>
          <w:tcPr>
            <w:tcW w:w="1026" w:type="dxa"/>
            <w:vAlign w:val="center"/>
          </w:tcPr>
          <w:p w14:paraId="358C7ACA">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主观分</w:t>
            </w:r>
          </w:p>
        </w:tc>
        <w:tc>
          <w:tcPr>
            <w:tcW w:w="773" w:type="dxa"/>
            <w:vAlign w:val="center"/>
          </w:tcPr>
          <w:p w14:paraId="58BA7BA2">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59C34C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50153113">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1.0</w:t>
            </w:r>
            <w:r>
              <w:rPr>
                <w:rFonts w:hint="eastAsia" w:ascii="仿宋_GB2312" w:hAnsi="宋体" w:eastAsia="仿宋_GB2312" w:cs="Times New Roman"/>
                <w:kern w:val="2"/>
                <w:sz w:val="24"/>
                <w:szCs w:val="24"/>
                <w:lang w:val="en-US" w:eastAsia="zh-CN" w:bidi="ar-SA"/>
              </w:rPr>
              <w:t>7</w:t>
            </w:r>
          </w:p>
        </w:tc>
        <w:tc>
          <w:tcPr>
            <w:tcW w:w="773" w:type="dxa"/>
            <w:vAlign w:val="center"/>
          </w:tcPr>
          <w:p w14:paraId="73029615">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技术</w:t>
            </w:r>
          </w:p>
        </w:tc>
        <w:tc>
          <w:tcPr>
            <w:tcW w:w="1665" w:type="dxa"/>
            <w:vAlign w:val="center"/>
          </w:tcPr>
          <w:p w14:paraId="0FFCC3D4">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针对本工程的通病治理措施</w:t>
            </w:r>
          </w:p>
        </w:tc>
        <w:tc>
          <w:tcPr>
            <w:tcW w:w="4689" w:type="dxa"/>
            <w:vAlign w:val="center"/>
          </w:tcPr>
          <w:p w14:paraId="46E15F1F">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有完整的质量保证措施，先进可行，有针对本工程的通病治理措施。</w:t>
            </w:r>
          </w:p>
          <w:p w14:paraId="4921B72A">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评委根据投标人本项编制情况以0.1分为单位在0-5分之间进行打分。</w:t>
            </w:r>
          </w:p>
        </w:tc>
        <w:tc>
          <w:tcPr>
            <w:tcW w:w="1026" w:type="dxa"/>
            <w:vAlign w:val="center"/>
          </w:tcPr>
          <w:p w14:paraId="0CF16175">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主观分</w:t>
            </w:r>
          </w:p>
        </w:tc>
        <w:tc>
          <w:tcPr>
            <w:tcW w:w="773" w:type="dxa"/>
            <w:vAlign w:val="center"/>
          </w:tcPr>
          <w:p w14:paraId="32BDBF34">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3B5B5C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34953B40">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1.0</w:t>
            </w:r>
            <w:r>
              <w:rPr>
                <w:rFonts w:hint="eastAsia" w:ascii="仿宋_GB2312" w:hAnsi="宋体" w:eastAsia="仿宋_GB2312" w:cs="Times New Roman"/>
                <w:kern w:val="2"/>
                <w:sz w:val="24"/>
                <w:szCs w:val="24"/>
                <w:lang w:val="en-US" w:eastAsia="zh-CN" w:bidi="ar-SA"/>
              </w:rPr>
              <w:t>8</w:t>
            </w:r>
          </w:p>
        </w:tc>
        <w:tc>
          <w:tcPr>
            <w:tcW w:w="773" w:type="dxa"/>
            <w:vAlign w:val="center"/>
          </w:tcPr>
          <w:p w14:paraId="53D874B1">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技术</w:t>
            </w:r>
          </w:p>
        </w:tc>
        <w:tc>
          <w:tcPr>
            <w:tcW w:w="1665" w:type="dxa"/>
            <w:vAlign w:val="center"/>
          </w:tcPr>
          <w:p w14:paraId="276EC61B">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安全文明措施和应急救援预案</w:t>
            </w:r>
          </w:p>
        </w:tc>
        <w:tc>
          <w:tcPr>
            <w:tcW w:w="4689" w:type="dxa"/>
            <w:vAlign w:val="center"/>
          </w:tcPr>
          <w:p w14:paraId="673EDE77">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针对项目实际情况有完整的安全文明措施和应急救援预案，且措施齐全，预案可行。</w:t>
            </w:r>
          </w:p>
          <w:p w14:paraId="313CA9AA">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评委根据投标人本项编制情况以0.1分为单位在0-5分之间进行打分。</w:t>
            </w:r>
          </w:p>
        </w:tc>
        <w:tc>
          <w:tcPr>
            <w:tcW w:w="1026" w:type="dxa"/>
            <w:vAlign w:val="center"/>
          </w:tcPr>
          <w:p w14:paraId="672FE160">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主观分</w:t>
            </w:r>
          </w:p>
        </w:tc>
        <w:tc>
          <w:tcPr>
            <w:tcW w:w="773" w:type="dxa"/>
            <w:vAlign w:val="center"/>
          </w:tcPr>
          <w:p w14:paraId="65D43C65">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3EC4E2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7876A7BA">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1.0</w:t>
            </w:r>
            <w:r>
              <w:rPr>
                <w:rFonts w:hint="eastAsia" w:ascii="仿宋_GB2312" w:hAnsi="宋体" w:eastAsia="仿宋_GB2312" w:cs="Times New Roman"/>
                <w:kern w:val="2"/>
                <w:sz w:val="24"/>
                <w:szCs w:val="24"/>
                <w:lang w:val="en-US" w:eastAsia="zh-CN" w:bidi="ar-SA"/>
              </w:rPr>
              <w:t>9</w:t>
            </w:r>
          </w:p>
        </w:tc>
        <w:tc>
          <w:tcPr>
            <w:tcW w:w="773" w:type="dxa"/>
            <w:vAlign w:val="center"/>
          </w:tcPr>
          <w:p w14:paraId="13B04DC1">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技术</w:t>
            </w:r>
          </w:p>
        </w:tc>
        <w:tc>
          <w:tcPr>
            <w:tcW w:w="1665" w:type="dxa"/>
            <w:vAlign w:val="center"/>
          </w:tcPr>
          <w:p w14:paraId="4DB70D63">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环境、地下管网、地上设施保护，冬季、雨季施工方案</w:t>
            </w:r>
          </w:p>
        </w:tc>
        <w:tc>
          <w:tcPr>
            <w:tcW w:w="4689" w:type="dxa"/>
            <w:vAlign w:val="center"/>
          </w:tcPr>
          <w:p w14:paraId="602E24F4">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环境保护措施安全得力，减少噪音、降低环境污染、扬尘治理措施、地下管线及其他地上地下设施的保护加固措施等，冬季、雨季施工方案。</w:t>
            </w:r>
          </w:p>
          <w:p w14:paraId="43C12D02">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评委根据投标人本项编制情况以0.1分为单位在0-5分之间进行打分。</w:t>
            </w:r>
          </w:p>
        </w:tc>
        <w:tc>
          <w:tcPr>
            <w:tcW w:w="1026" w:type="dxa"/>
            <w:vAlign w:val="center"/>
          </w:tcPr>
          <w:p w14:paraId="7D90E2B8">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主观分</w:t>
            </w:r>
          </w:p>
        </w:tc>
        <w:tc>
          <w:tcPr>
            <w:tcW w:w="773" w:type="dxa"/>
            <w:vAlign w:val="center"/>
          </w:tcPr>
          <w:p w14:paraId="7443A8F3">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1C1995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7A95B468">
            <w:pPr>
              <w:widowControl w:val="0"/>
              <w:spacing w:line="360" w:lineRule="auto"/>
              <w:ind w:firstLine="0" w:firstLineChars="0"/>
              <w:jc w:val="center"/>
              <w:rPr>
                <w:rFonts w:hint="default"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1.10</w:t>
            </w:r>
          </w:p>
        </w:tc>
        <w:tc>
          <w:tcPr>
            <w:tcW w:w="773" w:type="dxa"/>
            <w:vAlign w:val="center"/>
          </w:tcPr>
          <w:p w14:paraId="5CB6BFA7">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技术</w:t>
            </w:r>
          </w:p>
        </w:tc>
        <w:tc>
          <w:tcPr>
            <w:tcW w:w="1665" w:type="dxa"/>
            <w:vAlign w:val="center"/>
          </w:tcPr>
          <w:p w14:paraId="3F96B4BB">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绿色建筑、新技术、新产品、新工艺、新材料应用</w:t>
            </w:r>
          </w:p>
        </w:tc>
        <w:tc>
          <w:tcPr>
            <w:tcW w:w="4689" w:type="dxa"/>
            <w:vAlign w:val="center"/>
          </w:tcPr>
          <w:p w14:paraId="6AC176B3">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绿色建筑、新技术、新产品、新工艺、新材料应用。</w:t>
            </w:r>
          </w:p>
          <w:p w14:paraId="3DB67772">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评委根据投标人本项编制情况以0.1分为单位在0-5分之间进行打分。</w:t>
            </w:r>
          </w:p>
        </w:tc>
        <w:tc>
          <w:tcPr>
            <w:tcW w:w="1026" w:type="dxa"/>
            <w:vAlign w:val="center"/>
          </w:tcPr>
          <w:p w14:paraId="1BFAC232">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主观分</w:t>
            </w:r>
          </w:p>
        </w:tc>
        <w:tc>
          <w:tcPr>
            <w:tcW w:w="773" w:type="dxa"/>
            <w:vAlign w:val="center"/>
          </w:tcPr>
          <w:p w14:paraId="4BA1B143">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7C0CC4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2B201BA3">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1.1</w:t>
            </w:r>
            <w:r>
              <w:rPr>
                <w:rFonts w:hint="eastAsia" w:ascii="仿宋_GB2312" w:hAnsi="宋体" w:eastAsia="仿宋_GB2312" w:cs="Times New Roman"/>
                <w:kern w:val="2"/>
                <w:sz w:val="24"/>
                <w:szCs w:val="24"/>
                <w:lang w:val="en-US" w:eastAsia="zh-CN" w:bidi="ar-SA"/>
              </w:rPr>
              <w:t>1</w:t>
            </w:r>
          </w:p>
        </w:tc>
        <w:tc>
          <w:tcPr>
            <w:tcW w:w="773" w:type="dxa"/>
            <w:vAlign w:val="center"/>
          </w:tcPr>
          <w:p w14:paraId="35709014">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技术</w:t>
            </w:r>
          </w:p>
        </w:tc>
        <w:tc>
          <w:tcPr>
            <w:tcW w:w="1665" w:type="dxa"/>
            <w:vAlign w:val="center"/>
          </w:tcPr>
          <w:p w14:paraId="5319470F">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施工进度计划和进度措施</w:t>
            </w:r>
          </w:p>
        </w:tc>
        <w:tc>
          <w:tcPr>
            <w:tcW w:w="4689" w:type="dxa"/>
            <w:vAlign w:val="center"/>
          </w:tcPr>
          <w:p w14:paraId="1E740CF8">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施工进度计划和进度措施（包括以横道图或标明关键线路的网络进度计划、保障进度计划需要的主要施工机械设备、劳动力需求计划及保证措施、材料设备进场计划及其他保证措施等）。</w:t>
            </w:r>
          </w:p>
          <w:p w14:paraId="1417E6F8">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评委根据投标人本项编制情况以0.1分为单位在0-5分之间进行打分。</w:t>
            </w:r>
          </w:p>
        </w:tc>
        <w:tc>
          <w:tcPr>
            <w:tcW w:w="1026" w:type="dxa"/>
            <w:vAlign w:val="center"/>
          </w:tcPr>
          <w:p w14:paraId="0FD9CBE6">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主观分</w:t>
            </w:r>
          </w:p>
        </w:tc>
        <w:tc>
          <w:tcPr>
            <w:tcW w:w="773" w:type="dxa"/>
            <w:vAlign w:val="center"/>
          </w:tcPr>
          <w:p w14:paraId="57B48C72">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773039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151D7400">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1.1</w:t>
            </w:r>
            <w:r>
              <w:rPr>
                <w:rFonts w:hint="eastAsia" w:ascii="仿宋_GB2312" w:hAnsi="宋体" w:eastAsia="仿宋_GB2312" w:cs="Times New Roman"/>
                <w:kern w:val="2"/>
                <w:sz w:val="24"/>
                <w:szCs w:val="24"/>
                <w:lang w:val="en-US" w:eastAsia="zh-CN" w:bidi="ar-SA"/>
              </w:rPr>
              <w:t>2</w:t>
            </w:r>
          </w:p>
        </w:tc>
        <w:tc>
          <w:tcPr>
            <w:tcW w:w="773" w:type="dxa"/>
            <w:vAlign w:val="center"/>
          </w:tcPr>
          <w:p w14:paraId="6779617C">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技术</w:t>
            </w:r>
          </w:p>
        </w:tc>
        <w:tc>
          <w:tcPr>
            <w:tcW w:w="1665" w:type="dxa"/>
            <w:vAlign w:val="center"/>
          </w:tcPr>
          <w:p w14:paraId="78CEE7D8">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资源配备计划</w:t>
            </w:r>
          </w:p>
        </w:tc>
        <w:tc>
          <w:tcPr>
            <w:tcW w:w="4689" w:type="dxa"/>
            <w:vAlign w:val="center"/>
          </w:tcPr>
          <w:p w14:paraId="2E9B8A04">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资源配备计划。投入的劳动力、机械设备等计划合理，与进度计划呼应，满足施工需求。</w:t>
            </w:r>
          </w:p>
          <w:p w14:paraId="5CD2014E">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评委根据投标人本项编制情况以</w:t>
            </w:r>
            <w:r>
              <w:rPr>
                <w:rFonts w:ascii="仿宋_GB2312" w:hAnsi="宋体" w:eastAsia="仿宋_GB2312" w:cs="Times New Roman"/>
                <w:kern w:val="2"/>
                <w:sz w:val="24"/>
                <w:szCs w:val="24"/>
                <w:lang w:val="en-US" w:eastAsia="zh-CN" w:bidi="ar-SA"/>
              </w:rPr>
              <w:t>0.1分为单位在</w:t>
            </w:r>
            <w:r>
              <w:rPr>
                <w:rFonts w:hint="eastAsia" w:ascii="仿宋_GB2312" w:hAnsi="宋体" w:eastAsia="仿宋_GB2312" w:cs="Times New Roman"/>
                <w:kern w:val="2"/>
                <w:sz w:val="24"/>
                <w:szCs w:val="24"/>
                <w:lang w:val="en-US" w:eastAsia="zh-CN" w:bidi="ar-SA"/>
              </w:rPr>
              <w:t>0-5分</w:t>
            </w:r>
            <w:r>
              <w:rPr>
                <w:rFonts w:ascii="仿宋_GB2312" w:hAnsi="宋体" w:eastAsia="仿宋_GB2312" w:cs="Times New Roman"/>
                <w:kern w:val="2"/>
                <w:sz w:val="24"/>
                <w:szCs w:val="24"/>
                <w:lang w:val="en-US" w:eastAsia="zh-CN" w:bidi="ar-SA"/>
              </w:rPr>
              <w:t>之间进行打分。</w:t>
            </w:r>
          </w:p>
        </w:tc>
        <w:tc>
          <w:tcPr>
            <w:tcW w:w="1026" w:type="dxa"/>
            <w:vAlign w:val="center"/>
          </w:tcPr>
          <w:p w14:paraId="40409531">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主观分</w:t>
            </w:r>
          </w:p>
        </w:tc>
        <w:tc>
          <w:tcPr>
            <w:tcW w:w="773" w:type="dxa"/>
            <w:vAlign w:val="center"/>
          </w:tcPr>
          <w:p w14:paraId="31F196E1">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64DE38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632E31D5">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1.1</w:t>
            </w:r>
            <w:r>
              <w:rPr>
                <w:rFonts w:hint="eastAsia" w:ascii="仿宋_GB2312" w:hAnsi="宋体" w:eastAsia="仿宋_GB2312" w:cs="Times New Roman"/>
                <w:kern w:val="2"/>
                <w:sz w:val="24"/>
                <w:szCs w:val="24"/>
                <w:lang w:val="en-US" w:eastAsia="zh-CN" w:bidi="ar-SA"/>
              </w:rPr>
              <w:t>3</w:t>
            </w:r>
          </w:p>
        </w:tc>
        <w:tc>
          <w:tcPr>
            <w:tcW w:w="773" w:type="dxa"/>
            <w:vAlign w:val="center"/>
          </w:tcPr>
          <w:p w14:paraId="187C2271">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技术</w:t>
            </w:r>
          </w:p>
        </w:tc>
        <w:tc>
          <w:tcPr>
            <w:tcW w:w="1665" w:type="dxa"/>
            <w:vAlign w:val="center"/>
          </w:tcPr>
          <w:p w14:paraId="2932EFD1">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项目管理机构人员配备齐全合理</w:t>
            </w:r>
          </w:p>
        </w:tc>
        <w:tc>
          <w:tcPr>
            <w:tcW w:w="4689" w:type="dxa"/>
            <w:vAlign w:val="center"/>
          </w:tcPr>
          <w:p w14:paraId="39B0149A">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项目管理机构人员配备齐全合理。</w:t>
            </w:r>
          </w:p>
          <w:p w14:paraId="3C279D0E">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评委根据投标人本项编制情况以0.1分为单位在0-5分之间进行打分。</w:t>
            </w:r>
          </w:p>
        </w:tc>
        <w:tc>
          <w:tcPr>
            <w:tcW w:w="1026" w:type="dxa"/>
            <w:vAlign w:val="center"/>
          </w:tcPr>
          <w:p w14:paraId="7B21E6C1">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主观分</w:t>
            </w:r>
          </w:p>
        </w:tc>
        <w:tc>
          <w:tcPr>
            <w:tcW w:w="773" w:type="dxa"/>
            <w:vAlign w:val="center"/>
          </w:tcPr>
          <w:p w14:paraId="3DC02CEE">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r w14:paraId="5F7F50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4848F511">
            <w:pPr>
              <w:widowControl w:val="0"/>
              <w:spacing w:line="360" w:lineRule="auto"/>
              <w:ind w:firstLine="0" w:firstLineChars="0"/>
              <w:jc w:val="center"/>
              <w:rPr>
                <w:rFonts w:hint="eastAsia" w:ascii="仿宋_GB2312" w:hAnsi="宋体" w:eastAsia="仿宋_GB2312" w:cs="Times New Roman"/>
                <w:kern w:val="2"/>
                <w:sz w:val="24"/>
                <w:szCs w:val="24"/>
                <w:lang w:val="en-US" w:eastAsia="zh-CN" w:bidi="ar-SA"/>
              </w:rPr>
            </w:pPr>
            <w:r>
              <w:rPr>
                <w:rFonts w:ascii="仿宋_GB2312" w:hAnsi="宋体" w:eastAsia="仿宋_GB2312" w:cs="Times New Roman"/>
                <w:kern w:val="2"/>
                <w:sz w:val="24"/>
                <w:szCs w:val="24"/>
                <w:lang w:val="en-US" w:eastAsia="zh-CN" w:bidi="ar-SA"/>
              </w:rPr>
              <w:t>1.1</w:t>
            </w:r>
            <w:r>
              <w:rPr>
                <w:rFonts w:hint="eastAsia" w:ascii="仿宋_GB2312" w:hAnsi="宋体" w:eastAsia="仿宋_GB2312" w:cs="Times New Roman"/>
                <w:kern w:val="2"/>
                <w:sz w:val="24"/>
                <w:szCs w:val="24"/>
                <w:lang w:val="en-US" w:eastAsia="zh-CN" w:bidi="ar-SA"/>
              </w:rPr>
              <w:t>4</w:t>
            </w:r>
          </w:p>
        </w:tc>
        <w:tc>
          <w:tcPr>
            <w:tcW w:w="773" w:type="dxa"/>
            <w:vAlign w:val="center"/>
          </w:tcPr>
          <w:p w14:paraId="3404A53F">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技术</w:t>
            </w:r>
          </w:p>
        </w:tc>
        <w:tc>
          <w:tcPr>
            <w:tcW w:w="1665" w:type="dxa"/>
            <w:vAlign w:val="center"/>
          </w:tcPr>
          <w:p w14:paraId="472B1572">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成品保护、工程保修制度</w:t>
            </w:r>
          </w:p>
        </w:tc>
        <w:tc>
          <w:tcPr>
            <w:tcW w:w="4689" w:type="dxa"/>
            <w:vAlign w:val="center"/>
          </w:tcPr>
          <w:p w14:paraId="621BA328">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成品保护、保修方案与工程保险制度措施、总承包单位与监理、设计的配合等。</w:t>
            </w:r>
          </w:p>
          <w:p w14:paraId="4658C3DC">
            <w:pPr>
              <w:widowControl w:val="0"/>
              <w:spacing w:line="360" w:lineRule="auto"/>
              <w:ind w:firstLine="0" w:firstLineChars="0"/>
              <w:jc w:val="both"/>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评委根据投标人本项编制情况以0.1分为单位在0-5分之间进行打分。</w:t>
            </w:r>
          </w:p>
        </w:tc>
        <w:tc>
          <w:tcPr>
            <w:tcW w:w="1026" w:type="dxa"/>
            <w:vAlign w:val="center"/>
          </w:tcPr>
          <w:p w14:paraId="76589599">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主观分</w:t>
            </w:r>
          </w:p>
        </w:tc>
        <w:tc>
          <w:tcPr>
            <w:tcW w:w="773" w:type="dxa"/>
            <w:vAlign w:val="center"/>
          </w:tcPr>
          <w:p w14:paraId="43C8D0F9">
            <w:pPr>
              <w:widowControl w:val="0"/>
              <w:spacing w:line="360" w:lineRule="auto"/>
              <w:ind w:firstLine="0" w:firstLineChars="0"/>
              <w:jc w:val="center"/>
              <w:rPr>
                <w:rFonts w:ascii="仿宋_GB2312" w:hAnsi="宋体" w:eastAsia="仿宋_GB2312" w:cs="Times New Roman"/>
                <w:kern w:val="2"/>
                <w:sz w:val="24"/>
                <w:szCs w:val="24"/>
                <w:lang w:val="en-US" w:eastAsia="zh-CN" w:bidi="ar-SA"/>
              </w:rPr>
            </w:pPr>
            <w:r>
              <w:rPr>
                <w:rFonts w:hint="eastAsia" w:ascii="仿宋_GB2312" w:hAnsi="宋体" w:eastAsia="仿宋_GB2312" w:cs="Times New Roman"/>
                <w:kern w:val="2"/>
                <w:sz w:val="24"/>
                <w:szCs w:val="24"/>
                <w:lang w:val="en-US" w:eastAsia="zh-CN" w:bidi="ar-SA"/>
              </w:rPr>
              <w:t>5</w:t>
            </w:r>
          </w:p>
        </w:tc>
      </w:tr>
    </w:tbl>
    <w:p w14:paraId="000207BF">
      <w:pPr>
        <w:pStyle w:val="20"/>
        <w:sectPr>
          <w:pgSz w:w="11906" w:h="16838"/>
          <w:pgMar w:top="1440" w:right="1080" w:bottom="1440" w:left="1080" w:header="851" w:footer="992" w:gutter="0"/>
          <w:cols w:space="720" w:num="1"/>
          <w:docGrid w:type="lines" w:linePitch="312" w:charSpace="0"/>
        </w:sectPr>
      </w:pPr>
    </w:p>
    <w:p w14:paraId="032442CC">
      <w:pPr>
        <w:pStyle w:val="43"/>
        <w:spacing w:before="100" w:beforeAutospacing="1" w:after="100" w:afterAutospacing="1" w:line="415" w:lineRule="auto"/>
        <w:ind w:firstLine="198" w:firstLineChars="45"/>
        <w:rPr>
          <w:rFonts w:ascii="宋体" w:hAnsi="宋体" w:cs="宋体"/>
          <w:color w:val="auto"/>
          <w:sz w:val="44"/>
          <w:szCs w:val="44"/>
        </w:rPr>
      </w:pPr>
      <w:r>
        <w:rPr>
          <w:rFonts w:hint="eastAsia" w:ascii="宋体" w:hAnsi="宋体" w:cs="宋体"/>
          <w:color w:val="auto"/>
          <w:sz w:val="44"/>
          <w:szCs w:val="44"/>
        </w:rPr>
        <w:t>第五章</w:t>
      </w:r>
      <w:r>
        <w:rPr>
          <w:rFonts w:ascii="宋体" w:hAnsi="宋体" w:cs="宋体"/>
          <w:color w:val="auto"/>
          <w:sz w:val="44"/>
          <w:szCs w:val="44"/>
        </w:rPr>
        <w:t xml:space="preserve"> </w:t>
      </w:r>
      <w:r>
        <w:rPr>
          <w:rFonts w:hint="eastAsia" w:ascii="宋体" w:hAnsi="宋体" w:cs="宋体"/>
          <w:color w:val="auto"/>
          <w:sz w:val="44"/>
          <w:szCs w:val="44"/>
        </w:rPr>
        <w:t>投标（响应）件格式</w:t>
      </w:r>
    </w:p>
    <w:p w14:paraId="381D5226">
      <w:pPr>
        <w:ind w:firstLine="560"/>
        <w:rPr>
          <w:color w:val="auto"/>
        </w:rPr>
      </w:pPr>
    </w:p>
    <w:p w14:paraId="2D789DDB">
      <w:pPr>
        <w:ind w:firstLine="560"/>
        <w:rPr>
          <w:color w:val="auto"/>
        </w:rPr>
        <w:sectPr>
          <w:headerReference r:id="rId24" w:type="default"/>
          <w:footerReference r:id="rId25" w:type="default"/>
          <w:pgSz w:w="11906" w:h="16838"/>
          <w:pgMar w:top="1440" w:right="1077" w:bottom="1440" w:left="1077" w:header="851" w:footer="992" w:gutter="0"/>
          <w:cols w:space="720" w:num="1"/>
          <w:docGrid w:type="linesAndChars" w:linePitch="312" w:charSpace="0"/>
        </w:sectPr>
      </w:pPr>
    </w:p>
    <w:p w14:paraId="3719FF35">
      <w:pPr>
        <w:ind w:firstLine="1680"/>
        <w:rPr>
          <w:rFonts w:ascii="方正小标宋简体" w:hAnsi="仿宋" w:eastAsia="方正小标宋简体"/>
          <w:bCs/>
          <w:color w:val="auto"/>
          <w:sz w:val="84"/>
        </w:rPr>
      </w:pPr>
    </w:p>
    <w:p w14:paraId="7D37B136">
      <w:pPr>
        <w:ind w:firstLine="1680"/>
        <w:jc w:val="center"/>
        <w:rPr>
          <w:rFonts w:ascii="方正小标宋简体" w:hAnsi="仿宋" w:eastAsia="方正小标宋简体"/>
          <w:bCs/>
          <w:color w:val="auto"/>
          <w:sz w:val="84"/>
        </w:rPr>
      </w:pPr>
      <w:r>
        <w:rPr>
          <w:rFonts w:hint="eastAsia" w:ascii="方正小标宋简体" w:hAnsi="仿宋" w:eastAsia="方正小标宋简体"/>
          <w:bCs/>
          <w:color w:val="auto"/>
          <w:sz w:val="84"/>
        </w:rPr>
        <w:t>响 应 文 件</w:t>
      </w:r>
    </w:p>
    <w:p w14:paraId="5CCDB2E0">
      <w:pPr>
        <w:ind w:firstLine="1440"/>
        <w:jc w:val="center"/>
        <w:rPr>
          <w:rFonts w:ascii="仿宋" w:hAnsi="仿宋" w:eastAsia="仿宋"/>
          <w:color w:val="auto"/>
          <w:sz w:val="72"/>
        </w:rPr>
      </w:pPr>
      <w:r>
        <w:rPr>
          <w:rFonts w:hint="eastAsia" w:ascii="仿宋" w:hAnsi="仿宋" w:eastAsia="仿宋" w:cs="Calibri"/>
          <w:color w:val="auto"/>
          <w:sz w:val="72"/>
          <w:szCs w:val="20"/>
        </w:rPr>
        <w:t>（第一册）</w:t>
      </w:r>
    </w:p>
    <w:p w14:paraId="4D494A97">
      <w:pPr>
        <w:ind w:firstLine="1440"/>
        <w:jc w:val="center"/>
        <w:rPr>
          <w:rFonts w:ascii="仿宋" w:hAnsi="仿宋" w:eastAsia="仿宋"/>
          <w:color w:val="auto"/>
          <w:sz w:val="72"/>
        </w:rPr>
      </w:pPr>
    </w:p>
    <w:p w14:paraId="2B510372">
      <w:pPr>
        <w:ind w:firstLine="720"/>
        <w:jc w:val="left"/>
        <w:rPr>
          <w:rFonts w:ascii="仿宋" w:hAnsi="仿宋" w:eastAsia="仿宋"/>
          <w:color w:val="auto"/>
          <w:sz w:val="36"/>
          <w:szCs w:val="36"/>
        </w:rPr>
      </w:pPr>
      <w:r>
        <w:rPr>
          <w:rFonts w:hint="eastAsia" w:ascii="黑体" w:hAnsi="黑体" w:eastAsia="黑体"/>
          <w:bCs/>
          <w:color w:val="auto"/>
          <w:sz w:val="36"/>
          <w:szCs w:val="36"/>
        </w:rPr>
        <w:t>采购项目：</w:t>
      </w:r>
      <w:r>
        <w:rPr>
          <w:rFonts w:ascii="仿宋" w:hAnsi="仿宋" w:eastAsia="仿宋"/>
          <w:bCs/>
          <w:color w:val="auto"/>
          <w:kern w:val="0"/>
          <w:sz w:val="36"/>
          <w:szCs w:val="36"/>
        </w:rPr>
        <w:t xml:space="preserve"> 乳山市2024年水库移民扶持基金项目和大中型水库移民后期扶持人口自然变化结余资金项目</w:t>
      </w:r>
    </w:p>
    <w:p w14:paraId="3FA57DFA">
      <w:pPr>
        <w:ind w:firstLine="720"/>
        <w:jc w:val="left"/>
        <w:rPr>
          <w:rFonts w:hint="eastAsia" w:ascii="仿宋" w:hAnsi="仿宋" w:eastAsia="仿宋"/>
          <w:b/>
          <w:color w:val="auto"/>
          <w:sz w:val="36"/>
          <w:lang w:eastAsia="zh-CN"/>
        </w:rPr>
      </w:pPr>
      <w:r>
        <w:rPr>
          <w:rFonts w:hint="eastAsia" w:ascii="黑体" w:hAnsi="黑体" w:eastAsia="黑体"/>
          <w:bCs/>
          <w:color w:val="auto"/>
          <w:sz w:val="36"/>
          <w:szCs w:val="36"/>
        </w:rPr>
        <w:t>采购编号</w:t>
      </w:r>
      <w:r>
        <w:rPr>
          <w:rFonts w:hint="eastAsia" w:ascii="仿宋" w:hAnsi="仿宋" w:eastAsia="仿宋"/>
          <w:bCs/>
          <w:color w:val="auto"/>
          <w:sz w:val="36"/>
          <w:szCs w:val="36"/>
        </w:rPr>
        <w:t>：</w:t>
      </w:r>
      <w:r>
        <w:rPr>
          <w:rFonts w:hint="eastAsia" w:ascii="仿宋" w:hAnsi="仿宋" w:eastAsia="仿宋"/>
          <w:color w:val="auto"/>
          <w:sz w:val="36"/>
          <w:szCs w:val="36"/>
          <w:lang w:eastAsia="zh-CN"/>
        </w:rPr>
        <w:t>SDGP371083000202402000114</w:t>
      </w:r>
    </w:p>
    <w:p w14:paraId="78AC67DE">
      <w:pPr>
        <w:ind w:firstLine="720"/>
        <w:jc w:val="left"/>
        <w:rPr>
          <w:rFonts w:ascii="黑体" w:hAnsi="黑体" w:eastAsia="黑体"/>
          <w:bCs/>
          <w:color w:val="auto"/>
          <w:sz w:val="36"/>
          <w:szCs w:val="36"/>
        </w:rPr>
      </w:pPr>
      <w:r>
        <w:rPr>
          <w:rFonts w:hint="eastAsia" w:ascii="黑体" w:hAnsi="黑体" w:eastAsia="黑体"/>
          <w:bCs/>
          <w:color w:val="auto"/>
          <w:sz w:val="36"/>
          <w:szCs w:val="36"/>
        </w:rPr>
        <w:t>所投包号：</w:t>
      </w:r>
      <w:r>
        <w:rPr>
          <w:rFonts w:ascii="黑体" w:hAnsi="黑体" w:eastAsia="黑体"/>
          <w:bCs/>
          <w:color w:val="auto"/>
          <w:sz w:val="36"/>
          <w:szCs w:val="36"/>
        </w:rPr>
        <w:t>A</w:t>
      </w:r>
    </w:p>
    <w:p w14:paraId="2E48FFF8">
      <w:pPr>
        <w:ind w:firstLine="720"/>
        <w:jc w:val="left"/>
        <w:rPr>
          <w:rFonts w:ascii="仿宋" w:hAnsi="仿宋" w:eastAsia="仿宋"/>
          <w:color w:val="auto"/>
          <w:sz w:val="36"/>
        </w:rPr>
      </w:pPr>
    </w:p>
    <w:p w14:paraId="15CEA26A">
      <w:pPr>
        <w:tabs>
          <w:tab w:val="left" w:pos="580"/>
        </w:tabs>
        <w:ind w:left="246" w:leftChars="88" w:firstLine="1800" w:firstLineChars="500"/>
        <w:rPr>
          <w:rFonts w:ascii="仿宋" w:hAnsi="仿宋" w:eastAsia="仿宋"/>
          <w:color w:val="auto"/>
          <w:kern w:val="0"/>
          <w:sz w:val="36"/>
          <w:szCs w:val="21"/>
        </w:rPr>
      </w:pPr>
    </w:p>
    <w:p w14:paraId="4EC738B1">
      <w:pPr>
        <w:tabs>
          <w:tab w:val="left" w:pos="580"/>
        </w:tabs>
        <w:ind w:left="246" w:leftChars="88" w:firstLine="1800" w:firstLineChars="500"/>
        <w:rPr>
          <w:rFonts w:ascii="仿宋_GB2312" w:hAnsi="仿宋"/>
          <w:color w:val="auto"/>
          <w:kern w:val="0"/>
          <w:sz w:val="36"/>
          <w:szCs w:val="36"/>
        </w:rPr>
      </w:pPr>
    </w:p>
    <w:p w14:paraId="3C34DB52">
      <w:pPr>
        <w:tabs>
          <w:tab w:val="left" w:pos="580"/>
        </w:tabs>
        <w:ind w:firstLine="1800" w:firstLineChars="500"/>
        <w:rPr>
          <w:rFonts w:ascii="仿宋_GB2312" w:hAnsi="仿宋"/>
          <w:color w:val="auto"/>
          <w:kern w:val="0"/>
          <w:sz w:val="36"/>
          <w:szCs w:val="36"/>
        </w:rPr>
      </w:pPr>
      <w:r>
        <w:rPr>
          <w:rFonts w:hint="eastAsia" w:ascii="仿宋_GB2312" w:hAnsi="仿宋"/>
          <w:color w:val="auto"/>
          <w:kern w:val="0"/>
          <w:sz w:val="36"/>
          <w:szCs w:val="36"/>
        </w:rPr>
        <w:t>供应商名称：***有限公司</w:t>
      </w:r>
    </w:p>
    <w:p w14:paraId="102591C1">
      <w:pPr>
        <w:tabs>
          <w:tab w:val="left" w:pos="580"/>
        </w:tabs>
        <w:ind w:firstLine="1800" w:firstLineChars="500"/>
        <w:rPr>
          <w:rFonts w:ascii="仿宋_GB2312" w:hAnsi="仿宋"/>
          <w:color w:val="auto"/>
          <w:kern w:val="0"/>
          <w:sz w:val="36"/>
          <w:szCs w:val="36"/>
        </w:rPr>
      </w:pPr>
      <w:r>
        <w:rPr>
          <w:rFonts w:hint="eastAsia" w:ascii="仿宋_GB2312" w:hAnsi="仿宋"/>
          <w:color w:val="auto"/>
          <w:kern w:val="0"/>
          <w:sz w:val="36"/>
          <w:szCs w:val="36"/>
        </w:rPr>
        <w:t>日      期：年  月  日</w:t>
      </w:r>
    </w:p>
    <w:p w14:paraId="11E0DDBE">
      <w:pPr>
        <w:widowControl/>
        <w:ind w:firstLine="720"/>
        <w:jc w:val="center"/>
        <w:rPr>
          <w:color w:val="auto"/>
        </w:rPr>
      </w:pPr>
      <w:r>
        <w:rPr>
          <w:rFonts w:ascii="仿宋_GB2312" w:hAnsi="仿宋"/>
          <w:color w:val="auto"/>
          <w:sz w:val="36"/>
          <w:szCs w:val="36"/>
        </w:rPr>
        <w:br w:type="page"/>
      </w:r>
      <w:r>
        <w:rPr>
          <w:rFonts w:ascii="黑体" w:hAnsi="黑体" w:eastAsia="黑体"/>
          <w:color w:val="auto"/>
          <w:sz w:val="44"/>
          <w:szCs w:val="44"/>
        </w:rPr>
        <w:t>目录</w:t>
      </w:r>
    </w:p>
    <w:p w14:paraId="7718E846">
      <w:pPr>
        <w:tabs>
          <w:tab w:val="right" w:leader="dot" w:pos="8296"/>
        </w:tabs>
        <w:ind w:firstLine="640"/>
        <w:jc w:val="center"/>
        <w:rPr>
          <w:rFonts w:ascii="仿宋_GB2312"/>
          <w:color w:val="auto"/>
          <w:szCs w:val="21"/>
        </w:rPr>
      </w:pPr>
      <w:r>
        <w:rPr>
          <w:rFonts w:hint="eastAsia" w:ascii="仿宋_GB2312"/>
          <w:color w:val="auto"/>
          <w:sz w:val="32"/>
          <w:szCs w:val="21"/>
        </w:rPr>
        <w:t>（由供应商自行编制）</w:t>
      </w:r>
    </w:p>
    <w:p w14:paraId="3A0009D5">
      <w:pPr>
        <w:widowControl/>
        <w:ind w:firstLine="602"/>
        <w:jc w:val="right"/>
        <w:rPr>
          <w:rFonts w:ascii="仿宋_GB2312" w:hAnsi="宋体"/>
          <w:b/>
          <w:bCs/>
          <w:color w:val="auto"/>
          <w:sz w:val="30"/>
          <w:szCs w:val="30"/>
        </w:rPr>
      </w:pPr>
      <w:r>
        <w:rPr>
          <w:rFonts w:ascii="仿宋_GB2312" w:hAnsi="宋体"/>
          <w:b/>
          <w:bCs/>
          <w:color w:val="auto"/>
          <w:sz w:val="30"/>
          <w:szCs w:val="30"/>
        </w:rPr>
        <w:br w:type="page"/>
      </w:r>
    </w:p>
    <w:p w14:paraId="50B83FE3">
      <w:pPr>
        <w:keepNext/>
        <w:keepLines/>
        <w:spacing w:before="120" w:after="120" w:line="560" w:lineRule="exact"/>
        <w:ind w:firstLine="880"/>
        <w:jc w:val="center"/>
        <w:outlineLvl w:val="1"/>
        <w:rPr>
          <w:rFonts w:ascii="Arial" w:hAnsi="Arial" w:eastAsia="黑体"/>
          <w:bCs/>
          <w:color w:val="auto"/>
          <w:sz w:val="44"/>
          <w:szCs w:val="32"/>
        </w:rPr>
      </w:pPr>
      <w:r>
        <w:rPr>
          <w:rFonts w:hint="eastAsia" w:ascii="Arial" w:hAnsi="Arial" w:eastAsia="黑体"/>
          <w:bCs/>
          <w:color w:val="auto"/>
          <w:sz w:val="44"/>
          <w:szCs w:val="32"/>
        </w:rPr>
        <w:t>报价承诺函</w:t>
      </w:r>
    </w:p>
    <w:p w14:paraId="655604F5">
      <w:pPr>
        <w:spacing w:line="520" w:lineRule="exact"/>
        <w:ind w:firstLine="640"/>
        <w:rPr>
          <w:rFonts w:ascii="仿宋_GB2312" w:hAnsi="仿宋"/>
          <w:color w:val="auto"/>
          <w:sz w:val="32"/>
          <w:szCs w:val="32"/>
        </w:rPr>
      </w:pPr>
      <w:r>
        <w:rPr>
          <w:rFonts w:hint="eastAsia" w:ascii="仿宋_GB2312" w:hAnsi="仿宋"/>
          <w:color w:val="auto"/>
          <w:sz w:val="32"/>
          <w:szCs w:val="32"/>
        </w:rPr>
        <w:t xml:space="preserve"> 乳山市方正房地产测绘中心：</w:t>
      </w:r>
    </w:p>
    <w:p w14:paraId="401CA4D4">
      <w:pPr>
        <w:spacing w:line="520" w:lineRule="exact"/>
        <w:ind w:firstLine="640"/>
        <w:rPr>
          <w:rFonts w:ascii="仿宋_GB2312" w:hAnsi="仿宋"/>
          <w:color w:val="auto"/>
          <w:sz w:val="32"/>
          <w:szCs w:val="32"/>
        </w:rPr>
      </w:pPr>
      <w:r>
        <w:rPr>
          <w:rFonts w:hint="eastAsia" w:ascii="仿宋_GB2312" w:hAnsi="仿宋"/>
          <w:color w:val="auto"/>
          <w:sz w:val="32"/>
          <w:szCs w:val="32"/>
        </w:rPr>
        <w:t>我方根据项目编号为</w:t>
      </w:r>
      <w:r>
        <w:rPr>
          <w:rFonts w:hint="eastAsia" w:ascii="仿宋_GB2312" w:hAnsi="仿宋"/>
          <w:color w:val="auto"/>
          <w:sz w:val="32"/>
          <w:szCs w:val="32"/>
          <w:lang w:eastAsia="zh-CN"/>
        </w:rPr>
        <w:t>SDGP371083000202402000114</w:t>
      </w:r>
      <w:r>
        <w:rPr>
          <w:rFonts w:hint="eastAsia" w:ascii="仿宋_GB2312" w:hAnsi="仿宋"/>
          <w:color w:val="auto"/>
          <w:sz w:val="32"/>
          <w:szCs w:val="32"/>
        </w:rPr>
        <w:t>项目名称为</w:t>
      </w:r>
      <w:r>
        <w:rPr>
          <w:rFonts w:ascii="仿宋_GB2312" w:hAnsi="仿宋"/>
          <w:color w:val="auto"/>
          <w:sz w:val="32"/>
          <w:szCs w:val="32"/>
        </w:rPr>
        <w:t>乳山市2024年水库移民扶持基金项目和大中型水库移民后期扶持人口自然变化结余资金项目</w:t>
      </w:r>
      <w:r>
        <w:rPr>
          <w:rFonts w:hint="eastAsia" w:ascii="仿宋_GB2312" w:hAnsi="仿宋"/>
          <w:color w:val="auto"/>
          <w:sz w:val="32"/>
          <w:szCs w:val="32"/>
        </w:rPr>
        <w:t>磋商文件要求，经详细研究决定参加报价。</w:t>
      </w:r>
    </w:p>
    <w:p w14:paraId="6864456F">
      <w:pPr>
        <w:spacing w:line="520" w:lineRule="exact"/>
        <w:ind w:firstLine="640"/>
        <w:rPr>
          <w:rFonts w:ascii="仿宋_GB2312" w:hAnsi="仿宋"/>
          <w:color w:val="auto"/>
          <w:sz w:val="32"/>
          <w:szCs w:val="32"/>
        </w:rPr>
      </w:pPr>
      <w:r>
        <w:rPr>
          <w:rFonts w:hint="eastAsia" w:ascii="仿宋_GB2312" w:hAnsi="仿宋"/>
          <w:color w:val="auto"/>
          <w:sz w:val="32"/>
          <w:szCs w:val="32"/>
        </w:rPr>
        <w:t>1.我方接受本采购文件中关于电子招投标的各项规定，遵守《中华人民共和国电子签名法》关于电子签名的各项规定。我方愿意按照磋商文件的规定和要求提供产品，报价详见《开标（报价）一览表》。</w:t>
      </w:r>
    </w:p>
    <w:p w14:paraId="68001C64">
      <w:pPr>
        <w:spacing w:line="520" w:lineRule="exact"/>
        <w:ind w:firstLine="640"/>
        <w:rPr>
          <w:rFonts w:ascii="仿宋_GB2312" w:hAnsi="仿宋"/>
          <w:color w:val="auto"/>
          <w:sz w:val="32"/>
          <w:szCs w:val="32"/>
        </w:rPr>
      </w:pPr>
      <w:r>
        <w:rPr>
          <w:rFonts w:hint="eastAsia" w:ascii="仿宋_GB2312" w:hAnsi="仿宋"/>
          <w:color w:val="auto"/>
          <w:sz w:val="32"/>
          <w:szCs w:val="32"/>
        </w:rPr>
        <w:t>2.我方同意90天的报价有效期，严格遵守响应文件的各项承诺。在此期限届满之前，本响应文件始终对我方具有约束力，并随时接受成交。我方承诺在报价有效期内不修改、撤销响应文件。</w:t>
      </w:r>
    </w:p>
    <w:p w14:paraId="48174668">
      <w:pPr>
        <w:spacing w:line="520" w:lineRule="exact"/>
        <w:ind w:firstLine="640"/>
        <w:rPr>
          <w:rFonts w:ascii="仿宋_GB2312" w:hAnsi="仿宋"/>
          <w:color w:val="auto"/>
          <w:sz w:val="32"/>
          <w:szCs w:val="32"/>
        </w:rPr>
      </w:pPr>
      <w:r>
        <w:rPr>
          <w:rFonts w:hint="eastAsia" w:ascii="仿宋_GB2312" w:hAnsi="仿宋"/>
          <w:color w:val="auto"/>
          <w:sz w:val="32"/>
          <w:szCs w:val="32"/>
        </w:rPr>
        <w:t>3.我方愿意遵守本采购文件的规定和要求并提供磋商文件中要求的所有资料，若响应文件中存在虚假资料的，则视为我方隐瞒真实情况、提供虚假资料，我方愿意接受主管部门做出的行政处罚。</w:t>
      </w:r>
    </w:p>
    <w:p w14:paraId="42BABCF8">
      <w:pPr>
        <w:spacing w:line="520" w:lineRule="exact"/>
        <w:ind w:firstLine="640"/>
        <w:rPr>
          <w:rFonts w:ascii="仿宋_GB2312" w:hAnsi="仿宋"/>
          <w:color w:val="auto"/>
          <w:sz w:val="32"/>
          <w:szCs w:val="32"/>
        </w:rPr>
      </w:pPr>
      <w:r>
        <w:rPr>
          <w:rFonts w:hint="eastAsia" w:ascii="仿宋_GB2312" w:hAnsi="仿宋"/>
          <w:color w:val="auto"/>
          <w:sz w:val="32"/>
          <w:szCs w:val="32"/>
        </w:rPr>
        <w:t>4.我方同意最低价是成交的主要选择标准，但不是唯一的选择标准。</w:t>
      </w:r>
    </w:p>
    <w:p w14:paraId="390397E6">
      <w:pPr>
        <w:spacing w:line="520" w:lineRule="exact"/>
        <w:ind w:firstLine="640"/>
        <w:rPr>
          <w:rFonts w:ascii="仿宋_GB2312" w:hAnsi="仿宋"/>
          <w:color w:val="auto"/>
          <w:sz w:val="32"/>
          <w:szCs w:val="32"/>
        </w:rPr>
      </w:pPr>
      <w:r>
        <w:rPr>
          <w:rFonts w:hint="eastAsia" w:ascii="仿宋_GB2312" w:hAnsi="仿宋"/>
          <w:color w:val="auto"/>
          <w:sz w:val="32"/>
          <w:szCs w:val="32"/>
        </w:rPr>
        <w:t>5.如果我方成交：</w:t>
      </w:r>
    </w:p>
    <w:p w14:paraId="3C9CCCF2">
      <w:pPr>
        <w:spacing w:line="520" w:lineRule="exact"/>
        <w:ind w:firstLine="640"/>
        <w:rPr>
          <w:rFonts w:ascii="仿宋_GB2312" w:hAnsi="仿宋"/>
          <w:color w:val="auto"/>
          <w:sz w:val="32"/>
          <w:szCs w:val="32"/>
        </w:rPr>
      </w:pPr>
      <w:r>
        <w:rPr>
          <w:rFonts w:hint="eastAsia" w:ascii="仿宋_GB2312" w:hAnsi="仿宋"/>
          <w:color w:val="auto"/>
          <w:sz w:val="32"/>
          <w:szCs w:val="32"/>
        </w:rPr>
        <w:t>（1）我方承诺在成交通知书发出后，在规定期限内与采购人签订合同；</w:t>
      </w:r>
    </w:p>
    <w:p w14:paraId="40EF7386">
      <w:pPr>
        <w:spacing w:line="520" w:lineRule="exact"/>
        <w:ind w:firstLine="640"/>
        <w:rPr>
          <w:rFonts w:ascii="仿宋_GB2312" w:hAnsi="仿宋"/>
          <w:color w:val="auto"/>
          <w:sz w:val="32"/>
          <w:szCs w:val="32"/>
        </w:rPr>
      </w:pPr>
      <w:r>
        <w:rPr>
          <w:rFonts w:hint="eastAsia" w:ascii="仿宋_GB2312" w:hAnsi="仿宋"/>
          <w:color w:val="auto"/>
          <w:sz w:val="32"/>
          <w:szCs w:val="32"/>
        </w:rPr>
        <w:t>（2）我方承诺在合同约定的期限内，按期、保质、保量完成施工任务；</w:t>
      </w:r>
    </w:p>
    <w:p w14:paraId="28558A8F">
      <w:pPr>
        <w:spacing w:line="520" w:lineRule="exact"/>
        <w:ind w:firstLine="640"/>
        <w:rPr>
          <w:rFonts w:ascii="仿宋_GB2312" w:hAnsi="仿宋"/>
          <w:color w:val="auto"/>
          <w:sz w:val="32"/>
          <w:szCs w:val="32"/>
        </w:rPr>
      </w:pPr>
      <w:r>
        <w:rPr>
          <w:rFonts w:hint="eastAsia" w:ascii="仿宋_GB2312" w:hAnsi="仿宋"/>
          <w:color w:val="auto"/>
          <w:sz w:val="32"/>
          <w:szCs w:val="32"/>
        </w:rPr>
        <w:t>（3）我方承诺将按照磋商文件的规定全额交纳</w:t>
      </w:r>
      <w:r>
        <w:rPr>
          <w:rFonts w:hint="eastAsia" w:ascii="仿宋_GB2312" w:hAnsi="仿宋"/>
          <w:color w:val="auto"/>
          <w:sz w:val="30"/>
          <w:szCs w:val="30"/>
        </w:rPr>
        <w:t>代理服务费</w:t>
      </w:r>
      <w:r>
        <w:rPr>
          <w:rFonts w:hint="eastAsia" w:ascii="仿宋_GB2312" w:hAnsi="仿宋"/>
          <w:color w:val="auto"/>
          <w:sz w:val="32"/>
          <w:szCs w:val="32"/>
        </w:rPr>
        <w:t>。</w:t>
      </w:r>
    </w:p>
    <w:p w14:paraId="03A5B393">
      <w:pPr>
        <w:spacing w:line="520" w:lineRule="exact"/>
        <w:ind w:firstLine="640"/>
        <w:rPr>
          <w:rFonts w:ascii="仿宋_GB2312" w:hAnsi="仿宋"/>
          <w:color w:val="auto"/>
          <w:sz w:val="32"/>
          <w:szCs w:val="32"/>
        </w:rPr>
      </w:pPr>
      <w:r>
        <w:rPr>
          <w:rFonts w:hint="eastAsia" w:ascii="仿宋_GB2312" w:hAnsi="仿宋"/>
          <w:color w:val="auto"/>
          <w:sz w:val="32"/>
          <w:szCs w:val="32"/>
        </w:rPr>
        <w:t>6.所有有关本报价的函电，请按下列地址联系：</w:t>
      </w:r>
    </w:p>
    <w:p w14:paraId="027F7D2F">
      <w:pPr>
        <w:spacing w:line="520" w:lineRule="exact"/>
        <w:ind w:firstLine="640"/>
        <w:rPr>
          <w:rFonts w:ascii="仿宋_GB2312" w:hAnsi="仿宋"/>
          <w:color w:val="auto"/>
          <w:sz w:val="32"/>
          <w:szCs w:val="32"/>
        </w:rPr>
      </w:pPr>
      <w:r>
        <w:rPr>
          <w:rFonts w:hint="eastAsia" w:ascii="仿宋_GB2312" w:hAnsi="仿宋"/>
          <w:color w:val="auto"/>
          <w:sz w:val="32"/>
          <w:szCs w:val="32"/>
        </w:rPr>
        <w:t>单    位：                     邮政编码：</w:t>
      </w:r>
    </w:p>
    <w:p w14:paraId="6CB112F4">
      <w:pPr>
        <w:spacing w:line="520" w:lineRule="exact"/>
        <w:ind w:firstLine="640"/>
        <w:rPr>
          <w:rFonts w:ascii="仿宋_GB2312" w:hAnsi="仿宋"/>
          <w:color w:val="auto"/>
          <w:sz w:val="32"/>
          <w:szCs w:val="32"/>
        </w:rPr>
      </w:pPr>
      <w:r>
        <w:rPr>
          <w:rFonts w:hint="eastAsia" w:ascii="仿宋_GB2312" w:hAnsi="仿宋"/>
          <w:color w:val="auto"/>
          <w:sz w:val="32"/>
          <w:szCs w:val="32"/>
        </w:rPr>
        <w:t>地    址：                     联 系 人：</w:t>
      </w:r>
    </w:p>
    <w:p w14:paraId="69D82798">
      <w:pPr>
        <w:spacing w:line="520" w:lineRule="exact"/>
        <w:ind w:firstLine="640"/>
        <w:rPr>
          <w:rFonts w:ascii="仿宋_GB2312" w:hAnsi="仿宋"/>
          <w:color w:val="auto"/>
          <w:sz w:val="32"/>
          <w:szCs w:val="32"/>
        </w:rPr>
      </w:pPr>
      <w:r>
        <w:rPr>
          <w:rFonts w:hint="eastAsia" w:ascii="仿宋_GB2312" w:hAnsi="仿宋"/>
          <w:color w:val="auto"/>
          <w:sz w:val="32"/>
          <w:szCs w:val="32"/>
        </w:rPr>
        <w:t>电    话：                     传    真：</w:t>
      </w:r>
    </w:p>
    <w:p w14:paraId="7803CADD">
      <w:pPr>
        <w:spacing w:line="520" w:lineRule="exact"/>
        <w:ind w:firstLine="640"/>
        <w:rPr>
          <w:rFonts w:ascii="仿宋_GB2312" w:hAnsi="仿宋"/>
          <w:color w:val="auto"/>
          <w:sz w:val="32"/>
          <w:szCs w:val="32"/>
        </w:rPr>
      </w:pPr>
      <w:r>
        <w:rPr>
          <w:rFonts w:hint="eastAsia" w:ascii="仿宋_GB2312" w:hAnsi="仿宋"/>
          <w:color w:val="auto"/>
          <w:sz w:val="32"/>
          <w:szCs w:val="32"/>
        </w:rPr>
        <w:t>开户名称：</w:t>
      </w:r>
    </w:p>
    <w:p w14:paraId="4EE7220D">
      <w:pPr>
        <w:spacing w:line="520" w:lineRule="exact"/>
        <w:ind w:firstLine="640"/>
        <w:rPr>
          <w:rFonts w:ascii="仿宋_GB2312" w:hAnsi="仿宋"/>
          <w:color w:val="auto"/>
          <w:sz w:val="32"/>
          <w:szCs w:val="32"/>
        </w:rPr>
      </w:pPr>
      <w:r>
        <w:rPr>
          <w:rFonts w:hint="eastAsia" w:ascii="仿宋_GB2312" w:hAnsi="仿宋"/>
          <w:color w:val="auto"/>
          <w:sz w:val="32"/>
          <w:szCs w:val="32"/>
        </w:rPr>
        <w:t>开户银行：</w:t>
      </w:r>
    </w:p>
    <w:p w14:paraId="77BB8E83">
      <w:pPr>
        <w:spacing w:line="520" w:lineRule="exact"/>
        <w:ind w:firstLine="640"/>
        <w:rPr>
          <w:rFonts w:ascii="仿宋_GB2312" w:hAnsi="仿宋"/>
          <w:color w:val="auto"/>
          <w:sz w:val="32"/>
          <w:szCs w:val="32"/>
        </w:rPr>
      </w:pPr>
      <w:r>
        <w:rPr>
          <w:rFonts w:hint="eastAsia" w:ascii="仿宋_GB2312" w:hAnsi="仿宋"/>
          <w:color w:val="auto"/>
          <w:sz w:val="32"/>
          <w:szCs w:val="32"/>
        </w:rPr>
        <w:t>开户账号：</w:t>
      </w:r>
    </w:p>
    <w:p w14:paraId="26394BF0">
      <w:pPr>
        <w:spacing w:line="520" w:lineRule="exact"/>
        <w:ind w:firstLine="640"/>
        <w:rPr>
          <w:rFonts w:ascii="仿宋_GB2312" w:hAnsi="仿宋"/>
          <w:color w:val="auto"/>
          <w:sz w:val="32"/>
          <w:szCs w:val="32"/>
        </w:rPr>
      </w:pPr>
      <w:r>
        <w:rPr>
          <w:rFonts w:hint="eastAsia" w:ascii="仿宋_GB2312" w:hAnsi="仿宋"/>
          <w:color w:val="auto"/>
          <w:sz w:val="32"/>
          <w:szCs w:val="32"/>
        </w:rPr>
        <w:t xml:space="preserve">供应商（盖章）： </w:t>
      </w:r>
    </w:p>
    <w:p w14:paraId="3E6E1EF9">
      <w:pPr>
        <w:spacing w:line="520" w:lineRule="exact"/>
        <w:ind w:firstLine="640"/>
        <w:rPr>
          <w:rFonts w:ascii="仿宋_GB2312" w:hAnsi="仿宋"/>
          <w:color w:val="auto"/>
          <w:sz w:val="32"/>
          <w:szCs w:val="32"/>
        </w:rPr>
      </w:pPr>
      <w:r>
        <w:rPr>
          <w:rFonts w:hint="eastAsia" w:ascii="仿宋_GB2312" w:hAnsi="仿宋"/>
          <w:color w:val="auto"/>
          <w:sz w:val="32"/>
          <w:szCs w:val="32"/>
        </w:rPr>
        <w:t>法定代表人或被授权人（签字或签章）：</w:t>
      </w:r>
    </w:p>
    <w:p w14:paraId="07D75C9C">
      <w:pPr>
        <w:spacing w:line="520" w:lineRule="exact"/>
        <w:ind w:firstLine="640"/>
        <w:rPr>
          <w:rFonts w:ascii="仿宋_GB2312" w:hAnsi="仿宋"/>
          <w:color w:val="auto"/>
          <w:sz w:val="32"/>
          <w:szCs w:val="32"/>
        </w:rPr>
      </w:pPr>
      <w:r>
        <w:rPr>
          <w:rFonts w:hint="eastAsia" w:ascii="仿宋_GB2312" w:hAnsi="仿宋"/>
          <w:color w:val="auto"/>
          <w:sz w:val="32"/>
          <w:szCs w:val="32"/>
        </w:rPr>
        <w:t>报价日期：××年××月××日</w:t>
      </w:r>
    </w:p>
    <w:p w14:paraId="57BA7446">
      <w:pPr>
        <w:widowControl/>
        <w:spacing w:line="520" w:lineRule="exact"/>
        <w:ind w:firstLine="600"/>
        <w:jc w:val="right"/>
        <w:rPr>
          <w:rFonts w:ascii="宋体" w:hAnsi="宋体"/>
          <w:b/>
          <w:color w:val="auto"/>
          <w:sz w:val="44"/>
          <w:szCs w:val="44"/>
        </w:rPr>
      </w:pPr>
      <w:r>
        <w:rPr>
          <w:rFonts w:ascii="仿宋_GB2312" w:hAnsi="仿宋"/>
          <w:color w:val="auto"/>
          <w:kern w:val="0"/>
          <w:sz w:val="30"/>
          <w:szCs w:val="30"/>
        </w:rPr>
        <w:br w:type="page"/>
      </w:r>
    </w:p>
    <w:p w14:paraId="36DB1A69">
      <w:pPr>
        <w:keepNext/>
        <w:keepLines/>
        <w:spacing w:before="120" w:after="120" w:line="560" w:lineRule="exact"/>
        <w:ind w:firstLine="198" w:firstLineChars="45"/>
        <w:jc w:val="center"/>
        <w:outlineLvl w:val="1"/>
        <w:rPr>
          <w:rFonts w:ascii="Arial" w:hAnsi="Arial" w:eastAsia="黑体"/>
          <w:bCs/>
          <w:color w:val="auto"/>
          <w:sz w:val="44"/>
          <w:szCs w:val="32"/>
        </w:rPr>
      </w:pPr>
      <w:r>
        <w:rPr>
          <w:rFonts w:hint="eastAsia" w:ascii="Arial" w:hAnsi="Arial" w:eastAsia="黑体"/>
          <w:bCs/>
          <w:color w:val="auto"/>
          <w:sz w:val="44"/>
          <w:szCs w:val="32"/>
        </w:rPr>
        <w:t>信用承诺书</w:t>
      </w:r>
    </w:p>
    <w:p w14:paraId="10564AB2">
      <w:pPr>
        <w:spacing w:line="520" w:lineRule="exact"/>
        <w:ind w:firstLine="560"/>
        <w:rPr>
          <w:rFonts w:ascii="仿宋_GB2312" w:hAnsi="仿宋"/>
          <w:color w:val="auto"/>
          <w:szCs w:val="28"/>
        </w:rPr>
      </w:pPr>
      <w:r>
        <w:rPr>
          <w:rFonts w:hint="eastAsia" w:ascii="仿宋_GB2312" w:hAnsi="仿宋"/>
          <w:color w:val="auto"/>
          <w:szCs w:val="28"/>
        </w:rPr>
        <w:t>本人以企业法定代表人的身份郑重承诺:</w:t>
      </w:r>
    </w:p>
    <w:p w14:paraId="5CC60378">
      <w:pPr>
        <w:spacing w:line="520" w:lineRule="exact"/>
        <w:ind w:firstLine="560"/>
        <w:rPr>
          <w:rFonts w:ascii="仿宋_GB2312" w:hAnsi="仿宋"/>
          <w:color w:val="auto"/>
          <w:szCs w:val="28"/>
        </w:rPr>
      </w:pPr>
      <w:r>
        <w:rPr>
          <w:rFonts w:hint="eastAsia" w:ascii="仿宋_GB2312" w:hAnsi="仿宋"/>
          <w:color w:val="auto"/>
          <w:szCs w:val="28"/>
        </w:rPr>
        <w:t>我公司遵循公开、公正和诚实信用的原则,自愿参加</w:t>
      </w:r>
      <w:r>
        <w:rPr>
          <w:rFonts w:ascii="仿宋_GB2312" w:hAnsi="仿宋"/>
          <w:color w:val="auto"/>
          <w:szCs w:val="28"/>
        </w:rPr>
        <w:t>乳山市2024年水库移民扶持基金项目和大中型水库移民后期扶持人口自然变化结余资金项目</w:t>
      </w:r>
      <w:r>
        <w:rPr>
          <w:rFonts w:hint="eastAsia" w:ascii="仿宋_GB2312" w:hAnsi="仿宋"/>
          <w:color w:val="auto"/>
          <w:szCs w:val="28"/>
        </w:rPr>
        <w:t>竞争性磋商项目的报价。</w:t>
      </w:r>
    </w:p>
    <w:p w14:paraId="170CB712">
      <w:pPr>
        <w:spacing w:line="520" w:lineRule="exact"/>
        <w:ind w:firstLine="560"/>
        <w:rPr>
          <w:rFonts w:ascii="仿宋_GB2312" w:hAnsi="仿宋"/>
          <w:color w:val="auto"/>
          <w:szCs w:val="28"/>
        </w:rPr>
      </w:pPr>
      <w:r>
        <w:rPr>
          <w:rFonts w:hint="eastAsia" w:ascii="仿宋_GB2312" w:hAnsi="仿宋"/>
          <w:color w:val="auto"/>
          <w:szCs w:val="28"/>
        </w:rPr>
        <w:t>一、在本项目磋商(或履行合同期间)过程中，严格依照国家有关法律、法规、重合同、守信用。</w:t>
      </w:r>
    </w:p>
    <w:p w14:paraId="1ED7267C">
      <w:pPr>
        <w:spacing w:line="520" w:lineRule="exact"/>
        <w:ind w:firstLine="560"/>
        <w:rPr>
          <w:rFonts w:ascii="仿宋_GB2312" w:hAnsi="仿宋"/>
          <w:color w:val="auto"/>
          <w:szCs w:val="28"/>
        </w:rPr>
      </w:pPr>
      <w:r>
        <w:rPr>
          <w:rFonts w:hint="eastAsia" w:ascii="仿宋_GB2312" w:hAnsi="仿宋"/>
          <w:color w:val="auto"/>
          <w:szCs w:val="28"/>
        </w:rPr>
        <w:t>二、保证响应文件内容无任何虚假、所提供的一切材料都是真实、有效、合法。</w:t>
      </w:r>
    </w:p>
    <w:p w14:paraId="18B389AB">
      <w:pPr>
        <w:spacing w:line="520" w:lineRule="exact"/>
        <w:ind w:firstLine="560"/>
        <w:rPr>
          <w:rFonts w:ascii="仿宋_GB2312" w:hAnsi="仿宋"/>
          <w:color w:val="auto"/>
          <w:szCs w:val="28"/>
        </w:rPr>
      </w:pPr>
      <w:r>
        <w:rPr>
          <w:rFonts w:hint="eastAsia" w:ascii="仿宋_GB2312" w:hAnsi="仿宋"/>
          <w:color w:val="auto"/>
          <w:szCs w:val="28"/>
        </w:rPr>
        <w:t>三、不出借、转让资质证书，不让他人挂靠资质报价;不以他人名义报价或者以其他方式弄虚作假，骗取成交。</w:t>
      </w:r>
    </w:p>
    <w:p w14:paraId="55422984">
      <w:pPr>
        <w:spacing w:line="520" w:lineRule="exact"/>
        <w:ind w:firstLine="560"/>
        <w:rPr>
          <w:rFonts w:ascii="仿宋_GB2312" w:hAnsi="仿宋"/>
          <w:color w:val="auto"/>
          <w:szCs w:val="28"/>
        </w:rPr>
      </w:pPr>
      <w:r>
        <w:rPr>
          <w:rFonts w:hint="eastAsia" w:ascii="仿宋_GB2312" w:hAnsi="仿宋"/>
          <w:color w:val="auto"/>
          <w:szCs w:val="28"/>
        </w:rPr>
        <w:t>四、选派符合要求、有丰富经验的在职的项目经理和其他技术管理人员组成相应的项目部，并保证以上人员的社保关系及证书均在本公司注册；严格按照磋商文件及合同等要求，保证拟派人员的到岗率。</w:t>
      </w:r>
    </w:p>
    <w:p w14:paraId="1C3406B7">
      <w:pPr>
        <w:spacing w:line="520" w:lineRule="exact"/>
        <w:ind w:firstLine="560"/>
        <w:rPr>
          <w:rFonts w:ascii="仿宋_GB2312" w:hAnsi="仿宋"/>
          <w:color w:val="auto"/>
          <w:szCs w:val="28"/>
        </w:rPr>
      </w:pPr>
      <w:r>
        <w:rPr>
          <w:rFonts w:hint="eastAsia" w:ascii="仿宋_GB2312" w:hAnsi="仿宋"/>
          <w:color w:val="auto"/>
          <w:szCs w:val="28"/>
        </w:rPr>
        <w:t>五、不与其他供应商相互串通报价，不排挤其他供应商的公平竞争，不损害采购人的合法权益。</w:t>
      </w:r>
    </w:p>
    <w:p w14:paraId="41954BB7">
      <w:pPr>
        <w:spacing w:line="520" w:lineRule="exact"/>
        <w:ind w:firstLine="560"/>
        <w:rPr>
          <w:rFonts w:ascii="仿宋_GB2312" w:hAnsi="仿宋"/>
          <w:color w:val="auto"/>
          <w:szCs w:val="28"/>
        </w:rPr>
      </w:pPr>
      <w:r>
        <w:rPr>
          <w:rFonts w:hint="eastAsia" w:ascii="仿宋_GB2312" w:hAnsi="仿宋"/>
          <w:color w:val="auto"/>
          <w:szCs w:val="28"/>
        </w:rPr>
        <w:t>六、不向采购人或者评审委员会成员行贿以牟取成交。</w:t>
      </w:r>
    </w:p>
    <w:p w14:paraId="49CB3244">
      <w:pPr>
        <w:spacing w:line="520" w:lineRule="exact"/>
        <w:ind w:firstLine="560"/>
        <w:rPr>
          <w:rFonts w:ascii="仿宋_GB2312" w:hAnsi="仿宋"/>
          <w:color w:val="auto"/>
          <w:szCs w:val="28"/>
        </w:rPr>
      </w:pPr>
      <w:r>
        <w:rPr>
          <w:rFonts w:hint="eastAsia" w:ascii="仿宋_GB2312" w:hAnsi="仿宋"/>
          <w:color w:val="auto"/>
          <w:szCs w:val="28"/>
        </w:rPr>
        <w:t>七、保证响应文件不存在低于成本的恶意报价行为。若我公司成交，保证按照合同约定的价格进行结算。</w:t>
      </w:r>
    </w:p>
    <w:p w14:paraId="3D4B0CE5">
      <w:pPr>
        <w:spacing w:line="520" w:lineRule="exact"/>
        <w:ind w:firstLine="560"/>
        <w:rPr>
          <w:rFonts w:ascii="仿宋_GB2312" w:hAnsi="仿宋"/>
          <w:color w:val="auto"/>
          <w:szCs w:val="28"/>
        </w:rPr>
      </w:pPr>
      <w:r>
        <w:rPr>
          <w:rFonts w:hint="eastAsia" w:ascii="仿宋_GB2312" w:hAnsi="仿宋"/>
          <w:color w:val="auto"/>
          <w:szCs w:val="28"/>
        </w:rPr>
        <w:t>八、成交后,保证按照采购文件及成交通知书的规定,签订合同;保证报价内包含所有采购范围内容，确保最终的交付内容满足采购人的使用要求,达到交钥匙标准。</w:t>
      </w:r>
    </w:p>
    <w:p w14:paraId="2128570D">
      <w:pPr>
        <w:spacing w:line="520" w:lineRule="exact"/>
        <w:ind w:firstLine="560"/>
        <w:rPr>
          <w:rFonts w:ascii="仿宋_GB2312" w:hAnsi="仿宋"/>
          <w:color w:val="auto"/>
          <w:szCs w:val="28"/>
        </w:rPr>
      </w:pPr>
      <w:r>
        <w:rPr>
          <w:rFonts w:hint="eastAsia" w:ascii="仿宋_GB2312" w:hAnsi="仿宋"/>
          <w:color w:val="auto"/>
          <w:szCs w:val="28"/>
        </w:rPr>
        <w:t>九、保证成交后不转包、不使用挂靠施工队伍，若有分包需征得采购人同意。</w:t>
      </w:r>
    </w:p>
    <w:p w14:paraId="701FF163">
      <w:pPr>
        <w:spacing w:line="520" w:lineRule="exact"/>
        <w:ind w:firstLine="560"/>
        <w:rPr>
          <w:rFonts w:ascii="仿宋_GB2312" w:hAnsi="仿宋"/>
          <w:color w:val="auto"/>
          <w:szCs w:val="28"/>
        </w:rPr>
      </w:pPr>
      <w:r>
        <w:rPr>
          <w:rFonts w:hint="eastAsia" w:ascii="仿宋_GB2312" w:hAnsi="仿宋"/>
          <w:color w:val="auto"/>
          <w:szCs w:val="28"/>
        </w:rPr>
        <w:t>十、保证成交之后加强施工现场管理，密切配合采购人开展工作，服从采购人及现场项目管理、监理人员的管理。</w:t>
      </w:r>
    </w:p>
    <w:p w14:paraId="633F53BD">
      <w:pPr>
        <w:spacing w:line="520" w:lineRule="exact"/>
        <w:ind w:firstLine="560"/>
        <w:rPr>
          <w:rFonts w:ascii="仿宋_GB2312" w:hAnsi="仿宋"/>
          <w:color w:val="auto"/>
          <w:szCs w:val="28"/>
        </w:rPr>
      </w:pPr>
      <w:r>
        <w:rPr>
          <w:rFonts w:hint="eastAsia" w:ascii="仿宋_GB2312" w:hAnsi="仿宋"/>
          <w:color w:val="auto"/>
          <w:szCs w:val="28"/>
        </w:rPr>
        <w:t>十一、如在磋商过程和公示期间发生质疑投诉行为，保证按照《山东省政府采购质疑与投诉实施办法》要求进行；保证不恶意质疑投诉，对本公司提供的质疑投诉线索的真实性负责，否则愿接受有关部门的处罚。</w:t>
      </w:r>
    </w:p>
    <w:p w14:paraId="430AC183">
      <w:pPr>
        <w:spacing w:line="520" w:lineRule="exact"/>
        <w:ind w:firstLine="560"/>
        <w:rPr>
          <w:rFonts w:ascii="仿宋_GB2312" w:hAnsi="仿宋"/>
          <w:color w:val="auto"/>
          <w:szCs w:val="28"/>
        </w:rPr>
      </w:pPr>
      <w:r>
        <w:rPr>
          <w:rFonts w:hint="eastAsia" w:ascii="仿宋_GB2312" w:hAnsi="仿宋"/>
          <w:color w:val="auto"/>
          <w:szCs w:val="28"/>
        </w:rPr>
        <w:t>以上内容我公司已仔细阅读，本公司若有违反承诺内容的行为，或在本项目磋商(或履行合同期间)出现其他违约、违法等过失行为，自愿接受采购文件、合同及法律规定的相关处罚。给采购人造成损失的，依法承担赔偿责任。</w:t>
      </w:r>
    </w:p>
    <w:p w14:paraId="6BD34B0A">
      <w:pPr>
        <w:spacing w:line="520" w:lineRule="exact"/>
        <w:ind w:firstLine="560"/>
        <w:rPr>
          <w:rFonts w:ascii="仿宋_GB2312" w:hAnsi="仿宋"/>
          <w:color w:val="auto"/>
          <w:szCs w:val="28"/>
        </w:rPr>
      </w:pPr>
      <w:r>
        <w:rPr>
          <w:rFonts w:hint="eastAsia" w:ascii="仿宋_GB2312" w:hAnsi="仿宋"/>
          <w:color w:val="auto"/>
          <w:szCs w:val="28"/>
        </w:rPr>
        <w:t>特此承诺。</w:t>
      </w:r>
    </w:p>
    <w:p w14:paraId="3D3D0D71">
      <w:pPr>
        <w:tabs>
          <w:tab w:val="left" w:pos="5580"/>
        </w:tabs>
        <w:wordWrap w:val="0"/>
        <w:spacing w:line="560" w:lineRule="exact"/>
        <w:ind w:firstLine="560"/>
        <w:jc w:val="right"/>
        <w:rPr>
          <w:rFonts w:ascii="仿宋_GB2312"/>
          <w:color w:val="auto"/>
          <w:kern w:val="0"/>
          <w:szCs w:val="28"/>
        </w:rPr>
      </w:pPr>
    </w:p>
    <w:p w14:paraId="2C280D19">
      <w:pPr>
        <w:tabs>
          <w:tab w:val="left" w:pos="5580"/>
        </w:tabs>
        <w:spacing w:line="560" w:lineRule="exact"/>
        <w:ind w:firstLine="560"/>
        <w:jc w:val="right"/>
        <w:rPr>
          <w:rFonts w:ascii="仿宋_GB2312"/>
          <w:color w:val="auto"/>
          <w:kern w:val="0"/>
          <w:szCs w:val="28"/>
        </w:rPr>
      </w:pPr>
    </w:p>
    <w:p w14:paraId="68322000">
      <w:pPr>
        <w:tabs>
          <w:tab w:val="left" w:pos="5580"/>
        </w:tabs>
        <w:spacing w:line="560" w:lineRule="exact"/>
        <w:ind w:right="1120" w:firstLine="5244" w:firstLineChars="1873"/>
        <w:jc w:val="center"/>
        <w:rPr>
          <w:rFonts w:ascii="仿宋_GB2312" w:hAnsi="宋体"/>
          <w:color w:val="auto"/>
          <w:kern w:val="0"/>
          <w:szCs w:val="28"/>
        </w:rPr>
      </w:pPr>
      <w:r>
        <w:rPr>
          <w:rFonts w:hint="eastAsia" w:ascii="仿宋_GB2312"/>
          <w:color w:val="auto"/>
          <w:kern w:val="0"/>
          <w:szCs w:val="28"/>
        </w:rPr>
        <w:t xml:space="preserve">供应商全称（公章）：          </w:t>
      </w:r>
    </w:p>
    <w:p w14:paraId="58528D52">
      <w:pPr>
        <w:tabs>
          <w:tab w:val="left" w:pos="5580"/>
        </w:tabs>
        <w:spacing w:line="560" w:lineRule="exact"/>
        <w:ind w:right="1120" w:firstLine="5244" w:firstLineChars="1873"/>
        <w:jc w:val="center"/>
        <w:rPr>
          <w:rFonts w:ascii="仿宋_GB2312"/>
          <w:color w:val="auto"/>
          <w:kern w:val="0"/>
          <w:szCs w:val="28"/>
        </w:rPr>
      </w:pPr>
      <w:r>
        <w:rPr>
          <w:rFonts w:hint="eastAsia" w:ascii="仿宋_GB2312"/>
          <w:color w:val="auto"/>
          <w:kern w:val="0"/>
          <w:szCs w:val="28"/>
        </w:rPr>
        <w:t xml:space="preserve">  法定代表人签章： </w:t>
      </w:r>
    </w:p>
    <w:p w14:paraId="5D282A09">
      <w:pPr>
        <w:keepNext/>
        <w:keepLines/>
        <w:spacing w:before="120" w:after="120" w:line="560" w:lineRule="exact"/>
        <w:ind w:firstLine="600"/>
        <w:jc w:val="center"/>
        <w:outlineLvl w:val="1"/>
        <w:rPr>
          <w:rFonts w:ascii="Arial" w:hAnsi="Arial" w:eastAsia="黑体"/>
          <w:bCs/>
          <w:color w:val="auto"/>
          <w:sz w:val="44"/>
          <w:szCs w:val="32"/>
        </w:rPr>
      </w:pPr>
      <w:r>
        <w:rPr>
          <w:rFonts w:ascii="仿宋_GB2312" w:hAnsi="仿宋"/>
          <w:bCs/>
          <w:color w:val="auto"/>
          <w:sz w:val="30"/>
          <w:szCs w:val="30"/>
        </w:rPr>
        <w:br w:type="page"/>
      </w:r>
      <w:r>
        <w:rPr>
          <w:rFonts w:hint="eastAsia" w:ascii="Arial" w:hAnsi="Arial" w:eastAsia="黑体"/>
          <w:bCs/>
          <w:color w:val="auto"/>
          <w:sz w:val="44"/>
          <w:szCs w:val="32"/>
        </w:rPr>
        <w:t>供应商资格证明文件</w:t>
      </w:r>
    </w:p>
    <w:p w14:paraId="1485476A">
      <w:pPr>
        <w:keepNext/>
        <w:keepLines/>
        <w:spacing w:before="120" w:after="120" w:line="560" w:lineRule="exact"/>
        <w:ind w:firstLine="640"/>
        <w:jc w:val="center"/>
        <w:outlineLvl w:val="2"/>
        <w:rPr>
          <w:rFonts w:eastAsia="黑体"/>
          <w:bCs/>
          <w:color w:val="auto"/>
          <w:sz w:val="32"/>
          <w:szCs w:val="32"/>
        </w:rPr>
      </w:pPr>
      <w:r>
        <w:rPr>
          <w:rFonts w:hint="eastAsia" w:eastAsia="黑体"/>
          <w:bCs/>
          <w:color w:val="auto"/>
          <w:sz w:val="32"/>
          <w:szCs w:val="32"/>
        </w:rPr>
        <w:t>有效的营业执照副本扫描件</w:t>
      </w:r>
    </w:p>
    <w:p w14:paraId="4F83EC53">
      <w:pPr>
        <w:keepNext/>
        <w:keepLines/>
        <w:spacing w:before="120" w:after="120" w:line="560" w:lineRule="exact"/>
        <w:ind w:firstLine="640"/>
        <w:jc w:val="center"/>
        <w:outlineLvl w:val="2"/>
        <w:rPr>
          <w:rFonts w:ascii="黑体" w:hAnsi="黑体" w:eastAsia="黑体"/>
          <w:color w:val="auto"/>
          <w:sz w:val="32"/>
          <w:szCs w:val="32"/>
        </w:rPr>
      </w:pPr>
      <w:r>
        <w:rPr>
          <w:rFonts w:eastAsia="黑体"/>
          <w:bCs/>
          <w:color w:val="auto"/>
          <w:sz w:val="32"/>
          <w:szCs w:val="32"/>
        </w:rPr>
        <w:br w:type="page"/>
      </w:r>
      <w:r>
        <w:rPr>
          <w:rFonts w:ascii="黑体" w:hAnsi="黑体" w:eastAsia="黑体"/>
          <w:color w:val="auto"/>
          <w:sz w:val="32"/>
          <w:szCs w:val="32"/>
        </w:rPr>
        <w:t>资质证书扫描件</w:t>
      </w:r>
    </w:p>
    <w:p w14:paraId="26FB649A">
      <w:pPr>
        <w:widowControl/>
        <w:spacing w:line="240" w:lineRule="auto"/>
        <w:ind w:firstLine="0" w:firstLineChars="0"/>
        <w:jc w:val="left"/>
        <w:rPr>
          <w:rFonts w:ascii="黑体" w:hAnsi="黑体" w:eastAsia="黑体"/>
          <w:color w:val="auto"/>
          <w:sz w:val="32"/>
          <w:szCs w:val="32"/>
        </w:rPr>
      </w:pPr>
      <w:r>
        <w:rPr>
          <w:rFonts w:ascii="黑体" w:hAnsi="黑体" w:eastAsia="黑体"/>
          <w:color w:val="auto"/>
          <w:sz w:val="32"/>
          <w:szCs w:val="32"/>
        </w:rPr>
        <w:br w:type="page"/>
      </w:r>
    </w:p>
    <w:p w14:paraId="54343B5C">
      <w:pPr>
        <w:keepNext/>
        <w:keepLines/>
        <w:spacing w:before="120" w:after="120" w:line="560" w:lineRule="exact"/>
        <w:ind w:firstLine="640"/>
        <w:jc w:val="center"/>
        <w:outlineLvl w:val="2"/>
        <w:rPr>
          <w:rFonts w:ascii="黑体" w:hAnsi="黑体" w:eastAsia="黑体"/>
          <w:bCs/>
          <w:color w:val="auto"/>
          <w:sz w:val="36"/>
          <w:szCs w:val="32"/>
        </w:rPr>
      </w:pPr>
      <w:r>
        <w:rPr>
          <w:rFonts w:ascii="黑体" w:hAnsi="黑体" w:eastAsia="黑体"/>
          <w:color w:val="auto"/>
          <w:sz w:val="32"/>
          <w:szCs w:val="28"/>
        </w:rPr>
        <w:t>安全生产许可证扫描件</w:t>
      </w:r>
    </w:p>
    <w:p w14:paraId="40273326">
      <w:pPr>
        <w:ind w:firstLine="560"/>
        <w:rPr>
          <w:color w:val="auto"/>
        </w:rPr>
      </w:pPr>
      <w:r>
        <w:rPr>
          <w:color w:val="auto"/>
        </w:rPr>
        <w:br w:type="page"/>
      </w:r>
    </w:p>
    <w:p w14:paraId="001F411D">
      <w:pPr>
        <w:keepNext/>
        <w:keepLines/>
        <w:spacing w:line="560" w:lineRule="exact"/>
        <w:ind w:firstLine="640"/>
        <w:jc w:val="center"/>
        <w:outlineLvl w:val="2"/>
        <w:rPr>
          <w:rFonts w:eastAsia="黑体"/>
          <w:bCs/>
          <w:color w:val="auto"/>
          <w:sz w:val="32"/>
          <w:szCs w:val="32"/>
        </w:rPr>
      </w:pPr>
      <w:r>
        <w:rPr>
          <w:rFonts w:hint="eastAsia" w:eastAsia="黑体"/>
          <w:bCs/>
          <w:color w:val="auto"/>
          <w:sz w:val="32"/>
          <w:szCs w:val="32"/>
        </w:rPr>
        <w:t>法定代表人身份证明书</w:t>
      </w:r>
    </w:p>
    <w:p w14:paraId="5B50533F">
      <w:pPr>
        <w:ind w:right="840" w:firstLine="560"/>
        <w:jc w:val="center"/>
        <w:rPr>
          <w:rFonts w:hAnsi="宋体"/>
          <w:color w:val="auto"/>
        </w:rPr>
      </w:pPr>
    </w:p>
    <w:p w14:paraId="5901EB87">
      <w:pPr>
        <w:spacing w:line="560" w:lineRule="exact"/>
        <w:ind w:firstLine="640"/>
        <w:rPr>
          <w:rFonts w:ascii="仿宋_GB2312" w:hAnsi="仿宋"/>
          <w:color w:val="auto"/>
          <w:sz w:val="30"/>
          <w:szCs w:val="30"/>
        </w:rPr>
      </w:pPr>
      <w:r>
        <w:rPr>
          <w:rFonts w:hint="eastAsia" w:ascii="仿宋_GB2312" w:hAnsi="仿宋"/>
          <w:color w:val="auto"/>
          <w:sz w:val="32"/>
          <w:szCs w:val="32"/>
        </w:rPr>
        <w:t>致</w:t>
      </w:r>
      <w:r>
        <w:rPr>
          <w:rFonts w:hint="eastAsia" w:ascii="仿宋_GB2312" w:hAnsi="仿宋"/>
          <w:color w:val="auto"/>
          <w:sz w:val="30"/>
          <w:szCs w:val="30"/>
        </w:rPr>
        <w:t>：</w:t>
      </w:r>
    </w:p>
    <w:p w14:paraId="0745367E">
      <w:pPr>
        <w:tabs>
          <w:tab w:val="left" w:pos="5580"/>
        </w:tabs>
        <w:spacing w:line="600" w:lineRule="exact"/>
        <w:ind w:left="-81" w:leftChars="-29" w:firstLine="640"/>
        <w:rPr>
          <w:rFonts w:ascii="仿宋_GB2312" w:hAnsi="仿宋"/>
          <w:color w:val="auto"/>
          <w:sz w:val="32"/>
          <w:szCs w:val="32"/>
        </w:rPr>
      </w:pPr>
    </w:p>
    <w:p w14:paraId="22B6E8B5">
      <w:pPr>
        <w:tabs>
          <w:tab w:val="left" w:pos="5580"/>
        </w:tabs>
        <w:spacing w:line="600" w:lineRule="exact"/>
        <w:ind w:left="-151" w:leftChars="-54" w:firstLine="640"/>
        <w:rPr>
          <w:rFonts w:ascii="仿宋_GB2312" w:hAnsi="仿宋"/>
          <w:color w:val="auto"/>
          <w:sz w:val="32"/>
          <w:szCs w:val="32"/>
        </w:rPr>
      </w:pPr>
      <w:r>
        <w:rPr>
          <w:rFonts w:hint="eastAsia" w:ascii="仿宋_GB2312" w:hAnsi="仿宋"/>
          <w:color w:val="auto"/>
          <w:sz w:val="32"/>
          <w:szCs w:val="32"/>
        </w:rPr>
        <w:t>（姓名、性别、年龄、身份证号码）在我单位任 （董事长、总经理等）职务，是我单位的法定代表人/负责人。</w:t>
      </w:r>
    </w:p>
    <w:p w14:paraId="2D3B0738">
      <w:pPr>
        <w:tabs>
          <w:tab w:val="left" w:pos="5580"/>
        </w:tabs>
        <w:spacing w:line="600" w:lineRule="exact"/>
        <w:ind w:firstLine="640"/>
        <w:rPr>
          <w:rFonts w:ascii="仿宋_GB2312" w:hAnsi="仿宋"/>
          <w:color w:val="auto"/>
          <w:sz w:val="32"/>
          <w:szCs w:val="32"/>
        </w:rPr>
      </w:pPr>
    </w:p>
    <w:p w14:paraId="6223811A">
      <w:pPr>
        <w:tabs>
          <w:tab w:val="left" w:pos="5580"/>
        </w:tabs>
        <w:spacing w:line="600" w:lineRule="exact"/>
        <w:ind w:left="720" w:leftChars="257" w:firstLine="640"/>
        <w:rPr>
          <w:rFonts w:ascii="仿宋_GB2312" w:hAnsi="仿宋"/>
          <w:color w:val="auto"/>
          <w:sz w:val="32"/>
          <w:szCs w:val="32"/>
        </w:rPr>
      </w:pPr>
      <w:r>
        <w:rPr>
          <w:rFonts w:hint="eastAsia" w:ascii="仿宋_GB2312" w:hAnsi="仿宋"/>
          <w:color w:val="auto"/>
          <w:sz w:val="32"/>
          <w:szCs w:val="32"/>
        </w:rPr>
        <w:t>特此证明。</w:t>
      </w:r>
    </w:p>
    <w:p w14:paraId="7CDF814A">
      <w:pPr>
        <w:spacing w:line="600" w:lineRule="exact"/>
        <w:ind w:firstLine="640"/>
        <w:rPr>
          <w:rFonts w:ascii="仿宋_GB2312" w:hAnsi="仿宋"/>
          <w:color w:val="auto"/>
          <w:sz w:val="32"/>
          <w:szCs w:val="32"/>
        </w:rPr>
      </w:pPr>
    </w:p>
    <w:p w14:paraId="79C0A27E">
      <w:pPr>
        <w:tabs>
          <w:tab w:val="left" w:pos="5580"/>
        </w:tabs>
        <w:spacing w:line="600" w:lineRule="exact"/>
        <w:ind w:left="-720" w:leftChars="-257" w:right="960" w:firstLine="1200" w:firstLineChars="375"/>
        <w:jc w:val="right"/>
        <w:rPr>
          <w:rFonts w:ascii="仿宋_GB2312" w:hAnsi="仿宋"/>
          <w:color w:val="auto"/>
          <w:sz w:val="32"/>
          <w:szCs w:val="32"/>
        </w:rPr>
      </w:pPr>
      <w:r>
        <w:rPr>
          <w:rFonts w:hint="eastAsia" w:ascii="仿宋_GB2312" w:hAnsi="仿宋"/>
          <w:color w:val="auto"/>
          <w:sz w:val="32"/>
          <w:szCs w:val="32"/>
        </w:rPr>
        <w:t>供应商名称（公</w:t>
      </w:r>
      <w:r>
        <w:rPr>
          <w:rFonts w:ascii="仿宋_GB2312" w:hAnsi="仿宋"/>
          <w:color w:val="auto"/>
          <w:sz w:val="32"/>
          <w:szCs w:val="32"/>
        </w:rPr>
        <w:t>章）：</w:t>
      </w:r>
    </w:p>
    <w:p w14:paraId="64F71611">
      <w:pPr>
        <w:tabs>
          <w:tab w:val="left" w:pos="5580"/>
        </w:tabs>
        <w:spacing w:line="600" w:lineRule="exact"/>
        <w:ind w:firstLine="640"/>
        <w:rPr>
          <w:rFonts w:ascii="仿宋_GB2312" w:hAnsi="仿宋"/>
          <w:color w:val="auto"/>
          <w:sz w:val="32"/>
          <w:szCs w:val="32"/>
        </w:rPr>
      </w:pPr>
    </w:p>
    <w:p w14:paraId="75F91727">
      <w:pPr>
        <w:tabs>
          <w:tab w:val="left" w:pos="5580"/>
        </w:tabs>
        <w:spacing w:line="600" w:lineRule="exact"/>
        <w:ind w:firstLine="640"/>
        <w:rPr>
          <w:rFonts w:ascii="仿宋_GB2312" w:hAnsi="仿宋"/>
          <w:color w:val="auto"/>
          <w:sz w:val="32"/>
          <w:szCs w:val="32"/>
        </w:rPr>
      </w:pPr>
    </w:p>
    <w:p w14:paraId="7B142108">
      <w:pPr>
        <w:tabs>
          <w:tab w:val="left" w:pos="5580"/>
        </w:tabs>
        <w:spacing w:line="600" w:lineRule="exact"/>
        <w:ind w:firstLine="640"/>
        <w:rPr>
          <w:rFonts w:ascii="仿宋_GB2312" w:hAnsi="仿宋"/>
          <w:color w:val="auto"/>
          <w:sz w:val="32"/>
          <w:szCs w:val="32"/>
        </w:rPr>
      </w:pPr>
    </w:p>
    <w:p w14:paraId="1F55BA62">
      <w:pPr>
        <w:ind w:firstLine="560"/>
        <w:rPr>
          <w:color w:val="auto"/>
        </w:rPr>
      </w:pPr>
      <w:r>
        <w:rPr>
          <w:color w:val="auto"/>
        </w:rPr>
        <w:br w:type="page"/>
      </w:r>
    </w:p>
    <w:p w14:paraId="73C24955">
      <w:pPr>
        <w:keepNext/>
        <w:keepLines/>
        <w:spacing w:before="120" w:after="120" w:line="560" w:lineRule="exact"/>
        <w:ind w:firstLine="640"/>
        <w:jc w:val="center"/>
        <w:outlineLvl w:val="2"/>
        <w:rPr>
          <w:rFonts w:eastAsia="黑体"/>
          <w:bCs/>
          <w:color w:val="auto"/>
          <w:sz w:val="32"/>
          <w:szCs w:val="32"/>
        </w:rPr>
      </w:pPr>
      <w:r>
        <w:rPr>
          <w:rFonts w:hint="eastAsia" w:eastAsia="黑体"/>
          <w:bCs/>
          <w:color w:val="auto"/>
          <w:sz w:val="32"/>
          <w:szCs w:val="32"/>
        </w:rPr>
        <w:t>法人授权委托书</w:t>
      </w:r>
    </w:p>
    <w:p w14:paraId="67F7F7D8">
      <w:pPr>
        <w:ind w:left="4536" w:leftChars="1620" w:firstLine="560"/>
        <w:rPr>
          <w:color w:val="auto"/>
        </w:rPr>
      </w:pPr>
    </w:p>
    <w:p w14:paraId="48779229">
      <w:pPr>
        <w:spacing w:line="520" w:lineRule="exact"/>
        <w:ind w:firstLine="640"/>
        <w:rPr>
          <w:color w:val="auto"/>
        </w:rPr>
      </w:pPr>
      <w:r>
        <w:rPr>
          <w:rFonts w:hint="eastAsia" w:ascii="仿宋_GB2312" w:hAnsi="仿宋"/>
          <w:color w:val="auto"/>
          <w:sz w:val="32"/>
          <w:szCs w:val="32"/>
        </w:rPr>
        <w:t>本授权书声明：注册于</w:t>
      </w:r>
      <w:r>
        <w:rPr>
          <w:rFonts w:hint="eastAsia" w:ascii="仿宋_GB2312" w:hAnsi="仿宋"/>
          <w:color w:val="auto"/>
          <w:sz w:val="32"/>
          <w:szCs w:val="32"/>
          <w:u w:val="single"/>
        </w:rPr>
        <w:t xml:space="preserve">   （国家或地区的名称）  </w:t>
      </w:r>
      <w:r>
        <w:rPr>
          <w:rFonts w:hint="eastAsia" w:ascii="仿宋_GB2312" w:hAnsi="仿宋"/>
          <w:color w:val="auto"/>
          <w:sz w:val="32"/>
          <w:szCs w:val="32"/>
        </w:rPr>
        <w:t>的</w:t>
      </w:r>
      <w:r>
        <w:rPr>
          <w:rFonts w:hint="eastAsia" w:ascii="仿宋_GB2312" w:hAnsi="仿宋"/>
          <w:color w:val="auto"/>
          <w:sz w:val="32"/>
          <w:szCs w:val="32"/>
          <w:u w:val="single"/>
        </w:rPr>
        <w:t xml:space="preserve">  （公司名称）  </w:t>
      </w:r>
      <w:r>
        <w:rPr>
          <w:rFonts w:hint="eastAsia" w:ascii="仿宋_GB2312" w:hAnsi="仿宋"/>
          <w:color w:val="auto"/>
          <w:sz w:val="32"/>
          <w:szCs w:val="32"/>
        </w:rPr>
        <w:t>的</w:t>
      </w:r>
      <w:r>
        <w:rPr>
          <w:rFonts w:hint="eastAsia" w:ascii="仿宋_GB2312" w:hAnsi="仿宋"/>
          <w:color w:val="auto"/>
          <w:sz w:val="32"/>
          <w:szCs w:val="32"/>
          <w:u w:val="single"/>
        </w:rPr>
        <w:t xml:space="preserve"> （法人代表姓名、职务）  </w:t>
      </w:r>
      <w:r>
        <w:rPr>
          <w:rFonts w:hint="eastAsia" w:ascii="仿宋_GB2312" w:hAnsi="仿宋"/>
          <w:color w:val="auto"/>
          <w:sz w:val="32"/>
          <w:szCs w:val="32"/>
        </w:rPr>
        <w:t>，代表本公司授权</w:t>
      </w:r>
      <w:r>
        <w:rPr>
          <w:rFonts w:hint="eastAsia" w:ascii="仿宋_GB2312" w:hAnsi="仿宋"/>
          <w:color w:val="auto"/>
          <w:sz w:val="32"/>
          <w:szCs w:val="32"/>
          <w:u w:val="single"/>
        </w:rPr>
        <w:t xml:space="preserve">  （被授权单位名称）  </w:t>
      </w:r>
      <w:r>
        <w:rPr>
          <w:rFonts w:hint="eastAsia" w:ascii="仿宋_GB2312" w:hAnsi="仿宋"/>
          <w:color w:val="auto"/>
          <w:sz w:val="32"/>
          <w:szCs w:val="32"/>
        </w:rPr>
        <w:t>的</w:t>
      </w:r>
      <w:r>
        <w:rPr>
          <w:rFonts w:hint="eastAsia" w:ascii="仿宋_GB2312" w:hAnsi="仿宋"/>
          <w:color w:val="auto"/>
          <w:sz w:val="32"/>
          <w:szCs w:val="32"/>
          <w:u w:val="single"/>
        </w:rPr>
        <w:t xml:space="preserve">        （被授权人的姓名、职务）</w:t>
      </w:r>
      <w:r>
        <w:rPr>
          <w:rFonts w:hint="eastAsia" w:ascii="仿宋_GB2312" w:hAnsi="仿宋"/>
          <w:color w:val="auto"/>
          <w:sz w:val="32"/>
          <w:szCs w:val="32"/>
        </w:rPr>
        <w:t>为本公司的合法代理人，参加编号为</w:t>
      </w:r>
      <w:r>
        <w:rPr>
          <w:rFonts w:hint="eastAsia" w:ascii="仿宋_GB2312" w:hAnsi="仿宋"/>
          <w:color w:val="auto"/>
          <w:sz w:val="32"/>
          <w:szCs w:val="32"/>
          <w:lang w:eastAsia="zh-CN"/>
        </w:rPr>
        <w:t>SDGP371083000202402000114</w:t>
      </w:r>
      <w:r>
        <w:rPr>
          <w:rFonts w:hint="eastAsia" w:ascii="仿宋_GB2312" w:hAnsi="仿宋"/>
          <w:color w:val="auto"/>
          <w:sz w:val="32"/>
          <w:szCs w:val="32"/>
        </w:rPr>
        <w:t>号的竞争性磋商采购活动，以本公司名义处理一切与之有关的事宜。</w:t>
      </w:r>
    </w:p>
    <w:p w14:paraId="464DF87A">
      <w:pPr>
        <w:spacing w:line="520" w:lineRule="exact"/>
        <w:ind w:firstLine="640"/>
        <w:rPr>
          <w:rFonts w:ascii="仿宋_GB2312" w:hAnsi="仿宋"/>
          <w:color w:val="auto"/>
          <w:kern w:val="0"/>
          <w:sz w:val="32"/>
          <w:szCs w:val="32"/>
        </w:rPr>
      </w:pPr>
      <w:r>
        <w:rPr>
          <w:rFonts w:hint="eastAsia" w:ascii="仿宋_GB2312" w:hAnsi="仿宋"/>
          <w:color w:val="auto"/>
          <w:kern w:val="0"/>
          <w:sz w:val="32"/>
          <w:szCs w:val="32"/>
        </w:rPr>
        <w:t>如果本公司在此次采购活动中成交，被授权人有权代表本公司签署政府采购合同。</w:t>
      </w:r>
    </w:p>
    <w:p w14:paraId="40051A09">
      <w:pPr>
        <w:spacing w:line="520" w:lineRule="exact"/>
        <w:ind w:firstLine="640"/>
        <w:rPr>
          <w:rFonts w:ascii="仿宋_GB2312" w:hAnsi="仿宋"/>
          <w:color w:val="auto"/>
          <w:kern w:val="0"/>
          <w:sz w:val="32"/>
          <w:szCs w:val="32"/>
        </w:rPr>
      </w:pPr>
      <w:r>
        <w:rPr>
          <w:rFonts w:hint="eastAsia" w:ascii="仿宋_GB2312" w:hAnsi="仿宋"/>
          <w:color w:val="auto"/>
          <w:kern w:val="0"/>
          <w:sz w:val="32"/>
          <w:szCs w:val="32"/>
        </w:rPr>
        <w:t>本授权书于</w:t>
      </w:r>
      <w:r>
        <w:rPr>
          <w:rFonts w:hint="eastAsia" w:ascii="仿宋_GB2312" w:hAnsi="仿宋"/>
          <w:color w:val="auto"/>
          <w:kern w:val="0"/>
          <w:sz w:val="32"/>
          <w:szCs w:val="32"/>
          <w:u w:val="single"/>
          <w:lang w:val="en-US" w:eastAsia="zh-CN"/>
        </w:rPr>
        <w:t xml:space="preserve">    </w:t>
      </w:r>
      <w:r>
        <w:rPr>
          <w:rFonts w:hint="eastAsia" w:ascii="仿宋_GB2312" w:hAnsi="仿宋"/>
          <w:color w:val="auto"/>
          <w:kern w:val="0"/>
          <w:sz w:val="32"/>
          <w:szCs w:val="32"/>
        </w:rPr>
        <w:t>年</w:t>
      </w:r>
      <w:r>
        <w:rPr>
          <w:rFonts w:hint="eastAsia" w:ascii="仿宋_GB2312" w:hAnsi="仿宋"/>
          <w:color w:val="auto"/>
          <w:kern w:val="0"/>
          <w:sz w:val="32"/>
          <w:szCs w:val="32"/>
          <w:u w:val="single"/>
          <w:lang w:val="en-US" w:eastAsia="zh-CN"/>
        </w:rPr>
        <w:t xml:space="preserve">   </w:t>
      </w:r>
      <w:r>
        <w:rPr>
          <w:rFonts w:hint="eastAsia" w:ascii="仿宋_GB2312" w:hAnsi="仿宋"/>
          <w:color w:val="auto"/>
          <w:kern w:val="0"/>
          <w:sz w:val="32"/>
          <w:szCs w:val="32"/>
        </w:rPr>
        <w:t>月</w:t>
      </w:r>
      <w:r>
        <w:rPr>
          <w:rFonts w:hint="eastAsia" w:ascii="仿宋_GB2312" w:hAnsi="仿宋"/>
          <w:color w:val="auto"/>
          <w:kern w:val="0"/>
          <w:sz w:val="32"/>
          <w:szCs w:val="32"/>
          <w:u w:val="single"/>
          <w:lang w:val="en-US" w:eastAsia="zh-CN"/>
        </w:rPr>
        <w:t xml:space="preserve">   </w:t>
      </w:r>
      <w:r>
        <w:rPr>
          <w:rFonts w:hint="eastAsia" w:ascii="仿宋_GB2312" w:hAnsi="仿宋"/>
          <w:color w:val="auto"/>
          <w:kern w:val="0"/>
          <w:sz w:val="32"/>
          <w:szCs w:val="32"/>
        </w:rPr>
        <w:t>日法定代表人签字或盖章并由被授权人签字、单位盖章生效，特此声明。</w:t>
      </w:r>
    </w:p>
    <w:p w14:paraId="0CAB6B76">
      <w:pPr>
        <w:spacing w:line="520" w:lineRule="exact"/>
        <w:ind w:firstLine="640"/>
        <w:rPr>
          <w:rFonts w:ascii="仿宋_GB2312" w:hAnsi="仿宋"/>
          <w:color w:val="auto"/>
          <w:kern w:val="0"/>
          <w:sz w:val="32"/>
          <w:szCs w:val="32"/>
        </w:rPr>
      </w:pPr>
      <w:r>
        <w:rPr>
          <w:rFonts w:hint="eastAsia" w:ascii="仿宋_GB2312" w:hAnsi="仿宋"/>
          <w:color w:val="auto"/>
          <w:kern w:val="0"/>
          <w:sz w:val="32"/>
          <w:szCs w:val="32"/>
        </w:rPr>
        <w:t>被授权人无转委托权。</w:t>
      </w:r>
    </w:p>
    <w:p w14:paraId="42C84A69">
      <w:pPr>
        <w:spacing w:line="520" w:lineRule="exact"/>
        <w:ind w:firstLine="640"/>
        <w:jc w:val="left"/>
        <w:rPr>
          <w:rFonts w:ascii="仿宋_GB2312" w:hAnsi="仿宋"/>
          <w:color w:val="auto"/>
          <w:kern w:val="0"/>
          <w:sz w:val="32"/>
          <w:szCs w:val="32"/>
        </w:rPr>
      </w:pPr>
      <w:r>
        <w:rPr>
          <w:rFonts w:hint="eastAsia" w:ascii="仿宋_GB2312" w:hAnsi="仿宋"/>
          <w:color w:val="auto"/>
          <w:kern w:val="0"/>
          <w:sz w:val="32"/>
          <w:szCs w:val="32"/>
        </w:rPr>
        <w:t>法定代表人签章：</w:t>
      </w:r>
    </w:p>
    <w:p w14:paraId="450C6AF6">
      <w:pPr>
        <w:spacing w:line="520" w:lineRule="exact"/>
        <w:ind w:firstLine="640"/>
        <w:jc w:val="left"/>
        <w:rPr>
          <w:rFonts w:ascii="仿宋_GB2312" w:hAnsi="仿宋"/>
          <w:color w:val="auto"/>
          <w:kern w:val="0"/>
          <w:sz w:val="32"/>
          <w:szCs w:val="32"/>
        </w:rPr>
      </w:pPr>
      <w:r>
        <w:rPr>
          <w:rFonts w:hint="eastAsia" w:ascii="仿宋_GB2312" w:hAnsi="仿宋"/>
          <w:color w:val="auto"/>
          <w:kern w:val="0"/>
          <w:sz w:val="32"/>
          <w:szCs w:val="32"/>
        </w:rPr>
        <w:t>被 授 权 人 签 字：</w:t>
      </w:r>
    </w:p>
    <w:p w14:paraId="6C3C323E">
      <w:pPr>
        <w:spacing w:line="520" w:lineRule="exact"/>
        <w:ind w:firstLine="640"/>
        <w:jc w:val="left"/>
        <w:rPr>
          <w:rFonts w:ascii="仿宋_GB2312" w:hAnsi="仿宋"/>
          <w:color w:val="auto"/>
          <w:kern w:val="0"/>
          <w:sz w:val="32"/>
          <w:szCs w:val="32"/>
        </w:rPr>
      </w:pPr>
      <w:r>
        <w:rPr>
          <w:rFonts w:hint="eastAsia" w:ascii="仿宋_GB2312" w:hAnsi="仿宋"/>
          <w:color w:val="auto"/>
          <w:kern w:val="0"/>
          <w:sz w:val="32"/>
          <w:szCs w:val="32"/>
        </w:rPr>
        <w:t>报价供应商（公章）:</w:t>
      </w:r>
    </w:p>
    <w:tbl>
      <w:tblPr>
        <w:tblStyle w:val="45"/>
        <w:tblpPr w:leftFromText="180" w:rightFromText="180" w:vertAnchor="text" w:horzAnchor="margin" w:tblpY="361"/>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4786"/>
        <w:gridCol w:w="4786"/>
      </w:tblGrid>
      <w:tr w14:paraId="012B1C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112" w:hRule="atLeast"/>
        </w:trPr>
        <w:tc>
          <w:tcPr>
            <w:tcW w:w="4786" w:type="dxa"/>
            <w:vAlign w:val="center"/>
          </w:tcPr>
          <w:p w14:paraId="3E22BA79">
            <w:pPr>
              <w:widowControl/>
              <w:spacing w:beforeAutospacing="1" w:afterAutospacing="1"/>
              <w:ind w:firstLine="640"/>
              <w:jc w:val="center"/>
              <w:rPr>
                <w:rFonts w:ascii="仿宋_GB2312" w:hAnsi="仿宋" w:cs="宋体"/>
                <w:color w:val="auto"/>
                <w:kern w:val="0"/>
                <w:sz w:val="32"/>
                <w:szCs w:val="32"/>
              </w:rPr>
            </w:pPr>
            <w:r>
              <w:rPr>
                <w:rFonts w:hint="eastAsia" w:ascii="仿宋_GB2312" w:hAnsi="仿宋" w:cs="宋体"/>
                <w:color w:val="auto"/>
                <w:sz w:val="32"/>
                <w:szCs w:val="32"/>
              </w:rPr>
              <w:t>被授权人身份证扫描件正面</w:t>
            </w:r>
          </w:p>
        </w:tc>
        <w:tc>
          <w:tcPr>
            <w:tcW w:w="4786" w:type="dxa"/>
            <w:vAlign w:val="center"/>
          </w:tcPr>
          <w:p w14:paraId="7F96C382">
            <w:pPr>
              <w:widowControl/>
              <w:spacing w:beforeAutospacing="1" w:afterAutospacing="1"/>
              <w:ind w:firstLine="640"/>
              <w:jc w:val="center"/>
              <w:rPr>
                <w:rFonts w:ascii="仿宋_GB2312" w:hAnsi="仿宋" w:cs="宋体"/>
                <w:color w:val="auto"/>
                <w:sz w:val="32"/>
                <w:szCs w:val="32"/>
              </w:rPr>
            </w:pPr>
            <w:r>
              <w:rPr>
                <w:rFonts w:hint="eastAsia" w:ascii="仿宋_GB2312" w:hAnsi="仿宋" w:cs="宋体"/>
                <w:color w:val="auto"/>
                <w:sz w:val="32"/>
                <w:szCs w:val="32"/>
              </w:rPr>
              <w:t>被授权人身份证扫描件反面</w:t>
            </w:r>
          </w:p>
        </w:tc>
      </w:tr>
    </w:tbl>
    <w:p w14:paraId="5166CEA1">
      <w:pPr>
        <w:ind w:firstLine="560"/>
        <w:rPr>
          <w:vanish/>
          <w:color w:val="auto"/>
        </w:rPr>
      </w:pPr>
    </w:p>
    <w:p w14:paraId="5C37CA6D">
      <w:pPr>
        <w:ind w:firstLine="723"/>
        <w:rPr>
          <w:rFonts w:ascii="仿宋_GB2312" w:hAnsi="仿宋"/>
          <w:b/>
          <w:color w:val="auto"/>
          <w:kern w:val="0"/>
          <w:sz w:val="36"/>
          <w:szCs w:val="21"/>
        </w:rPr>
      </w:pPr>
    </w:p>
    <w:p w14:paraId="57D20899">
      <w:pPr>
        <w:keepNext/>
        <w:keepLines/>
        <w:spacing w:before="120" w:after="120" w:line="560" w:lineRule="exact"/>
        <w:ind w:firstLine="562"/>
        <w:jc w:val="center"/>
        <w:outlineLvl w:val="2"/>
        <w:rPr>
          <w:rFonts w:eastAsia="黑体"/>
          <w:bCs/>
          <w:color w:val="auto"/>
          <w:sz w:val="32"/>
          <w:szCs w:val="32"/>
        </w:rPr>
      </w:pPr>
      <w:r>
        <w:rPr>
          <w:rFonts w:hint="eastAsia" w:ascii="仿宋_GB2312" w:hAnsi="仿宋"/>
          <w:b/>
          <w:bCs/>
          <w:color w:val="auto"/>
          <w:szCs w:val="28"/>
        </w:rPr>
        <w:br w:type="page"/>
      </w:r>
      <w:r>
        <w:rPr>
          <w:rFonts w:hint="eastAsia" w:eastAsia="黑体"/>
          <w:bCs/>
          <w:color w:val="auto"/>
          <w:sz w:val="32"/>
          <w:szCs w:val="32"/>
        </w:rPr>
        <w:t>供应商依法缴纳税收和社会保障资金的声明</w:t>
      </w:r>
    </w:p>
    <w:p w14:paraId="132A94AA">
      <w:pPr>
        <w:ind w:firstLine="560"/>
        <w:jc w:val="center"/>
        <w:rPr>
          <w:rFonts w:ascii="仿宋_GB2312"/>
          <w:color w:val="auto"/>
          <w:szCs w:val="28"/>
        </w:rPr>
      </w:pPr>
      <w:r>
        <w:rPr>
          <w:rFonts w:hint="eastAsia" w:ascii="仿宋_GB2312"/>
          <w:color w:val="auto"/>
          <w:szCs w:val="28"/>
        </w:rPr>
        <w:t>（格式自拟，加盖供应商公章）</w:t>
      </w:r>
    </w:p>
    <w:p w14:paraId="4BD40569">
      <w:pPr>
        <w:widowControl/>
        <w:spacing w:line="240" w:lineRule="auto"/>
        <w:ind w:firstLine="0" w:firstLineChars="0"/>
        <w:jc w:val="left"/>
        <w:rPr>
          <w:rFonts w:eastAsia="黑体"/>
          <w:bCs/>
          <w:color w:val="auto"/>
          <w:sz w:val="32"/>
          <w:szCs w:val="32"/>
        </w:rPr>
      </w:pPr>
      <w:r>
        <w:rPr>
          <w:rFonts w:eastAsia="黑体"/>
          <w:bCs/>
          <w:color w:val="auto"/>
          <w:sz w:val="32"/>
          <w:szCs w:val="32"/>
        </w:rPr>
        <w:br w:type="page"/>
      </w:r>
    </w:p>
    <w:p w14:paraId="53F27417">
      <w:pPr>
        <w:keepNext/>
        <w:keepLines/>
        <w:spacing w:before="120" w:after="120" w:line="560" w:lineRule="exact"/>
        <w:ind w:firstLine="640"/>
        <w:jc w:val="center"/>
        <w:outlineLvl w:val="2"/>
        <w:rPr>
          <w:rFonts w:eastAsia="黑体"/>
          <w:bCs/>
          <w:color w:val="auto"/>
          <w:sz w:val="32"/>
          <w:szCs w:val="32"/>
        </w:rPr>
      </w:pPr>
      <w:r>
        <w:rPr>
          <w:rFonts w:hint="eastAsia" w:eastAsia="黑体"/>
          <w:bCs/>
          <w:color w:val="auto"/>
          <w:sz w:val="32"/>
          <w:szCs w:val="32"/>
        </w:rPr>
        <w:t>供应商近期的完税凭证及缴纳社保资金凭证扫描件</w:t>
      </w:r>
    </w:p>
    <w:p w14:paraId="4C64E164">
      <w:pPr>
        <w:ind w:firstLine="560"/>
        <w:jc w:val="center"/>
        <w:rPr>
          <w:rFonts w:ascii="仿宋_GB2312"/>
          <w:color w:val="auto"/>
          <w:szCs w:val="28"/>
        </w:rPr>
      </w:pPr>
      <w:r>
        <w:rPr>
          <w:rFonts w:hint="eastAsia" w:ascii="仿宋_GB2312"/>
          <w:color w:val="auto"/>
          <w:szCs w:val="28"/>
        </w:rPr>
        <w:t>（加盖报价供应商公章）</w:t>
      </w:r>
    </w:p>
    <w:p w14:paraId="381FABAD">
      <w:pPr>
        <w:widowControl/>
        <w:spacing w:line="240" w:lineRule="auto"/>
        <w:ind w:firstLine="0" w:firstLineChars="0"/>
        <w:jc w:val="left"/>
        <w:rPr>
          <w:rFonts w:eastAsia="黑体"/>
          <w:bCs/>
          <w:color w:val="auto"/>
          <w:sz w:val="32"/>
          <w:szCs w:val="32"/>
        </w:rPr>
      </w:pPr>
      <w:r>
        <w:rPr>
          <w:rFonts w:eastAsia="黑体"/>
          <w:bCs/>
          <w:color w:val="auto"/>
          <w:sz w:val="32"/>
          <w:szCs w:val="32"/>
        </w:rPr>
        <w:br w:type="page"/>
      </w:r>
    </w:p>
    <w:p w14:paraId="1E72F106">
      <w:pPr>
        <w:widowControl/>
        <w:ind w:firstLine="640"/>
        <w:jc w:val="center"/>
        <w:rPr>
          <w:rFonts w:eastAsia="黑体"/>
          <w:bCs/>
          <w:color w:val="auto"/>
          <w:sz w:val="32"/>
          <w:szCs w:val="32"/>
        </w:rPr>
      </w:pPr>
      <w:r>
        <w:rPr>
          <w:rFonts w:hint="eastAsia" w:eastAsia="黑体"/>
          <w:bCs/>
          <w:color w:val="auto"/>
          <w:sz w:val="32"/>
          <w:szCs w:val="32"/>
        </w:rPr>
        <w:t>无重大违法记录声明</w:t>
      </w:r>
    </w:p>
    <w:p w14:paraId="27955794">
      <w:pPr>
        <w:spacing w:line="460" w:lineRule="exact"/>
        <w:ind w:left="2330" w:leftChars="832" w:firstLine="560"/>
        <w:jc w:val="center"/>
        <w:rPr>
          <w:rFonts w:ascii="仿宋_GB2312" w:hAnsi="仿宋"/>
          <w:bCs/>
          <w:color w:val="auto"/>
          <w:szCs w:val="28"/>
        </w:rPr>
      </w:pPr>
    </w:p>
    <w:p w14:paraId="070F9B27">
      <w:pPr>
        <w:spacing w:line="480" w:lineRule="auto"/>
        <w:ind w:firstLine="560"/>
        <w:rPr>
          <w:rFonts w:ascii="仿宋_GB2312" w:hAnsi="仿宋"/>
          <w:bCs/>
          <w:color w:val="auto"/>
          <w:szCs w:val="28"/>
        </w:rPr>
      </w:pPr>
      <w:r>
        <w:rPr>
          <w:rFonts w:hint="eastAsia" w:ascii="仿宋_GB2312" w:hAnsi="仿宋"/>
          <w:bCs/>
          <w:color w:val="auto"/>
          <w:szCs w:val="28"/>
        </w:rPr>
        <w:t xml:space="preserve"> 乳山市方正房地产测绘中心：</w:t>
      </w:r>
    </w:p>
    <w:p w14:paraId="04C9189E">
      <w:pPr>
        <w:spacing w:line="480" w:lineRule="auto"/>
        <w:ind w:firstLine="560"/>
        <w:rPr>
          <w:rFonts w:ascii="仿宋_GB2312" w:hAnsi="仿宋"/>
          <w:bCs/>
          <w:color w:val="auto"/>
          <w:szCs w:val="28"/>
        </w:rPr>
      </w:pPr>
      <w:r>
        <w:rPr>
          <w:rFonts w:hint="eastAsia" w:ascii="仿宋_GB2312" w:hAnsi="仿宋"/>
          <w:bCs/>
          <w:color w:val="auto"/>
          <w:szCs w:val="28"/>
        </w:rPr>
        <w:t>我公司（公司名称）现郑重声明，自参加本项目（编号为</w:t>
      </w:r>
      <w:r>
        <w:rPr>
          <w:rFonts w:hint="eastAsia" w:ascii="仿宋_GB2312" w:hAnsi="仿宋"/>
          <w:bCs/>
          <w:color w:val="auto"/>
          <w:szCs w:val="28"/>
          <w:lang w:eastAsia="zh-CN"/>
        </w:rPr>
        <w:t>SDGP371083000202402000114</w:t>
      </w:r>
      <w:r>
        <w:rPr>
          <w:rFonts w:hint="eastAsia" w:ascii="仿宋_GB2312" w:hAnsi="仿宋"/>
          <w:bCs/>
          <w:color w:val="auto"/>
          <w:szCs w:val="28"/>
        </w:rPr>
        <w:t>）政府采购活动前三年内，我公司无因违法经营受到刑事处罚或者责令停产停业的、吊销许可证或者执照的、较大数额罚款等行政处罚。</w:t>
      </w:r>
    </w:p>
    <w:p w14:paraId="4F21118E">
      <w:pPr>
        <w:spacing w:line="480" w:lineRule="auto"/>
        <w:ind w:firstLine="560"/>
        <w:rPr>
          <w:rFonts w:ascii="仿宋_GB2312" w:hAnsi="仿宋"/>
          <w:bCs/>
          <w:color w:val="auto"/>
          <w:szCs w:val="28"/>
        </w:rPr>
      </w:pPr>
      <w:r>
        <w:rPr>
          <w:rFonts w:hint="eastAsia" w:ascii="仿宋_GB2312" w:hAnsi="仿宋"/>
          <w:bCs/>
          <w:color w:val="auto"/>
          <w:szCs w:val="28"/>
        </w:rPr>
        <w:t>如有瞒报、虚报，我公司自行承担因此产生的所有法律责任。</w:t>
      </w:r>
    </w:p>
    <w:p w14:paraId="4BA7BDE6">
      <w:pPr>
        <w:spacing w:line="480" w:lineRule="auto"/>
        <w:ind w:firstLine="560"/>
        <w:rPr>
          <w:rFonts w:ascii="仿宋_GB2312" w:hAnsi="仿宋"/>
          <w:bCs/>
          <w:color w:val="auto"/>
          <w:szCs w:val="28"/>
        </w:rPr>
      </w:pPr>
      <w:r>
        <w:rPr>
          <w:rFonts w:hint="eastAsia" w:ascii="仿宋_GB2312" w:hAnsi="仿宋"/>
          <w:bCs/>
          <w:color w:val="auto"/>
          <w:szCs w:val="28"/>
        </w:rPr>
        <w:t>特此声明！</w:t>
      </w:r>
    </w:p>
    <w:p w14:paraId="72D1978C">
      <w:pPr>
        <w:spacing w:line="480" w:lineRule="auto"/>
        <w:ind w:left="2330" w:leftChars="832" w:firstLine="560"/>
        <w:rPr>
          <w:rFonts w:ascii="仿宋_GB2312" w:hAnsi="仿宋"/>
          <w:bCs/>
          <w:color w:val="auto"/>
          <w:szCs w:val="28"/>
        </w:rPr>
      </w:pPr>
    </w:p>
    <w:p w14:paraId="0D04EC92">
      <w:pPr>
        <w:spacing w:line="480" w:lineRule="auto"/>
        <w:ind w:left="2330" w:leftChars="832" w:firstLine="560"/>
        <w:rPr>
          <w:rFonts w:ascii="仿宋_GB2312" w:hAnsi="仿宋"/>
          <w:bCs/>
          <w:color w:val="auto"/>
          <w:szCs w:val="28"/>
        </w:rPr>
      </w:pPr>
    </w:p>
    <w:p w14:paraId="702DB689">
      <w:pPr>
        <w:spacing w:line="480" w:lineRule="auto"/>
        <w:ind w:left="2330" w:leftChars="832" w:firstLine="560"/>
        <w:rPr>
          <w:rFonts w:ascii="仿宋_GB2312" w:hAnsi="仿宋"/>
          <w:bCs/>
          <w:color w:val="auto"/>
          <w:szCs w:val="28"/>
        </w:rPr>
      </w:pPr>
    </w:p>
    <w:p w14:paraId="701FDBBD">
      <w:pPr>
        <w:tabs>
          <w:tab w:val="left" w:pos="5580"/>
        </w:tabs>
        <w:wordWrap w:val="0"/>
        <w:ind w:firstLine="560"/>
        <w:jc w:val="right"/>
        <w:rPr>
          <w:rFonts w:ascii="仿宋_GB2312" w:hAnsi="宋体"/>
          <w:color w:val="auto"/>
          <w:kern w:val="0"/>
          <w:szCs w:val="28"/>
        </w:rPr>
      </w:pPr>
      <w:r>
        <w:rPr>
          <w:rFonts w:hint="eastAsia" w:ascii="仿宋_GB2312"/>
          <w:color w:val="auto"/>
          <w:kern w:val="0"/>
          <w:szCs w:val="28"/>
        </w:rPr>
        <w:t xml:space="preserve">供应商全称（公章）：          </w:t>
      </w:r>
    </w:p>
    <w:p w14:paraId="660EF3F4">
      <w:pPr>
        <w:tabs>
          <w:tab w:val="left" w:pos="5580"/>
        </w:tabs>
        <w:ind w:firstLine="4132" w:firstLineChars="1476"/>
        <w:jc w:val="right"/>
        <w:rPr>
          <w:rFonts w:ascii="仿宋_GB2312"/>
          <w:color w:val="auto"/>
          <w:kern w:val="0"/>
          <w:szCs w:val="28"/>
        </w:rPr>
      </w:pPr>
    </w:p>
    <w:p w14:paraId="26CBEDE3">
      <w:pPr>
        <w:tabs>
          <w:tab w:val="left" w:pos="5580"/>
        </w:tabs>
        <w:wordWrap w:val="0"/>
        <w:ind w:firstLine="560"/>
        <w:jc w:val="right"/>
        <w:rPr>
          <w:rFonts w:ascii="仿宋_GB2312"/>
          <w:color w:val="auto"/>
          <w:kern w:val="0"/>
          <w:szCs w:val="28"/>
        </w:rPr>
      </w:pPr>
      <w:r>
        <w:rPr>
          <w:rFonts w:hint="eastAsia" w:ascii="仿宋_GB2312" w:hAnsi="仿宋"/>
          <w:bCs/>
          <w:color w:val="auto"/>
          <w:kern w:val="0"/>
          <w:szCs w:val="28"/>
        </w:rPr>
        <w:t>法定代表人签章</w:t>
      </w:r>
      <w:r>
        <w:rPr>
          <w:rFonts w:ascii="仿宋_GB2312"/>
          <w:color w:val="auto"/>
          <w:kern w:val="0"/>
          <w:szCs w:val="28"/>
        </w:rPr>
        <w:t>：</w:t>
      </w:r>
    </w:p>
    <w:p w14:paraId="440E81A8">
      <w:pPr>
        <w:tabs>
          <w:tab w:val="left" w:pos="5580"/>
        </w:tabs>
        <w:ind w:firstLine="4132" w:firstLineChars="1476"/>
        <w:rPr>
          <w:rFonts w:ascii="仿宋_GB2312"/>
          <w:color w:val="auto"/>
          <w:kern w:val="0"/>
          <w:szCs w:val="28"/>
        </w:rPr>
      </w:pPr>
    </w:p>
    <w:p w14:paraId="1BD09F4F">
      <w:pPr>
        <w:widowControl/>
        <w:ind w:firstLine="560"/>
        <w:jc w:val="right"/>
        <w:rPr>
          <w:rFonts w:ascii="宋体" w:hAnsi="宋体"/>
          <w:color w:val="auto"/>
          <w:kern w:val="0"/>
          <w:szCs w:val="28"/>
        </w:rPr>
      </w:pPr>
      <w:r>
        <w:rPr>
          <w:rFonts w:hint="eastAsia" w:ascii="仿宋_GB2312"/>
          <w:color w:val="auto"/>
          <w:szCs w:val="28"/>
        </w:rPr>
        <w:t>年月日</w:t>
      </w:r>
    </w:p>
    <w:p w14:paraId="5C4AC0C6">
      <w:pPr>
        <w:widowControl/>
        <w:spacing w:line="240" w:lineRule="auto"/>
        <w:ind w:firstLine="0" w:firstLineChars="0"/>
        <w:jc w:val="left"/>
        <w:rPr>
          <w:rFonts w:eastAsia="黑体"/>
          <w:bCs/>
          <w:color w:val="auto"/>
          <w:sz w:val="32"/>
          <w:szCs w:val="32"/>
        </w:rPr>
      </w:pPr>
      <w:r>
        <w:rPr>
          <w:rFonts w:eastAsia="黑体"/>
          <w:bCs/>
          <w:color w:val="auto"/>
          <w:sz w:val="32"/>
          <w:szCs w:val="32"/>
        </w:rPr>
        <w:br w:type="page"/>
      </w:r>
    </w:p>
    <w:p w14:paraId="0B59F811">
      <w:pPr>
        <w:keepNext/>
        <w:keepLines/>
        <w:spacing w:before="120" w:after="120" w:line="560" w:lineRule="exact"/>
        <w:ind w:firstLine="640"/>
        <w:jc w:val="center"/>
        <w:outlineLvl w:val="2"/>
        <w:rPr>
          <w:rFonts w:eastAsia="黑体"/>
          <w:bCs/>
          <w:color w:val="auto"/>
          <w:sz w:val="32"/>
          <w:szCs w:val="32"/>
        </w:rPr>
      </w:pPr>
      <w:r>
        <w:rPr>
          <w:rFonts w:hint="eastAsia" w:eastAsia="黑体"/>
          <w:bCs/>
          <w:color w:val="auto"/>
          <w:sz w:val="32"/>
          <w:szCs w:val="32"/>
        </w:rPr>
        <w:t>财务状况报告等相关材料</w:t>
      </w:r>
    </w:p>
    <w:p w14:paraId="6FE835BB">
      <w:pPr>
        <w:ind w:firstLine="560"/>
        <w:jc w:val="center"/>
        <w:rPr>
          <w:rFonts w:ascii="仿宋_GB2312"/>
          <w:color w:val="auto"/>
          <w:szCs w:val="28"/>
        </w:rPr>
      </w:pPr>
      <w:r>
        <w:rPr>
          <w:rFonts w:hint="eastAsia" w:ascii="仿宋_GB2312"/>
          <w:color w:val="auto"/>
          <w:szCs w:val="28"/>
        </w:rPr>
        <w:t>（加盖供应商公章）</w:t>
      </w:r>
    </w:p>
    <w:p w14:paraId="1534B8BB">
      <w:pPr>
        <w:ind w:firstLine="560"/>
        <w:rPr>
          <w:color w:val="auto"/>
        </w:rPr>
      </w:pPr>
    </w:p>
    <w:p w14:paraId="3F2BD233">
      <w:pPr>
        <w:ind w:firstLine="560"/>
        <w:rPr>
          <w:color w:val="auto"/>
        </w:rPr>
      </w:pPr>
    </w:p>
    <w:p w14:paraId="744F0FE0">
      <w:pPr>
        <w:keepNext/>
        <w:keepLines/>
        <w:spacing w:before="120" w:after="120" w:line="560" w:lineRule="exact"/>
        <w:ind w:firstLine="560"/>
        <w:jc w:val="center"/>
        <w:outlineLvl w:val="2"/>
        <w:rPr>
          <w:rFonts w:eastAsia="黑体"/>
          <w:bCs/>
          <w:color w:val="auto"/>
          <w:sz w:val="32"/>
          <w:szCs w:val="32"/>
        </w:rPr>
      </w:pPr>
      <w:r>
        <w:rPr>
          <w:color w:val="auto"/>
        </w:rPr>
        <w:br w:type="page"/>
      </w:r>
      <w:r>
        <w:rPr>
          <w:rFonts w:hint="eastAsia" w:eastAsia="黑体"/>
          <w:bCs/>
          <w:color w:val="auto"/>
          <w:sz w:val="32"/>
          <w:szCs w:val="32"/>
        </w:rPr>
        <w:t>供应商具有履行合同所必需的设备和专业技术能力承诺函</w:t>
      </w:r>
    </w:p>
    <w:p w14:paraId="3A521E4C">
      <w:pPr>
        <w:ind w:firstLine="560"/>
        <w:jc w:val="center"/>
        <w:rPr>
          <w:rFonts w:ascii="宋体" w:hAnsi="宋体"/>
          <w:color w:val="auto"/>
          <w:kern w:val="0"/>
          <w:szCs w:val="28"/>
        </w:rPr>
      </w:pPr>
      <w:r>
        <w:rPr>
          <w:rFonts w:hint="eastAsia" w:ascii="仿宋_GB2312"/>
          <w:color w:val="auto"/>
          <w:szCs w:val="28"/>
        </w:rPr>
        <w:t>（格式自拟，加盖供应商公章）</w:t>
      </w:r>
    </w:p>
    <w:p w14:paraId="063DCFCD">
      <w:pPr>
        <w:widowControl/>
        <w:spacing w:line="240" w:lineRule="auto"/>
        <w:ind w:firstLine="0" w:firstLineChars="0"/>
        <w:jc w:val="left"/>
        <w:rPr>
          <w:rFonts w:ascii="仿宋_GB2312" w:hAnsi="宋体"/>
          <w:color w:val="auto"/>
          <w:sz w:val="22"/>
          <w:szCs w:val="28"/>
        </w:rPr>
      </w:pPr>
      <w:r>
        <w:rPr>
          <w:rFonts w:ascii="仿宋_GB2312" w:hAnsi="宋体"/>
          <w:color w:val="auto"/>
          <w:sz w:val="22"/>
          <w:szCs w:val="28"/>
        </w:rPr>
        <w:br w:type="page"/>
      </w:r>
    </w:p>
    <w:p w14:paraId="4A0126A1">
      <w:pPr>
        <w:ind w:firstLine="440"/>
        <w:jc w:val="right"/>
        <w:rPr>
          <w:rFonts w:ascii="宋体" w:hAnsi="宋体" w:cs="宋体"/>
          <w:color w:val="auto"/>
          <w:sz w:val="44"/>
          <w:szCs w:val="44"/>
        </w:rPr>
      </w:pPr>
      <w:r>
        <w:rPr>
          <w:rFonts w:hint="eastAsia" w:ascii="仿宋_GB2312" w:hAnsi="宋体"/>
          <w:color w:val="auto"/>
          <w:sz w:val="22"/>
          <w:szCs w:val="28"/>
        </w:rPr>
        <w:t>如中标（成交），随中标（成交）公告公示</w:t>
      </w:r>
    </w:p>
    <w:p w14:paraId="340C1340">
      <w:pPr>
        <w:ind w:firstLine="880"/>
        <w:jc w:val="center"/>
        <w:rPr>
          <w:rFonts w:ascii="宋体" w:hAnsi="宋体" w:cs="宋体"/>
          <w:color w:val="auto"/>
          <w:sz w:val="44"/>
          <w:szCs w:val="44"/>
        </w:rPr>
      </w:pPr>
    </w:p>
    <w:p w14:paraId="311C2ADD">
      <w:pPr>
        <w:ind w:firstLine="880"/>
        <w:jc w:val="center"/>
        <w:rPr>
          <w:rFonts w:ascii="宋体" w:hAnsi="宋体" w:cs="宋体"/>
          <w:color w:val="auto"/>
          <w:sz w:val="44"/>
          <w:szCs w:val="44"/>
        </w:rPr>
      </w:pPr>
      <w:r>
        <w:rPr>
          <w:rFonts w:hint="eastAsia" w:ascii="宋体" w:hAnsi="宋体" w:cs="宋体"/>
          <w:color w:val="auto"/>
          <w:sz w:val="44"/>
          <w:szCs w:val="44"/>
        </w:rPr>
        <w:t>中小企业声明函</w:t>
      </w:r>
    </w:p>
    <w:p w14:paraId="62DD5276">
      <w:pPr>
        <w:ind w:firstLine="880"/>
        <w:jc w:val="center"/>
        <w:rPr>
          <w:rFonts w:ascii="宋体" w:hAnsi="宋体" w:cs="宋体"/>
          <w:color w:val="auto"/>
          <w:sz w:val="44"/>
          <w:szCs w:val="44"/>
        </w:rPr>
      </w:pPr>
    </w:p>
    <w:p w14:paraId="54C446F7">
      <w:pPr>
        <w:pStyle w:val="18"/>
        <w:autoSpaceDE w:val="0"/>
        <w:autoSpaceDN w:val="0"/>
        <w:spacing w:before="14" w:line="520" w:lineRule="exact"/>
        <w:ind w:right="415" w:firstLine="472"/>
        <w:rPr>
          <w:rFonts w:ascii="仿宋_GB2312" w:hAnsi="仿宋" w:cs="仿宋"/>
          <w:color w:val="auto"/>
        </w:rPr>
      </w:pPr>
      <w:r>
        <w:rPr>
          <w:rFonts w:hint="eastAsia" w:ascii="仿宋_GB2312" w:hAnsi="仿宋" w:cs="仿宋"/>
          <w:color w:val="auto"/>
          <w:spacing w:val="-2"/>
        </w:rPr>
        <w:t>本公司</w:t>
      </w:r>
      <w:r>
        <w:rPr>
          <w:rFonts w:hint="eastAsia" w:ascii="仿宋_GB2312" w:hAnsi="仿宋" w:cs="仿宋"/>
          <w:color w:val="auto"/>
        </w:rPr>
        <w:t>（联合体</w:t>
      </w:r>
      <w:r>
        <w:rPr>
          <w:rFonts w:hint="eastAsia" w:ascii="仿宋_GB2312" w:hAnsi="仿宋" w:cs="仿宋"/>
          <w:color w:val="auto"/>
          <w:spacing w:val="-5"/>
        </w:rPr>
        <w:t>）</w:t>
      </w:r>
      <w:r>
        <w:rPr>
          <w:rFonts w:hint="eastAsia" w:ascii="仿宋_GB2312" w:hAnsi="仿宋" w:cs="仿宋"/>
          <w:color w:val="auto"/>
          <w:spacing w:val="-2"/>
        </w:rPr>
        <w:t>郑重声明，根据《政府采购促进中小</w:t>
      </w:r>
      <w:r>
        <w:rPr>
          <w:rFonts w:hint="eastAsia" w:ascii="仿宋_GB2312" w:hAnsi="仿宋" w:cs="仿宋"/>
          <w:color w:val="auto"/>
          <w:spacing w:val="-18"/>
        </w:rPr>
        <w:t>企业发展管理办法》</w:t>
      </w:r>
      <w:r>
        <w:rPr>
          <w:rFonts w:hint="eastAsia" w:ascii="仿宋_GB2312" w:hAnsi="仿宋" w:cs="仿宋"/>
          <w:color w:val="auto"/>
        </w:rPr>
        <w:t>（</w:t>
      </w:r>
      <w:r>
        <w:rPr>
          <w:rFonts w:hint="eastAsia" w:ascii="仿宋_GB2312" w:hAnsi="仿宋" w:cs="仿宋"/>
          <w:color w:val="auto"/>
          <w:spacing w:val="5"/>
        </w:rPr>
        <w:t>财库</w:t>
      </w:r>
      <w:r>
        <w:rPr>
          <w:rFonts w:hint="eastAsia" w:ascii="仿宋_GB2312" w:hAnsi="仿宋" w:eastAsia="仿宋" w:cs="仿宋"/>
          <w:color w:val="auto"/>
        </w:rPr>
        <w:t>﹝</w:t>
      </w:r>
      <w:r>
        <w:rPr>
          <w:rFonts w:hint="eastAsia" w:ascii="仿宋_GB2312" w:hAnsi="仿宋" w:cs="仿宋"/>
          <w:color w:val="auto"/>
        </w:rPr>
        <w:t>2020</w:t>
      </w:r>
      <w:r>
        <w:rPr>
          <w:rFonts w:hint="eastAsia" w:ascii="仿宋_GB2312" w:hAnsi="仿宋" w:eastAsia="仿宋" w:cs="仿宋"/>
          <w:color w:val="auto"/>
        </w:rPr>
        <w:t>﹞</w:t>
      </w:r>
      <w:r>
        <w:rPr>
          <w:rFonts w:hint="eastAsia" w:ascii="仿宋_GB2312" w:hAnsi="仿宋" w:cs="仿宋"/>
          <w:color w:val="auto"/>
        </w:rPr>
        <w:t>46</w:t>
      </w:r>
      <w:r>
        <w:rPr>
          <w:rFonts w:hint="eastAsia" w:ascii="仿宋_GB2312" w:hAnsi="仿宋" w:cs="仿宋"/>
          <w:color w:val="auto"/>
          <w:spacing w:val="28"/>
        </w:rPr>
        <w:t>号</w:t>
      </w:r>
      <w:r>
        <w:rPr>
          <w:rFonts w:hint="eastAsia" w:ascii="仿宋_GB2312" w:hAnsi="仿宋" w:cs="仿宋"/>
          <w:color w:val="auto"/>
          <w:spacing w:val="5"/>
        </w:rPr>
        <w:t>）</w:t>
      </w:r>
      <w:r>
        <w:rPr>
          <w:rFonts w:hint="eastAsia" w:ascii="仿宋_GB2312" w:hAnsi="仿宋" w:cs="仿宋"/>
          <w:color w:val="auto"/>
        </w:rPr>
        <w:t>的规定，本公司（联合体）</w:t>
      </w:r>
      <w:r>
        <w:rPr>
          <w:rFonts w:hint="eastAsia" w:ascii="仿宋_GB2312" w:hAnsi="仿宋" w:cs="仿宋"/>
          <w:color w:val="auto"/>
          <w:spacing w:val="-8"/>
        </w:rPr>
        <w:t>参加</w:t>
      </w:r>
      <w:r>
        <w:rPr>
          <w:rFonts w:hint="eastAsia" w:ascii="仿宋_GB2312" w:hAnsi="仿宋" w:cs="仿宋"/>
          <w:color w:val="auto"/>
          <w:spacing w:val="-8"/>
          <w:u w:val="single"/>
        </w:rPr>
        <w:t>（单位名称）</w:t>
      </w:r>
      <w:r>
        <w:rPr>
          <w:rFonts w:hint="eastAsia" w:ascii="仿宋_GB2312" w:hAnsi="仿宋" w:cs="仿宋"/>
          <w:color w:val="auto"/>
          <w:spacing w:val="-8"/>
        </w:rPr>
        <w:t>的</w:t>
      </w:r>
      <w:r>
        <w:rPr>
          <w:rFonts w:hint="eastAsia" w:ascii="仿宋_GB2312" w:hAnsi="仿宋" w:cs="仿宋"/>
          <w:color w:val="auto"/>
          <w:spacing w:val="-8"/>
          <w:u w:val="single"/>
        </w:rPr>
        <w:t>（项目名称）</w:t>
      </w:r>
      <w:r>
        <w:rPr>
          <w:rFonts w:hint="eastAsia" w:ascii="仿宋_GB2312" w:hAnsi="仿宋" w:cs="仿宋"/>
          <w:color w:val="auto"/>
          <w:spacing w:val="-1"/>
        </w:rPr>
        <w:t>采购活动，工程的施工单位全部为符合政策要求的中小企业。</w:t>
      </w:r>
      <w:r>
        <w:rPr>
          <w:rFonts w:hint="eastAsia" w:ascii="仿宋_GB2312" w:hAnsi="仿宋" w:cs="仿宋"/>
          <w:color w:val="auto"/>
          <w:spacing w:val="6"/>
          <w:w w:val="95"/>
        </w:rPr>
        <w:t>相关企业</w:t>
      </w:r>
      <w:r>
        <w:rPr>
          <w:rFonts w:hint="eastAsia" w:ascii="仿宋_GB2312" w:hAnsi="仿宋" w:cs="仿宋"/>
          <w:color w:val="auto"/>
          <w:spacing w:val="7"/>
          <w:w w:val="95"/>
        </w:rPr>
        <w:t>（</w:t>
      </w:r>
      <w:r>
        <w:rPr>
          <w:rFonts w:hint="eastAsia" w:ascii="仿宋_GB2312" w:hAnsi="仿宋" w:cs="仿宋"/>
          <w:color w:val="auto"/>
          <w:spacing w:val="4"/>
          <w:w w:val="95"/>
        </w:rPr>
        <w:t>含联合</w:t>
      </w:r>
      <w:r>
        <w:rPr>
          <w:rFonts w:hint="eastAsia" w:ascii="仿宋_GB2312" w:hAnsi="仿宋" w:cs="仿宋"/>
          <w:color w:val="auto"/>
        </w:rPr>
        <w:t>体中的中小企业、签订分包意向协议的中小企业</w:t>
      </w:r>
      <w:r>
        <w:rPr>
          <w:rFonts w:hint="eastAsia" w:ascii="仿宋_GB2312" w:hAnsi="仿宋" w:cs="仿宋"/>
          <w:color w:val="auto"/>
          <w:spacing w:val="-7"/>
        </w:rPr>
        <w:t>）</w:t>
      </w:r>
      <w:r>
        <w:rPr>
          <w:rFonts w:hint="eastAsia" w:ascii="仿宋_GB2312" w:hAnsi="仿宋" w:cs="仿宋"/>
          <w:color w:val="auto"/>
        </w:rPr>
        <w:t>的具体情况如下：</w:t>
      </w:r>
    </w:p>
    <w:p w14:paraId="527194C1">
      <w:pPr>
        <w:pStyle w:val="18"/>
        <w:autoSpaceDE w:val="0"/>
        <w:autoSpaceDN w:val="0"/>
        <w:spacing w:before="14" w:line="520" w:lineRule="exact"/>
        <w:ind w:right="415" w:firstLine="480"/>
        <w:rPr>
          <w:rFonts w:ascii="仿宋_GB2312" w:hAnsi="仿宋" w:cs="仿宋"/>
          <w:color w:val="auto"/>
        </w:rPr>
      </w:pPr>
      <w:r>
        <w:rPr>
          <w:rFonts w:hint="eastAsia" w:ascii="仿宋_GB2312" w:hAnsi="仿宋" w:cs="仿宋"/>
          <w:color w:val="auto"/>
        </w:rPr>
        <w:t>1.</w:t>
      </w:r>
      <w:r>
        <w:rPr>
          <w:rFonts w:hint="eastAsia" w:ascii="仿宋_GB2312" w:hAnsi="仿宋" w:cs="仿宋"/>
          <w:color w:val="auto"/>
          <w:spacing w:val="-3"/>
          <w:u w:val="single"/>
        </w:rPr>
        <w:t>（标的名称）</w:t>
      </w:r>
      <w:r>
        <w:rPr>
          <w:rFonts w:hint="eastAsia" w:ascii="仿宋_GB2312" w:hAnsi="仿宋" w:cs="仿宋"/>
          <w:color w:val="auto"/>
          <w:spacing w:val="-3"/>
        </w:rPr>
        <w:t>，属于</w:t>
      </w:r>
      <w:r>
        <w:rPr>
          <w:rFonts w:hint="eastAsia" w:ascii="仿宋_GB2312" w:hAnsi="仿宋" w:cs="仿宋"/>
          <w:color w:val="auto"/>
          <w:spacing w:val="-3"/>
          <w:u w:val="single"/>
        </w:rPr>
        <w:t>（采购文件中明确的所属行业）</w:t>
      </w:r>
      <w:r>
        <w:rPr>
          <w:rFonts w:hint="eastAsia" w:ascii="仿宋_GB2312" w:hAnsi="仿宋" w:cs="仿宋"/>
          <w:color w:val="auto"/>
          <w:spacing w:val="-3"/>
        </w:rPr>
        <w:t>；承建企业为</w:t>
      </w:r>
      <w:r>
        <w:rPr>
          <w:rFonts w:hint="eastAsia" w:ascii="仿宋_GB2312" w:hAnsi="仿宋" w:cs="仿宋"/>
          <w:color w:val="auto"/>
          <w:spacing w:val="-3"/>
          <w:u w:val="single"/>
        </w:rPr>
        <w:t>（企业名称）</w:t>
      </w:r>
      <w:r>
        <w:rPr>
          <w:rFonts w:hint="eastAsia" w:ascii="仿宋_GB2312" w:hAnsi="仿宋" w:cs="仿宋"/>
          <w:color w:val="auto"/>
          <w:spacing w:val="-3"/>
        </w:rPr>
        <w:t>，从业人员人，营业收入为万元，资产总额为万</w:t>
      </w:r>
      <w:r>
        <w:rPr>
          <w:rFonts w:hint="eastAsia" w:ascii="仿宋_GB2312" w:hAnsi="仿宋" w:cs="仿宋"/>
          <w:color w:val="auto"/>
          <w:spacing w:val="2"/>
          <w:w w:val="99"/>
        </w:rPr>
        <w:t>元</w:t>
      </w:r>
      <w:r>
        <w:rPr>
          <w:rFonts w:hint="eastAsia" w:ascii="仿宋_GB2312" w:hAnsi="仿宋" w:cs="仿宋"/>
          <w:color w:val="auto"/>
          <w:spacing w:val="2"/>
          <w:w w:val="99"/>
          <w:vertAlign w:val="superscript"/>
        </w:rPr>
        <w:t>1</w:t>
      </w:r>
      <w:r>
        <w:rPr>
          <w:rFonts w:hint="eastAsia" w:ascii="仿宋_GB2312" w:hAnsi="仿宋" w:cs="仿宋"/>
          <w:color w:val="auto"/>
          <w:spacing w:val="2"/>
          <w:w w:val="99"/>
        </w:rPr>
        <w:t>,属于</w:t>
      </w:r>
      <w:r>
        <w:rPr>
          <w:rFonts w:hint="eastAsia" w:ascii="仿宋_GB2312" w:hAnsi="仿宋" w:cs="仿宋"/>
          <w:color w:val="auto"/>
          <w:spacing w:val="2"/>
          <w:w w:val="99"/>
          <w:u w:val="single"/>
        </w:rPr>
        <w:t>（中型企业、小型企业、微型企业）</w:t>
      </w:r>
      <w:r>
        <w:rPr>
          <w:rFonts w:hint="eastAsia" w:ascii="仿宋_GB2312" w:hAnsi="仿宋" w:cs="仿宋"/>
          <w:color w:val="auto"/>
          <w:spacing w:val="2"/>
          <w:w w:val="99"/>
        </w:rPr>
        <w:t>；</w:t>
      </w:r>
    </w:p>
    <w:p w14:paraId="19F8325F">
      <w:pPr>
        <w:pStyle w:val="18"/>
        <w:autoSpaceDE w:val="0"/>
        <w:autoSpaceDN w:val="0"/>
        <w:spacing w:before="14" w:line="520" w:lineRule="exact"/>
        <w:ind w:right="415" w:firstLine="468"/>
        <w:rPr>
          <w:rFonts w:ascii="仿宋_GB2312" w:hAnsi="仿宋" w:cs="仿宋"/>
          <w:color w:val="auto"/>
        </w:rPr>
      </w:pPr>
      <w:r>
        <w:rPr>
          <w:rFonts w:hint="eastAsia" w:ascii="仿宋_GB2312" w:hAnsi="仿宋" w:cs="仿宋"/>
          <w:color w:val="auto"/>
          <w:spacing w:val="-3"/>
          <w:u w:val="single"/>
        </w:rPr>
        <w:t>2.（标的名称）</w:t>
      </w:r>
      <w:r>
        <w:rPr>
          <w:rFonts w:hint="eastAsia" w:ascii="仿宋_GB2312" w:hAnsi="仿宋" w:cs="仿宋"/>
          <w:color w:val="auto"/>
          <w:spacing w:val="-3"/>
        </w:rPr>
        <w:t>，属于</w:t>
      </w:r>
      <w:r>
        <w:rPr>
          <w:rFonts w:hint="eastAsia" w:ascii="仿宋_GB2312" w:hAnsi="仿宋" w:cs="仿宋"/>
          <w:color w:val="auto"/>
          <w:spacing w:val="-3"/>
          <w:u w:val="single"/>
        </w:rPr>
        <w:t>（采购文件中明确的所属行业）</w:t>
      </w:r>
      <w:r>
        <w:rPr>
          <w:rFonts w:hint="eastAsia" w:ascii="仿宋_GB2312" w:hAnsi="仿宋" w:cs="仿宋"/>
          <w:color w:val="auto"/>
          <w:spacing w:val="-3"/>
        </w:rPr>
        <w:t>；承建企业为</w:t>
      </w:r>
      <w:r>
        <w:rPr>
          <w:rFonts w:hint="eastAsia" w:ascii="仿宋_GB2312" w:hAnsi="仿宋" w:cs="仿宋"/>
          <w:color w:val="auto"/>
          <w:spacing w:val="-3"/>
          <w:u w:val="single"/>
        </w:rPr>
        <w:t>（企业名称）</w:t>
      </w:r>
      <w:r>
        <w:rPr>
          <w:rFonts w:hint="eastAsia" w:ascii="仿宋_GB2312" w:hAnsi="仿宋" w:cs="仿宋"/>
          <w:color w:val="auto"/>
          <w:spacing w:val="-3"/>
        </w:rPr>
        <w:t>，从业人员人，营业收入为万元，资产总额为万</w:t>
      </w:r>
      <w:r>
        <w:rPr>
          <w:rFonts w:hint="eastAsia" w:ascii="仿宋_GB2312" w:hAnsi="仿宋" w:cs="仿宋"/>
          <w:color w:val="auto"/>
          <w:spacing w:val="2"/>
          <w:w w:val="99"/>
        </w:rPr>
        <w:t>元</w:t>
      </w:r>
      <w:r>
        <w:rPr>
          <w:rFonts w:hint="eastAsia" w:ascii="仿宋_GB2312" w:hAnsi="仿宋" w:cs="仿宋"/>
          <w:color w:val="auto"/>
          <w:spacing w:val="2"/>
          <w:w w:val="99"/>
          <w:vertAlign w:val="superscript"/>
        </w:rPr>
        <w:t>1</w:t>
      </w:r>
      <w:r>
        <w:rPr>
          <w:rFonts w:hint="eastAsia" w:ascii="仿宋_GB2312" w:hAnsi="仿宋" w:cs="仿宋"/>
          <w:color w:val="auto"/>
          <w:spacing w:val="2"/>
          <w:w w:val="99"/>
        </w:rPr>
        <w:t>,属于</w:t>
      </w:r>
      <w:r>
        <w:rPr>
          <w:rFonts w:hint="eastAsia" w:ascii="仿宋_GB2312" w:hAnsi="仿宋" w:cs="仿宋"/>
          <w:color w:val="auto"/>
          <w:spacing w:val="2"/>
          <w:w w:val="99"/>
          <w:u w:val="single"/>
        </w:rPr>
        <w:t>（中型企业、小型企业、微型企业）</w:t>
      </w:r>
      <w:r>
        <w:rPr>
          <w:rFonts w:hint="eastAsia" w:ascii="仿宋_GB2312" w:hAnsi="仿宋" w:cs="仿宋"/>
          <w:color w:val="auto"/>
          <w:spacing w:val="2"/>
          <w:w w:val="99"/>
        </w:rPr>
        <w:t>；</w:t>
      </w:r>
    </w:p>
    <w:p w14:paraId="0755AC6E">
      <w:pPr>
        <w:pStyle w:val="18"/>
        <w:autoSpaceDE w:val="0"/>
        <w:autoSpaceDN w:val="0"/>
        <w:spacing w:before="30" w:line="520" w:lineRule="exact"/>
        <w:ind w:left="560" w:leftChars="200" w:right="417" w:firstLine="468"/>
        <w:rPr>
          <w:rFonts w:ascii="仿宋_GB2312" w:hAnsi="仿宋" w:cs="仿宋"/>
          <w:color w:val="auto"/>
          <w:spacing w:val="-3"/>
        </w:rPr>
      </w:pPr>
      <w:r>
        <w:rPr>
          <w:rFonts w:hint="eastAsia" w:ascii="仿宋_GB2312" w:hAnsi="仿宋" w:cs="仿宋"/>
          <w:color w:val="auto"/>
          <w:spacing w:val="-3"/>
        </w:rPr>
        <w:t>……</w:t>
      </w:r>
    </w:p>
    <w:p w14:paraId="6353ECD3">
      <w:pPr>
        <w:pStyle w:val="18"/>
        <w:autoSpaceDE w:val="0"/>
        <w:autoSpaceDN w:val="0"/>
        <w:spacing w:before="30" w:line="520" w:lineRule="exact"/>
        <w:ind w:left="560" w:leftChars="200" w:right="417" w:firstLine="468"/>
        <w:rPr>
          <w:rFonts w:ascii="仿宋_GB2312" w:hAnsi="仿宋" w:cs="仿宋"/>
          <w:color w:val="auto"/>
        </w:rPr>
      </w:pPr>
      <w:r>
        <w:rPr>
          <w:rFonts w:hint="eastAsia" w:ascii="仿宋_GB2312" w:hAnsi="仿宋" w:cs="仿宋"/>
          <w:color w:val="auto"/>
          <w:spacing w:val="-3"/>
        </w:rPr>
        <w:t>以上企业，不属于大企业的分支机构，不存在控股股东</w:t>
      </w:r>
      <w:r>
        <w:rPr>
          <w:rFonts w:hint="eastAsia" w:ascii="仿宋_GB2312" w:hAnsi="仿宋" w:cs="仿宋"/>
          <w:color w:val="auto"/>
          <w:spacing w:val="-5"/>
        </w:rPr>
        <w:t>为大企业的情形，也不存在与大企业的负责人为同一人的情形。</w:t>
      </w:r>
    </w:p>
    <w:p w14:paraId="63016819">
      <w:pPr>
        <w:pStyle w:val="18"/>
        <w:autoSpaceDE w:val="0"/>
        <w:autoSpaceDN w:val="0"/>
        <w:spacing w:line="520" w:lineRule="exact"/>
        <w:ind w:right="372" w:firstLine="480"/>
        <w:rPr>
          <w:rFonts w:ascii="仿宋_GB2312" w:hAnsi="仿宋" w:cs="仿宋"/>
          <w:color w:val="auto"/>
        </w:rPr>
      </w:pPr>
      <w:r>
        <w:rPr>
          <w:rFonts w:hint="eastAsia" w:ascii="仿宋_GB2312" w:hAnsi="仿宋" w:cs="仿宋"/>
          <w:color w:val="auto"/>
        </w:rPr>
        <w:t>本企业对上述声明内容的真实性负责。如有虚假，将依法承担相应责任。</w:t>
      </w:r>
    </w:p>
    <w:p w14:paraId="2AF5024C">
      <w:pPr>
        <w:pStyle w:val="18"/>
        <w:autoSpaceDE w:val="0"/>
        <w:autoSpaceDN w:val="0"/>
        <w:spacing w:before="14" w:line="520" w:lineRule="exact"/>
        <w:ind w:right="415" w:firstLine="3081" w:firstLineChars="1300"/>
        <w:rPr>
          <w:rFonts w:ascii="仿宋_GB2312" w:hAnsi="仿宋" w:cs="仿宋"/>
          <w:color w:val="auto"/>
          <w:spacing w:val="-8"/>
          <w:w w:val="99"/>
        </w:rPr>
      </w:pPr>
      <w:r>
        <w:rPr>
          <w:rFonts w:hint="eastAsia" w:ascii="仿宋_GB2312" w:hAnsi="仿宋" w:cs="仿宋"/>
          <w:color w:val="auto"/>
          <w:w w:val="99"/>
        </w:rPr>
        <w:t>企业名称</w:t>
      </w:r>
      <w:r>
        <w:rPr>
          <w:rFonts w:hint="eastAsia" w:ascii="仿宋_GB2312" w:hAnsi="仿宋" w:cs="仿宋"/>
          <w:color w:val="auto"/>
          <w:spacing w:val="2"/>
          <w:w w:val="99"/>
        </w:rPr>
        <w:t>（</w:t>
      </w:r>
      <w:r>
        <w:rPr>
          <w:rFonts w:hint="eastAsia" w:ascii="仿宋_GB2312" w:hAnsi="仿宋" w:cs="仿宋"/>
          <w:color w:val="auto"/>
          <w:w w:val="99"/>
        </w:rPr>
        <w:t>盖章）：</w:t>
      </w:r>
    </w:p>
    <w:p w14:paraId="73F9F349">
      <w:pPr>
        <w:pStyle w:val="18"/>
        <w:autoSpaceDE w:val="0"/>
        <w:autoSpaceDN w:val="0"/>
        <w:spacing w:before="14" w:line="520" w:lineRule="exact"/>
        <w:ind w:right="415" w:firstLine="3168" w:firstLineChars="1100"/>
        <w:rPr>
          <w:rFonts w:ascii="仿宋_GB2312" w:hAnsi="仿宋" w:cs="仿宋"/>
          <w:color w:val="auto"/>
          <w:spacing w:val="24"/>
        </w:rPr>
      </w:pPr>
      <w:r>
        <w:rPr>
          <w:rFonts w:hint="eastAsia" w:ascii="仿宋_GB2312" w:hAnsi="仿宋" w:cs="仿宋"/>
          <w:color w:val="auto"/>
          <w:spacing w:val="24"/>
        </w:rPr>
        <w:t>日期：</w:t>
      </w:r>
    </w:p>
    <w:p w14:paraId="14A6BCA2">
      <w:pPr>
        <w:pStyle w:val="18"/>
        <w:autoSpaceDE w:val="0"/>
        <w:autoSpaceDN w:val="0"/>
        <w:spacing w:before="14" w:line="520" w:lineRule="exact"/>
        <w:ind w:right="415" w:firstLine="2640" w:firstLineChars="1100"/>
        <w:rPr>
          <w:rFonts w:ascii="仿宋_GB2312" w:hAnsi="仿宋" w:cs="仿宋"/>
          <w:color w:val="auto"/>
        </w:rPr>
      </w:pPr>
    </w:p>
    <w:p w14:paraId="7F899EB7">
      <w:pPr>
        <w:pStyle w:val="30"/>
        <w:ind w:firstLine="562"/>
        <w:rPr>
          <w:b/>
          <w:color w:val="auto"/>
          <w:sz w:val="22"/>
        </w:rPr>
      </w:pPr>
      <w:r>
        <w:rPr>
          <w:rStyle w:val="76"/>
          <w:color w:val="auto"/>
        </w:rPr>
        <w:t>1.</w:t>
      </w:r>
      <w:r>
        <w:rPr>
          <w:rFonts w:hint="eastAsia"/>
          <w:b/>
          <w:color w:val="auto"/>
          <w:sz w:val="22"/>
        </w:rPr>
        <w:t>从业人员、营业收入、资产总额填报上一年度数据，无上一年度数据的新成立企业可不填报。</w:t>
      </w:r>
    </w:p>
    <w:p w14:paraId="294715FC">
      <w:pPr>
        <w:ind w:firstLine="602"/>
        <w:jc w:val="right"/>
        <w:rPr>
          <w:rFonts w:ascii="仿宋_GB2312" w:hAnsi="宋体"/>
          <w:b/>
          <w:bCs/>
          <w:color w:val="auto"/>
          <w:sz w:val="30"/>
          <w:szCs w:val="30"/>
        </w:rPr>
      </w:pPr>
    </w:p>
    <w:p w14:paraId="3D63028F">
      <w:pPr>
        <w:ind w:firstLine="640"/>
        <w:jc w:val="right"/>
        <w:rPr>
          <w:rFonts w:ascii="黑体" w:hAnsi="黑体" w:eastAsia="黑体"/>
          <w:color w:val="auto"/>
          <w:sz w:val="32"/>
          <w:szCs w:val="32"/>
        </w:rPr>
      </w:pPr>
      <w:r>
        <w:rPr>
          <w:rFonts w:ascii="仿宋_GB2312" w:hAnsi="仿宋"/>
          <w:color w:val="auto"/>
          <w:sz w:val="32"/>
          <w:szCs w:val="32"/>
        </w:rPr>
        <w:br w:type="page"/>
      </w:r>
      <w:r>
        <w:rPr>
          <w:rFonts w:hint="eastAsia" w:ascii="仿宋_GB2312" w:hAnsi="宋体"/>
          <w:color w:val="auto"/>
          <w:sz w:val="22"/>
          <w:szCs w:val="28"/>
        </w:rPr>
        <w:t>如中标（成交），随中标（成交）公告公示</w:t>
      </w:r>
    </w:p>
    <w:p w14:paraId="11A2DB73">
      <w:pPr>
        <w:ind w:firstLine="640"/>
        <w:jc w:val="center"/>
        <w:rPr>
          <w:rFonts w:ascii="黑体" w:hAnsi="黑体" w:eastAsia="黑体"/>
          <w:color w:val="auto"/>
          <w:sz w:val="32"/>
          <w:szCs w:val="32"/>
        </w:rPr>
      </w:pPr>
    </w:p>
    <w:p w14:paraId="087B73B0">
      <w:pPr>
        <w:ind w:firstLine="640"/>
        <w:jc w:val="center"/>
        <w:rPr>
          <w:rFonts w:ascii="黑体" w:hAnsi="黑体" w:eastAsia="黑体"/>
          <w:color w:val="auto"/>
          <w:sz w:val="32"/>
          <w:szCs w:val="32"/>
        </w:rPr>
      </w:pPr>
      <w:r>
        <w:rPr>
          <w:rFonts w:hint="eastAsia" w:ascii="黑体" w:hAnsi="黑体" w:eastAsia="黑体"/>
          <w:color w:val="auto"/>
          <w:sz w:val="32"/>
          <w:szCs w:val="32"/>
        </w:rPr>
        <w:t>残疾人福利性单位声明函</w:t>
      </w:r>
    </w:p>
    <w:p w14:paraId="0D3B826B">
      <w:pPr>
        <w:ind w:firstLine="640"/>
        <w:rPr>
          <w:rFonts w:ascii="仿宋_GB2312" w:hAnsi="仿宋"/>
          <w:color w:val="auto"/>
          <w:sz w:val="32"/>
          <w:szCs w:val="32"/>
        </w:rPr>
      </w:pPr>
      <w:r>
        <w:rPr>
          <w:rFonts w:hint="eastAsia" w:ascii="仿宋_GB2312" w:hAnsi="仿宋"/>
          <w:color w:val="auto"/>
          <w:sz w:val="32"/>
          <w:szCs w:val="32"/>
        </w:rPr>
        <w:t>本单位郑重声明，根据《财政部 民政部 中国残疾人联合会关于促进残疾人就业政府采购政策的通知》（财库〔2017〕 141号）的规定，本单位为符合条件的残疾人福利性单位，且本单位参加__单位的__项目采购活动提供本单位制造的货物（由本单位承担工程/提供服务），或者提供其他残疾人福利性单位制造的货物（不包括使用非残疾人福利性单位注册商标的货物）。</w:t>
      </w:r>
    </w:p>
    <w:p w14:paraId="7EFD6B4F">
      <w:pPr>
        <w:ind w:firstLine="640"/>
        <w:rPr>
          <w:rFonts w:ascii="仿宋_GB2312" w:hAnsi="仿宋"/>
          <w:color w:val="auto"/>
          <w:sz w:val="32"/>
          <w:szCs w:val="32"/>
        </w:rPr>
      </w:pPr>
      <w:r>
        <w:rPr>
          <w:rFonts w:hint="eastAsia" w:ascii="仿宋_GB2312" w:hAnsi="仿宋"/>
          <w:color w:val="auto"/>
          <w:sz w:val="32"/>
          <w:szCs w:val="32"/>
        </w:rPr>
        <w:t>本单位对上述声明的真实性负责。如有虚假，将依法承担相应责任。</w:t>
      </w:r>
    </w:p>
    <w:p w14:paraId="76FA6D9B">
      <w:pPr>
        <w:ind w:firstLine="640"/>
        <w:rPr>
          <w:rFonts w:ascii="仿宋_GB2312" w:hAnsi="仿宋"/>
          <w:color w:val="auto"/>
          <w:sz w:val="32"/>
          <w:szCs w:val="32"/>
        </w:rPr>
      </w:pPr>
    </w:p>
    <w:p w14:paraId="3101DC78">
      <w:pPr>
        <w:ind w:firstLine="664"/>
        <w:rPr>
          <w:rFonts w:ascii="仿宋_GB2312"/>
          <w:color w:val="auto"/>
          <w:spacing w:val="6"/>
          <w:sz w:val="32"/>
          <w:szCs w:val="32"/>
        </w:rPr>
      </w:pPr>
    </w:p>
    <w:p w14:paraId="090B6EB9">
      <w:pPr>
        <w:ind w:firstLine="640"/>
        <w:jc w:val="right"/>
        <w:rPr>
          <w:rFonts w:ascii="仿宋_GB2312" w:hAnsi="仿宋" w:cs="Arial"/>
          <w:color w:val="auto"/>
          <w:sz w:val="32"/>
          <w:szCs w:val="32"/>
        </w:rPr>
      </w:pPr>
      <w:r>
        <w:rPr>
          <w:rFonts w:hint="eastAsia" w:ascii="仿宋_GB2312" w:hAnsi="仿宋" w:cs="Arial"/>
          <w:color w:val="auto"/>
          <w:sz w:val="32"/>
          <w:szCs w:val="32"/>
        </w:rPr>
        <w:t>企业名称（盖章）：</w:t>
      </w:r>
    </w:p>
    <w:p w14:paraId="761992A6">
      <w:pPr>
        <w:ind w:firstLine="640"/>
        <w:jc w:val="right"/>
        <w:rPr>
          <w:rFonts w:ascii="仿宋_GB2312" w:hAnsi="仿宋" w:cs="Arial"/>
          <w:color w:val="auto"/>
          <w:sz w:val="32"/>
          <w:szCs w:val="32"/>
        </w:rPr>
      </w:pPr>
      <w:r>
        <w:rPr>
          <w:rFonts w:hint="eastAsia" w:ascii="仿宋_GB2312" w:hAnsi="仿宋" w:cs="Arial"/>
          <w:color w:val="auto"/>
          <w:sz w:val="32"/>
          <w:szCs w:val="32"/>
        </w:rPr>
        <w:t>日   期：</w:t>
      </w:r>
    </w:p>
    <w:p w14:paraId="653BEA62">
      <w:pPr>
        <w:keepNext/>
        <w:keepLines/>
        <w:spacing w:before="120" w:after="120" w:line="560" w:lineRule="exact"/>
        <w:ind w:firstLine="560"/>
        <w:jc w:val="center"/>
        <w:outlineLvl w:val="2"/>
        <w:rPr>
          <w:rFonts w:eastAsia="黑体"/>
          <w:color w:val="auto"/>
          <w:sz w:val="32"/>
          <w:szCs w:val="32"/>
        </w:rPr>
      </w:pPr>
      <w:r>
        <w:rPr>
          <w:rFonts w:ascii="宋体" w:hAnsi="宋体" w:eastAsia="黑体"/>
          <w:bCs/>
          <w:color w:val="auto"/>
          <w:kern w:val="0"/>
          <w:szCs w:val="28"/>
        </w:rPr>
        <w:br w:type="page"/>
      </w:r>
    </w:p>
    <w:p w14:paraId="62A9D272">
      <w:pPr>
        <w:ind w:firstLine="640"/>
        <w:jc w:val="center"/>
        <w:rPr>
          <w:rFonts w:eastAsia="黑体"/>
          <w:color w:val="auto"/>
          <w:sz w:val="32"/>
          <w:szCs w:val="32"/>
        </w:rPr>
      </w:pPr>
      <w:r>
        <w:rPr>
          <w:rFonts w:hint="eastAsia" w:eastAsia="黑体"/>
          <w:color w:val="auto"/>
          <w:sz w:val="32"/>
          <w:szCs w:val="32"/>
        </w:rPr>
        <w:t>供应商认为需要提供的资质资格证明文件（如有）</w:t>
      </w:r>
    </w:p>
    <w:p w14:paraId="3AB037DA">
      <w:pPr>
        <w:ind w:firstLine="560"/>
        <w:jc w:val="center"/>
        <w:rPr>
          <w:rFonts w:ascii="仿宋_GB2312"/>
          <w:color w:val="auto"/>
          <w:szCs w:val="28"/>
        </w:rPr>
      </w:pPr>
      <w:r>
        <w:rPr>
          <w:rFonts w:hint="eastAsia" w:ascii="仿宋_GB2312"/>
          <w:color w:val="auto"/>
          <w:szCs w:val="28"/>
        </w:rPr>
        <w:t>（加盖供应商公章）</w:t>
      </w:r>
    </w:p>
    <w:p w14:paraId="65FB27F2">
      <w:pPr>
        <w:widowControl/>
        <w:spacing w:line="240" w:lineRule="auto"/>
        <w:ind w:firstLine="0" w:firstLineChars="0"/>
        <w:jc w:val="left"/>
        <w:rPr>
          <w:rFonts w:eastAsia="黑体"/>
          <w:bCs/>
          <w:color w:val="auto"/>
          <w:sz w:val="32"/>
          <w:szCs w:val="32"/>
        </w:rPr>
      </w:pPr>
      <w:r>
        <w:rPr>
          <w:rFonts w:eastAsia="黑体"/>
          <w:bCs/>
          <w:color w:val="auto"/>
          <w:sz w:val="32"/>
          <w:szCs w:val="32"/>
        </w:rPr>
        <w:br w:type="page"/>
      </w:r>
    </w:p>
    <w:p w14:paraId="3660A069">
      <w:pPr>
        <w:ind w:firstLine="880"/>
        <w:jc w:val="center"/>
        <w:rPr>
          <w:color w:val="auto"/>
        </w:rPr>
      </w:pPr>
      <w:r>
        <w:rPr>
          <w:rFonts w:hint="eastAsia" w:ascii="黑体" w:hAnsi="黑体" w:eastAsia="黑体"/>
          <w:color w:val="auto"/>
          <w:sz w:val="44"/>
          <w:szCs w:val="44"/>
        </w:rPr>
        <w:t>商务文件</w:t>
      </w:r>
      <w:r>
        <w:rPr>
          <w:rFonts w:hint="eastAsia"/>
          <w:color w:val="auto"/>
        </w:rPr>
        <w:t xml:space="preserve">                            </w:t>
      </w:r>
    </w:p>
    <w:p w14:paraId="0F4CEFF2">
      <w:pPr>
        <w:ind w:firstLine="640"/>
        <w:jc w:val="center"/>
        <w:rPr>
          <w:color w:val="auto"/>
          <w:sz w:val="32"/>
          <w:szCs w:val="32"/>
        </w:rPr>
      </w:pPr>
      <w:r>
        <w:rPr>
          <w:rFonts w:hint="eastAsia" w:ascii="黑体" w:hAnsi="黑体" w:eastAsia="黑体"/>
          <w:color w:val="auto"/>
          <w:sz w:val="32"/>
          <w:szCs w:val="32"/>
        </w:rPr>
        <w:t>工程量清单</w:t>
      </w:r>
    </w:p>
    <w:p w14:paraId="0C58F60A">
      <w:pPr>
        <w:keepNext/>
        <w:keepLines/>
        <w:spacing w:before="120" w:after="120" w:line="560" w:lineRule="exact"/>
        <w:ind w:firstLine="602"/>
        <w:jc w:val="center"/>
        <w:outlineLvl w:val="2"/>
        <w:rPr>
          <w:rFonts w:eastAsia="黑体"/>
          <w:bCs/>
          <w:color w:val="auto"/>
          <w:sz w:val="32"/>
          <w:szCs w:val="32"/>
        </w:rPr>
      </w:pPr>
      <w:r>
        <w:rPr>
          <w:rFonts w:ascii="仿宋_GB2312"/>
          <w:b/>
          <w:color w:val="auto"/>
          <w:sz w:val="30"/>
          <w:szCs w:val="30"/>
        </w:rPr>
        <w:br w:type="page"/>
      </w:r>
      <w:r>
        <w:rPr>
          <w:rFonts w:hint="eastAsia" w:eastAsia="黑体"/>
          <w:bCs/>
          <w:color w:val="auto"/>
          <w:sz w:val="32"/>
          <w:szCs w:val="32"/>
        </w:rPr>
        <w:t>选派建造师委任书</w:t>
      </w:r>
    </w:p>
    <w:p w14:paraId="7E7E3464">
      <w:pPr>
        <w:spacing w:line="460" w:lineRule="atLeast"/>
        <w:ind w:firstLine="560"/>
        <w:rPr>
          <w:rFonts w:ascii="仿宋_GB2312" w:hAnsi="宋体" w:cs="宋体"/>
          <w:color w:val="auto"/>
          <w:szCs w:val="28"/>
        </w:rPr>
      </w:pPr>
      <w:r>
        <w:rPr>
          <w:rFonts w:hint="eastAsia" w:ascii="仿宋_GB2312" w:hAnsi="宋体" w:cs="宋体"/>
          <w:color w:val="auto"/>
          <w:szCs w:val="28"/>
          <w:u w:val="single"/>
        </w:rPr>
        <w:t xml:space="preserve"> 乳山市方正房地产测绘中心</w:t>
      </w:r>
      <w:r>
        <w:rPr>
          <w:rFonts w:hint="eastAsia" w:ascii="仿宋_GB2312" w:hAnsi="宋体" w:cs="宋体"/>
          <w:color w:val="auto"/>
          <w:szCs w:val="28"/>
        </w:rPr>
        <w:t>：</w:t>
      </w:r>
    </w:p>
    <w:p w14:paraId="7E6B66D3">
      <w:pPr>
        <w:spacing w:line="460" w:lineRule="atLeast"/>
        <w:ind w:firstLine="560"/>
        <w:rPr>
          <w:rFonts w:ascii="仿宋_GB2312" w:hAnsi="宋体" w:cs="宋体"/>
          <w:color w:val="auto"/>
          <w:szCs w:val="28"/>
        </w:rPr>
      </w:pPr>
    </w:p>
    <w:p w14:paraId="2042C47D">
      <w:pPr>
        <w:spacing w:line="460" w:lineRule="atLeast"/>
        <w:ind w:firstLine="560"/>
        <w:rPr>
          <w:rFonts w:ascii="仿宋_GB2312" w:hAnsi="宋体" w:cs="宋体"/>
          <w:color w:val="auto"/>
          <w:szCs w:val="28"/>
        </w:rPr>
      </w:pPr>
      <w:r>
        <w:rPr>
          <w:rFonts w:hint="eastAsia" w:ascii="仿宋_GB2312" w:hAnsi="宋体" w:cs="宋体"/>
          <w:color w:val="auto"/>
          <w:szCs w:val="28"/>
        </w:rPr>
        <w:t>（投标人全称）的法定代表人同志，任本单位之职。</w:t>
      </w:r>
    </w:p>
    <w:p w14:paraId="77291A44">
      <w:pPr>
        <w:spacing w:line="460" w:lineRule="atLeast"/>
        <w:ind w:firstLine="560"/>
        <w:rPr>
          <w:rFonts w:ascii="仿宋_GB2312" w:hAnsi="宋体" w:cs="宋体"/>
          <w:color w:val="auto"/>
          <w:szCs w:val="28"/>
        </w:rPr>
      </w:pPr>
      <w:r>
        <w:rPr>
          <w:rFonts w:hint="eastAsia" w:ascii="仿宋_GB2312" w:hAnsi="宋体" w:cs="宋体"/>
          <w:color w:val="auto"/>
          <w:szCs w:val="28"/>
        </w:rPr>
        <w:t>现代表本单位委任同志为参加建设单位</w:t>
      </w:r>
      <w:r>
        <w:rPr>
          <w:rFonts w:ascii="仿宋_GB2312" w:hAnsi="宋体" w:cs="宋体"/>
          <w:color w:val="auto"/>
          <w:szCs w:val="28"/>
          <w:u w:val="single"/>
        </w:rPr>
        <w:t>乳山市水利事务服务中心</w:t>
      </w:r>
      <w:r>
        <w:rPr>
          <w:rFonts w:hint="eastAsia" w:ascii="仿宋_GB2312" w:hAnsi="宋体" w:cs="宋体"/>
          <w:color w:val="auto"/>
          <w:szCs w:val="28"/>
        </w:rPr>
        <w:t>建设的</w:t>
      </w:r>
      <w:r>
        <w:rPr>
          <w:rFonts w:ascii="仿宋_GB2312" w:hAnsi="宋体" w:cs="宋体"/>
          <w:color w:val="auto"/>
          <w:szCs w:val="28"/>
          <w:u w:val="single"/>
        </w:rPr>
        <w:t xml:space="preserve"> 乳山市2024年水库移民扶持基金项目和大中型水库移民后期扶持人口自然变化结余资金项目</w:t>
      </w:r>
      <w:r>
        <w:rPr>
          <w:rFonts w:hint="eastAsia" w:ascii="仿宋_GB2312" w:hAnsi="宋体" w:cs="宋体"/>
          <w:color w:val="auto"/>
          <w:szCs w:val="28"/>
        </w:rPr>
        <w:t xml:space="preserve">项目的建造师，该工程我单位若能中标，凡本工程执行中的有关技术、工程进度、现场管理、质量检验、结算与支付等方面的工作由其代表本单位全面负责。 </w:t>
      </w:r>
    </w:p>
    <w:p w14:paraId="6276BB1E">
      <w:pPr>
        <w:ind w:firstLine="980" w:firstLineChars="350"/>
        <w:rPr>
          <w:rFonts w:ascii="仿宋_GB2312" w:hAnsi="宋体" w:cs="宋体"/>
          <w:color w:val="auto"/>
          <w:szCs w:val="28"/>
        </w:rPr>
      </w:pPr>
    </w:p>
    <w:p w14:paraId="0CDFA4D3">
      <w:pPr>
        <w:ind w:firstLine="980" w:firstLineChars="350"/>
        <w:rPr>
          <w:rFonts w:ascii="仿宋_GB2312" w:hAnsi="宋体" w:cs="宋体"/>
          <w:color w:val="auto"/>
          <w:szCs w:val="28"/>
        </w:rPr>
      </w:pPr>
    </w:p>
    <w:p w14:paraId="5118E7BB">
      <w:pPr>
        <w:ind w:firstLine="980" w:firstLineChars="350"/>
        <w:rPr>
          <w:rFonts w:ascii="仿宋_GB2312" w:hAnsi="宋体" w:cs="宋体"/>
          <w:color w:val="auto"/>
          <w:szCs w:val="28"/>
        </w:rPr>
      </w:pPr>
    </w:p>
    <w:p w14:paraId="2ED4DEBE">
      <w:pPr>
        <w:ind w:firstLine="980" w:firstLineChars="350"/>
        <w:rPr>
          <w:rFonts w:ascii="仿宋_GB2312" w:hAnsi="宋体" w:cs="宋体"/>
          <w:color w:val="auto"/>
          <w:szCs w:val="28"/>
        </w:rPr>
      </w:pPr>
    </w:p>
    <w:p w14:paraId="0F85CD62">
      <w:pPr>
        <w:tabs>
          <w:tab w:val="left" w:pos="5580"/>
        </w:tabs>
        <w:wordWrap w:val="0"/>
        <w:ind w:firstLine="560"/>
        <w:jc w:val="right"/>
        <w:rPr>
          <w:rFonts w:ascii="仿宋_GB2312" w:hAnsi="宋体"/>
          <w:color w:val="auto"/>
          <w:kern w:val="0"/>
          <w:szCs w:val="28"/>
        </w:rPr>
      </w:pPr>
      <w:r>
        <w:rPr>
          <w:rFonts w:hint="eastAsia" w:ascii="仿宋_GB2312"/>
          <w:color w:val="auto"/>
          <w:kern w:val="0"/>
          <w:szCs w:val="28"/>
        </w:rPr>
        <w:t xml:space="preserve">供应商全称（公章）：          </w:t>
      </w:r>
    </w:p>
    <w:p w14:paraId="0436DF30">
      <w:pPr>
        <w:tabs>
          <w:tab w:val="left" w:pos="5580"/>
        </w:tabs>
        <w:ind w:firstLine="4132" w:firstLineChars="1476"/>
        <w:jc w:val="right"/>
        <w:rPr>
          <w:rFonts w:ascii="仿宋_GB2312"/>
          <w:color w:val="auto"/>
          <w:kern w:val="0"/>
          <w:szCs w:val="28"/>
        </w:rPr>
      </w:pPr>
    </w:p>
    <w:p w14:paraId="1FD4C066">
      <w:pPr>
        <w:tabs>
          <w:tab w:val="left" w:pos="5580"/>
        </w:tabs>
        <w:wordWrap w:val="0"/>
        <w:ind w:firstLine="560"/>
        <w:jc w:val="right"/>
        <w:rPr>
          <w:rFonts w:ascii="仿宋_GB2312"/>
          <w:color w:val="auto"/>
          <w:kern w:val="0"/>
          <w:szCs w:val="28"/>
        </w:rPr>
      </w:pPr>
      <w:r>
        <w:rPr>
          <w:rFonts w:hint="eastAsia" w:ascii="仿宋_GB2312" w:hAnsi="仿宋"/>
          <w:bCs/>
          <w:color w:val="auto"/>
          <w:kern w:val="0"/>
          <w:szCs w:val="28"/>
        </w:rPr>
        <w:t>法定代表人签章</w:t>
      </w:r>
      <w:r>
        <w:rPr>
          <w:rFonts w:hint="eastAsia" w:ascii="仿宋_GB2312"/>
          <w:color w:val="auto"/>
          <w:kern w:val="0"/>
          <w:szCs w:val="28"/>
        </w:rPr>
        <w:t xml:space="preserve">：         </w:t>
      </w:r>
    </w:p>
    <w:p w14:paraId="1E07C8F6">
      <w:pPr>
        <w:ind w:firstLine="560"/>
        <w:rPr>
          <w:rFonts w:ascii="仿宋_GB2312" w:hAnsi="宋体" w:cs="宋体"/>
          <w:color w:val="auto"/>
          <w:szCs w:val="21"/>
        </w:rPr>
      </w:pPr>
    </w:p>
    <w:p w14:paraId="1D20970B">
      <w:pPr>
        <w:ind w:firstLine="6160" w:firstLineChars="2200"/>
        <w:rPr>
          <w:rFonts w:ascii="仿宋_GB2312" w:hAnsi="宋体" w:cs="宋体"/>
          <w:color w:val="auto"/>
          <w:szCs w:val="28"/>
        </w:rPr>
      </w:pPr>
      <w:r>
        <w:rPr>
          <w:rFonts w:hint="eastAsia" w:ascii="仿宋_GB2312" w:hAnsi="宋体" w:cs="宋体"/>
          <w:color w:val="auto"/>
          <w:szCs w:val="28"/>
        </w:rPr>
        <w:t>年    月    日</w:t>
      </w:r>
    </w:p>
    <w:p w14:paraId="4D3104D7">
      <w:pPr>
        <w:ind w:firstLine="560"/>
        <w:rPr>
          <w:rFonts w:ascii="宋体" w:hAnsi="宋体" w:cs="宋体"/>
          <w:color w:val="auto"/>
          <w:szCs w:val="28"/>
        </w:rPr>
      </w:pPr>
    </w:p>
    <w:p w14:paraId="0570BBF4">
      <w:pPr>
        <w:ind w:firstLine="560"/>
        <w:rPr>
          <w:rFonts w:ascii="仿宋_GB2312" w:hAnsi="宋体" w:cs="宋体"/>
          <w:color w:val="auto"/>
          <w:szCs w:val="28"/>
        </w:rPr>
      </w:pPr>
      <w:r>
        <w:rPr>
          <w:rFonts w:hint="eastAsia" w:ascii="仿宋_GB2312" w:hAnsi="宋体" w:cs="宋体"/>
          <w:color w:val="auto"/>
          <w:szCs w:val="28"/>
        </w:rPr>
        <w:t>注：1、建造师证书、安全考核证和身份证复印件附后。</w:t>
      </w:r>
    </w:p>
    <w:p w14:paraId="3BD772A3">
      <w:pPr>
        <w:ind w:firstLine="560"/>
        <w:rPr>
          <w:color w:val="auto"/>
        </w:rPr>
      </w:pPr>
    </w:p>
    <w:p w14:paraId="639C5F71">
      <w:pPr>
        <w:spacing w:after="240"/>
        <w:ind w:firstLine="640"/>
        <w:jc w:val="center"/>
        <w:rPr>
          <w:rFonts w:ascii="黑体" w:hAnsi="黑体" w:eastAsia="黑体"/>
          <w:color w:val="auto"/>
          <w:sz w:val="32"/>
          <w:szCs w:val="32"/>
        </w:rPr>
      </w:pPr>
      <w:r>
        <w:rPr>
          <w:rFonts w:ascii="黑体" w:hAnsi="黑体" w:eastAsia="黑体"/>
          <w:color w:val="auto"/>
          <w:sz w:val="32"/>
          <w:szCs w:val="32"/>
        </w:rPr>
        <w:br w:type="page"/>
      </w:r>
      <w:r>
        <w:rPr>
          <w:rFonts w:hint="eastAsia" w:ascii="黑体" w:hAnsi="黑体" w:eastAsia="黑体"/>
          <w:color w:val="auto"/>
          <w:sz w:val="32"/>
          <w:szCs w:val="32"/>
        </w:rPr>
        <w:t>项目管理机构组成表</w:t>
      </w:r>
    </w:p>
    <w:tbl>
      <w:tblPr>
        <w:tblStyle w:val="45"/>
        <w:tblW w:w="0" w:type="auto"/>
        <w:tblInd w:w="3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2"/>
        <w:gridCol w:w="772"/>
        <w:gridCol w:w="772"/>
        <w:gridCol w:w="1235"/>
        <w:gridCol w:w="840"/>
        <w:gridCol w:w="858"/>
        <w:gridCol w:w="926"/>
        <w:gridCol w:w="2320"/>
        <w:gridCol w:w="771"/>
      </w:tblGrid>
      <w:tr w14:paraId="7879A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vMerge w:val="restart"/>
            <w:tcBorders>
              <w:top w:val="single" w:color="auto" w:sz="4" w:space="0"/>
              <w:left w:val="single" w:color="auto" w:sz="4" w:space="0"/>
              <w:bottom w:val="single" w:color="auto" w:sz="4" w:space="0"/>
              <w:right w:val="single" w:color="auto" w:sz="4" w:space="0"/>
            </w:tcBorders>
            <w:vAlign w:val="center"/>
          </w:tcPr>
          <w:p w14:paraId="2D0E1328">
            <w:pPr>
              <w:ind w:firstLine="0" w:firstLineChars="0"/>
              <w:rPr>
                <w:rFonts w:ascii="宋体" w:hAnsi="宋体" w:cs="宋体"/>
                <w:color w:val="auto"/>
                <w:sz w:val="24"/>
                <w:szCs w:val="20"/>
              </w:rPr>
            </w:pPr>
            <w:r>
              <w:rPr>
                <w:rFonts w:hint="eastAsia" w:ascii="宋体" w:hAnsi="宋体" w:cs="宋体"/>
                <w:color w:val="auto"/>
                <w:sz w:val="24"/>
                <w:szCs w:val="20"/>
              </w:rPr>
              <w:t>职务</w:t>
            </w:r>
          </w:p>
        </w:tc>
        <w:tc>
          <w:tcPr>
            <w:tcW w:w="772" w:type="dxa"/>
            <w:vMerge w:val="restart"/>
            <w:tcBorders>
              <w:top w:val="single" w:color="auto" w:sz="4" w:space="0"/>
              <w:left w:val="single" w:color="auto" w:sz="4" w:space="0"/>
              <w:bottom w:val="single" w:color="auto" w:sz="4" w:space="0"/>
              <w:right w:val="single" w:color="auto" w:sz="4" w:space="0"/>
            </w:tcBorders>
            <w:vAlign w:val="center"/>
          </w:tcPr>
          <w:p w14:paraId="133341E0">
            <w:pPr>
              <w:ind w:firstLine="0" w:firstLineChars="0"/>
              <w:rPr>
                <w:rFonts w:ascii="宋体" w:hAnsi="宋体" w:cs="宋体"/>
                <w:color w:val="auto"/>
                <w:sz w:val="24"/>
                <w:szCs w:val="20"/>
              </w:rPr>
            </w:pPr>
            <w:r>
              <w:rPr>
                <w:rFonts w:hint="eastAsia" w:ascii="宋体" w:hAnsi="宋体" w:cs="宋体"/>
                <w:color w:val="auto"/>
                <w:sz w:val="24"/>
                <w:szCs w:val="20"/>
              </w:rPr>
              <w:t>姓名</w:t>
            </w:r>
          </w:p>
        </w:tc>
        <w:tc>
          <w:tcPr>
            <w:tcW w:w="772" w:type="dxa"/>
            <w:vMerge w:val="restart"/>
            <w:tcBorders>
              <w:top w:val="single" w:color="auto" w:sz="4" w:space="0"/>
              <w:left w:val="single" w:color="auto" w:sz="4" w:space="0"/>
              <w:bottom w:val="single" w:color="auto" w:sz="4" w:space="0"/>
              <w:right w:val="single" w:color="auto" w:sz="4" w:space="0"/>
            </w:tcBorders>
            <w:vAlign w:val="center"/>
          </w:tcPr>
          <w:p w14:paraId="0E63853C">
            <w:pPr>
              <w:ind w:firstLine="0" w:firstLineChars="0"/>
              <w:rPr>
                <w:rFonts w:ascii="宋体" w:hAnsi="宋体" w:cs="宋体"/>
                <w:color w:val="auto"/>
                <w:sz w:val="24"/>
                <w:szCs w:val="20"/>
              </w:rPr>
            </w:pPr>
            <w:r>
              <w:rPr>
                <w:rFonts w:hint="eastAsia" w:ascii="宋体" w:hAnsi="宋体" w:cs="宋体"/>
                <w:color w:val="auto"/>
                <w:sz w:val="24"/>
                <w:szCs w:val="20"/>
              </w:rPr>
              <w:t>职称</w:t>
            </w:r>
          </w:p>
        </w:tc>
        <w:tc>
          <w:tcPr>
            <w:tcW w:w="6179" w:type="dxa"/>
            <w:gridSpan w:val="5"/>
            <w:tcBorders>
              <w:top w:val="single" w:color="auto" w:sz="4" w:space="0"/>
              <w:left w:val="single" w:color="auto" w:sz="4" w:space="0"/>
              <w:bottom w:val="single" w:color="auto" w:sz="4" w:space="0"/>
              <w:right w:val="single" w:color="auto" w:sz="4" w:space="0"/>
            </w:tcBorders>
            <w:vAlign w:val="center"/>
          </w:tcPr>
          <w:p w14:paraId="0850AF0E">
            <w:pPr>
              <w:ind w:firstLine="480"/>
              <w:jc w:val="center"/>
              <w:rPr>
                <w:rFonts w:ascii="宋体" w:hAnsi="宋体" w:cs="宋体"/>
                <w:color w:val="auto"/>
                <w:sz w:val="24"/>
                <w:szCs w:val="20"/>
              </w:rPr>
            </w:pPr>
            <w:r>
              <w:rPr>
                <w:rFonts w:hint="eastAsia" w:ascii="宋体" w:hAnsi="宋体" w:cs="宋体"/>
                <w:color w:val="auto"/>
                <w:sz w:val="24"/>
                <w:szCs w:val="20"/>
              </w:rPr>
              <w:t>执业或职业资格证明</w:t>
            </w:r>
          </w:p>
        </w:tc>
        <w:tc>
          <w:tcPr>
            <w:tcW w:w="771" w:type="dxa"/>
            <w:vMerge w:val="restart"/>
            <w:tcBorders>
              <w:top w:val="single" w:color="auto" w:sz="4" w:space="0"/>
              <w:left w:val="single" w:color="auto" w:sz="4" w:space="0"/>
              <w:bottom w:val="single" w:color="auto" w:sz="4" w:space="0"/>
              <w:right w:val="single" w:color="auto" w:sz="4" w:space="0"/>
            </w:tcBorders>
            <w:vAlign w:val="center"/>
          </w:tcPr>
          <w:p w14:paraId="72E1C35A">
            <w:pPr>
              <w:ind w:firstLine="0" w:firstLineChars="0"/>
              <w:rPr>
                <w:rFonts w:ascii="宋体" w:hAnsi="宋体" w:cs="宋体"/>
                <w:color w:val="auto"/>
                <w:sz w:val="24"/>
                <w:szCs w:val="20"/>
              </w:rPr>
            </w:pPr>
            <w:r>
              <w:rPr>
                <w:rFonts w:hint="eastAsia" w:ascii="宋体" w:hAnsi="宋体" w:cs="宋体"/>
                <w:color w:val="auto"/>
                <w:sz w:val="24"/>
                <w:szCs w:val="20"/>
              </w:rPr>
              <w:t>备注</w:t>
            </w:r>
          </w:p>
        </w:tc>
      </w:tr>
      <w:tr w14:paraId="51191F66">
        <w:tblPrEx>
          <w:tblCellMar>
            <w:top w:w="0" w:type="dxa"/>
            <w:left w:w="108" w:type="dxa"/>
            <w:bottom w:w="0" w:type="dxa"/>
            <w:right w:w="108" w:type="dxa"/>
          </w:tblCellMar>
        </w:tblPrEx>
        <w:trPr>
          <w:trHeight w:val="458" w:hRule="atLeast"/>
        </w:trPr>
        <w:tc>
          <w:tcPr>
            <w:tcW w:w="772" w:type="dxa"/>
            <w:vMerge w:val="continue"/>
            <w:tcBorders>
              <w:top w:val="single" w:color="auto" w:sz="4" w:space="0"/>
              <w:left w:val="single" w:color="auto" w:sz="4" w:space="0"/>
              <w:bottom w:val="single" w:color="auto" w:sz="4" w:space="0"/>
              <w:right w:val="single" w:color="auto" w:sz="4" w:space="0"/>
            </w:tcBorders>
            <w:vAlign w:val="center"/>
          </w:tcPr>
          <w:p w14:paraId="7F33E7BF">
            <w:pPr>
              <w:ind w:firstLine="480"/>
              <w:jc w:val="center"/>
              <w:rPr>
                <w:rFonts w:ascii="宋体" w:hAnsi="宋体" w:cs="宋体"/>
                <w:color w:val="auto"/>
                <w:sz w:val="24"/>
                <w:szCs w:val="20"/>
              </w:rPr>
            </w:pPr>
          </w:p>
        </w:tc>
        <w:tc>
          <w:tcPr>
            <w:tcW w:w="772" w:type="dxa"/>
            <w:vMerge w:val="continue"/>
            <w:tcBorders>
              <w:top w:val="single" w:color="auto" w:sz="4" w:space="0"/>
              <w:left w:val="single" w:color="auto" w:sz="4" w:space="0"/>
              <w:bottom w:val="single" w:color="auto" w:sz="4" w:space="0"/>
              <w:right w:val="single" w:color="auto" w:sz="4" w:space="0"/>
            </w:tcBorders>
            <w:vAlign w:val="center"/>
          </w:tcPr>
          <w:p w14:paraId="01536DFD">
            <w:pPr>
              <w:ind w:firstLine="480"/>
              <w:jc w:val="center"/>
              <w:rPr>
                <w:rFonts w:ascii="宋体" w:hAnsi="宋体" w:cs="宋体"/>
                <w:color w:val="auto"/>
                <w:sz w:val="24"/>
                <w:szCs w:val="20"/>
              </w:rPr>
            </w:pPr>
          </w:p>
        </w:tc>
        <w:tc>
          <w:tcPr>
            <w:tcW w:w="772" w:type="dxa"/>
            <w:vMerge w:val="continue"/>
            <w:tcBorders>
              <w:top w:val="single" w:color="auto" w:sz="4" w:space="0"/>
              <w:left w:val="single" w:color="auto" w:sz="4" w:space="0"/>
              <w:bottom w:val="single" w:color="auto" w:sz="4" w:space="0"/>
              <w:right w:val="single" w:color="auto" w:sz="4" w:space="0"/>
            </w:tcBorders>
            <w:vAlign w:val="center"/>
          </w:tcPr>
          <w:p w14:paraId="3577685B">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4C50CAB2">
            <w:pPr>
              <w:ind w:firstLine="0" w:firstLineChars="0"/>
              <w:rPr>
                <w:rFonts w:ascii="宋体" w:hAnsi="宋体" w:cs="宋体"/>
                <w:color w:val="auto"/>
                <w:sz w:val="24"/>
                <w:szCs w:val="20"/>
              </w:rPr>
            </w:pPr>
            <w:r>
              <w:rPr>
                <w:rFonts w:hint="eastAsia" w:ascii="宋体" w:hAnsi="宋体" w:cs="宋体"/>
                <w:color w:val="auto"/>
                <w:sz w:val="24"/>
                <w:szCs w:val="20"/>
              </w:rPr>
              <w:t>证书名称</w:t>
            </w:r>
          </w:p>
        </w:tc>
        <w:tc>
          <w:tcPr>
            <w:tcW w:w="840" w:type="dxa"/>
            <w:tcBorders>
              <w:top w:val="single" w:color="auto" w:sz="4" w:space="0"/>
              <w:left w:val="single" w:color="auto" w:sz="4" w:space="0"/>
              <w:bottom w:val="single" w:color="auto" w:sz="4" w:space="0"/>
              <w:right w:val="single" w:color="auto" w:sz="4" w:space="0"/>
            </w:tcBorders>
            <w:vAlign w:val="center"/>
          </w:tcPr>
          <w:p w14:paraId="78D05B7A">
            <w:pPr>
              <w:ind w:firstLine="0" w:firstLineChars="0"/>
              <w:rPr>
                <w:rFonts w:ascii="宋体" w:hAnsi="宋体" w:cs="宋体"/>
                <w:color w:val="auto"/>
                <w:sz w:val="24"/>
                <w:szCs w:val="20"/>
              </w:rPr>
            </w:pPr>
            <w:r>
              <w:rPr>
                <w:rFonts w:hint="eastAsia" w:ascii="宋体" w:hAnsi="宋体" w:cs="宋体"/>
                <w:color w:val="auto"/>
                <w:sz w:val="24"/>
                <w:szCs w:val="20"/>
              </w:rPr>
              <w:t>级别</w:t>
            </w:r>
          </w:p>
        </w:tc>
        <w:tc>
          <w:tcPr>
            <w:tcW w:w="858" w:type="dxa"/>
            <w:tcBorders>
              <w:top w:val="single" w:color="auto" w:sz="4" w:space="0"/>
              <w:left w:val="single" w:color="auto" w:sz="4" w:space="0"/>
              <w:bottom w:val="single" w:color="auto" w:sz="4" w:space="0"/>
              <w:right w:val="single" w:color="auto" w:sz="4" w:space="0"/>
            </w:tcBorders>
            <w:vAlign w:val="center"/>
          </w:tcPr>
          <w:p w14:paraId="60962E4E">
            <w:pPr>
              <w:ind w:firstLine="0" w:firstLineChars="0"/>
              <w:rPr>
                <w:rFonts w:ascii="宋体" w:hAnsi="宋体" w:cs="宋体"/>
                <w:color w:val="auto"/>
                <w:sz w:val="24"/>
                <w:szCs w:val="20"/>
              </w:rPr>
            </w:pPr>
            <w:r>
              <w:rPr>
                <w:rFonts w:hint="eastAsia" w:ascii="宋体" w:hAnsi="宋体" w:cs="宋体"/>
                <w:color w:val="auto"/>
                <w:sz w:val="24"/>
                <w:szCs w:val="20"/>
              </w:rPr>
              <w:t>证号</w:t>
            </w:r>
          </w:p>
        </w:tc>
        <w:tc>
          <w:tcPr>
            <w:tcW w:w="926" w:type="dxa"/>
            <w:tcBorders>
              <w:top w:val="single" w:color="auto" w:sz="4" w:space="0"/>
              <w:left w:val="single" w:color="auto" w:sz="4" w:space="0"/>
              <w:bottom w:val="single" w:color="auto" w:sz="4" w:space="0"/>
              <w:right w:val="single" w:color="auto" w:sz="4" w:space="0"/>
            </w:tcBorders>
            <w:vAlign w:val="center"/>
          </w:tcPr>
          <w:p w14:paraId="73A80B0B">
            <w:pPr>
              <w:ind w:firstLine="0" w:firstLineChars="0"/>
              <w:rPr>
                <w:rFonts w:ascii="宋体" w:hAnsi="宋体" w:cs="宋体"/>
                <w:color w:val="auto"/>
                <w:sz w:val="24"/>
                <w:szCs w:val="20"/>
              </w:rPr>
            </w:pPr>
            <w:r>
              <w:rPr>
                <w:rFonts w:hint="eastAsia" w:ascii="宋体" w:hAnsi="宋体" w:cs="宋体"/>
                <w:color w:val="auto"/>
                <w:sz w:val="24"/>
                <w:szCs w:val="20"/>
              </w:rPr>
              <w:t>专业</w:t>
            </w:r>
          </w:p>
        </w:tc>
        <w:tc>
          <w:tcPr>
            <w:tcW w:w="2320" w:type="dxa"/>
            <w:tcBorders>
              <w:top w:val="single" w:color="auto" w:sz="4" w:space="0"/>
              <w:left w:val="single" w:color="auto" w:sz="4" w:space="0"/>
              <w:bottom w:val="single" w:color="auto" w:sz="4" w:space="0"/>
              <w:right w:val="single" w:color="auto" w:sz="4" w:space="0"/>
            </w:tcBorders>
            <w:vAlign w:val="center"/>
          </w:tcPr>
          <w:p w14:paraId="4F84F635">
            <w:pPr>
              <w:ind w:firstLine="480"/>
              <w:jc w:val="center"/>
              <w:rPr>
                <w:rFonts w:ascii="宋体" w:hAnsi="宋体" w:cs="宋体"/>
                <w:color w:val="auto"/>
                <w:sz w:val="24"/>
                <w:szCs w:val="20"/>
              </w:rPr>
            </w:pPr>
            <w:r>
              <w:rPr>
                <w:rFonts w:hint="eastAsia" w:ascii="宋体" w:hAnsi="宋体" w:cs="宋体"/>
                <w:color w:val="auto"/>
                <w:sz w:val="24"/>
                <w:szCs w:val="20"/>
              </w:rPr>
              <w:t>养老保险</w:t>
            </w:r>
          </w:p>
        </w:tc>
        <w:tc>
          <w:tcPr>
            <w:tcW w:w="771" w:type="dxa"/>
            <w:vMerge w:val="continue"/>
            <w:tcBorders>
              <w:top w:val="single" w:color="auto" w:sz="4" w:space="0"/>
              <w:left w:val="single" w:color="auto" w:sz="4" w:space="0"/>
              <w:bottom w:val="single" w:color="auto" w:sz="4" w:space="0"/>
              <w:right w:val="single" w:color="auto" w:sz="4" w:space="0"/>
            </w:tcBorders>
            <w:vAlign w:val="center"/>
          </w:tcPr>
          <w:p w14:paraId="012B9DBC">
            <w:pPr>
              <w:ind w:firstLine="480"/>
              <w:jc w:val="center"/>
              <w:rPr>
                <w:rFonts w:ascii="宋体" w:hAnsi="宋体" w:cs="宋体"/>
                <w:color w:val="auto"/>
                <w:sz w:val="24"/>
                <w:szCs w:val="20"/>
              </w:rPr>
            </w:pPr>
          </w:p>
        </w:tc>
      </w:tr>
      <w:tr w14:paraId="1BDA22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2F9337B4">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46D89B81">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0B82ECB0">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4439D6CE">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44D7C226">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3C535C96">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3BE7825E">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048A619F">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117810E5">
            <w:pPr>
              <w:ind w:firstLine="480"/>
              <w:jc w:val="center"/>
              <w:rPr>
                <w:rFonts w:ascii="宋体" w:hAnsi="宋体" w:cs="宋体"/>
                <w:color w:val="auto"/>
                <w:sz w:val="24"/>
                <w:szCs w:val="20"/>
              </w:rPr>
            </w:pPr>
          </w:p>
        </w:tc>
      </w:tr>
      <w:tr w14:paraId="5259CC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75887F9E">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01AB2DAB">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51A5A0FB">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53F80B53">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6D0E4C9F">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215D4906">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6284F277">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4C95F856">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68F8D96F">
            <w:pPr>
              <w:ind w:firstLine="480"/>
              <w:jc w:val="center"/>
              <w:rPr>
                <w:rFonts w:ascii="宋体" w:hAnsi="宋体" w:cs="宋体"/>
                <w:color w:val="auto"/>
                <w:sz w:val="24"/>
                <w:szCs w:val="20"/>
              </w:rPr>
            </w:pPr>
          </w:p>
        </w:tc>
      </w:tr>
      <w:tr w14:paraId="442A53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081F8420">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0555A6E3">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5C9802EC">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2431C0BD">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64520AA3">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46775583">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059B706D">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1EF8C1E7">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36BE0921">
            <w:pPr>
              <w:ind w:firstLine="480"/>
              <w:jc w:val="center"/>
              <w:rPr>
                <w:rFonts w:ascii="宋体" w:hAnsi="宋体" w:cs="宋体"/>
                <w:color w:val="auto"/>
                <w:sz w:val="24"/>
                <w:szCs w:val="20"/>
              </w:rPr>
            </w:pPr>
          </w:p>
        </w:tc>
      </w:tr>
      <w:tr w14:paraId="683D61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6448F1E4">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4C9EDA55">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4449CAB8">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7D1D6FFC">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08C6A35F">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6D561F0B">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2CC8EF83">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148C3885">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4AAC8719">
            <w:pPr>
              <w:ind w:firstLine="480"/>
              <w:jc w:val="center"/>
              <w:rPr>
                <w:rFonts w:ascii="宋体" w:hAnsi="宋体" w:cs="宋体"/>
                <w:color w:val="auto"/>
                <w:sz w:val="24"/>
                <w:szCs w:val="20"/>
              </w:rPr>
            </w:pPr>
          </w:p>
        </w:tc>
      </w:tr>
      <w:tr w14:paraId="6CF2B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7E0AFA13">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5AA4D87F">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4B905F3B">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4F9DAC40">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7ECF3809">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7DFC8274">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26F539ED">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52AFC446">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286A165C">
            <w:pPr>
              <w:ind w:firstLine="480"/>
              <w:jc w:val="center"/>
              <w:rPr>
                <w:rFonts w:ascii="宋体" w:hAnsi="宋体" w:cs="宋体"/>
                <w:color w:val="auto"/>
                <w:sz w:val="24"/>
                <w:szCs w:val="20"/>
              </w:rPr>
            </w:pPr>
          </w:p>
        </w:tc>
      </w:tr>
      <w:tr w14:paraId="300549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209E3DBD">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07812145">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19C7BB8C">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2B2355DC">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471870C9">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71DCB98A">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7F581221">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2198A034">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2AC3ADEC">
            <w:pPr>
              <w:ind w:firstLine="480"/>
              <w:jc w:val="center"/>
              <w:rPr>
                <w:rFonts w:ascii="宋体" w:hAnsi="宋体" w:cs="宋体"/>
                <w:color w:val="auto"/>
                <w:sz w:val="24"/>
                <w:szCs w:val="20"/>
              </w:rPr>
            </w:pPr>
          </w:p>
        </w:tc>
      </w:tr>
      <w:tr w14:paraId="6341B1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46AD1A60">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31F06822">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52391A78">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4D384167">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06128D7F">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0613FAC2">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0BC426EC">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34D099A6">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1A4FAAAC">
            <w:pPr>
              <w:ind w:firstLine="480"/>
              <w:jc w:val="center"/>
              <w:rPr>
                <w:rFonts w:ascii="宋体" w:hAnsi="宋体" w:cs="宋体"/>
                <w:color w:val="auto"/>
                <w:sz w:val="24"/>
                <w:szCs w:val="20"/>
              </w:rPr>
            </w:pPr>
          </w:p>
        </w:tc>
      </w:tr>
      <w:tr w14:paraId="6A410F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20DD3B7C">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6379C7D4">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75A656CD">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6724F026">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59E76592">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06E37F30">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235456DC">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0F739952">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49A38A21">
            <w:pPr>
              <w:ind w:firstLine="480"/>
              <w:jc w:val="center"/>
              <w:rPr>
                <w:rFonts w:ascii="宋体" w:hAnsi="宋体" w:cs="宋体"/>
                <w:color w:val="auto"/>
                <w:sz w:val="24"/>
                <w:szCs w:val="20"/>
              </w:rPr>
            </w:pPr>
          </w:p>
        </w:tc>
      </w:tr>
      <w:tr w14:paraId="70B6D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3BE43031">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58EDD3FE">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00491C16">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2CDEF7D8">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361292F8">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573B0E23">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75A83CE9">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28186451">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20BD208F">
            <w:pPr>
              <w:ind w:firstLine="480"/>
              <w:jc w:val="center"/>
              <w:rPr>
                <w:rFonts w:ascii="宋体" w:hAnsi="宋体" w:cs="宋体"/>
                <w:color w:val="auto"/>
                <w:sz w:val="24"/>
                <w:szCs w:val="20"/>
              </w:rPr>
            </w:pPr>
          </w:p>
        </w:tc>
      </w:tr>
      <w:tr w14:paraId="351CC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487652BD">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5B1FB7F2">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7FFEFDF5">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0DE878F6">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5A8BD62E">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7FA92747">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6D348783">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35FF854A">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7638FD82">
            <w:pPr>
              <w:ind w:firstLine="480"/>
              <w:jc w:val="center"/>
              <w:rPr>
                <w:rFonts w:ascii="宋体" w:hAnsi="宋体" w:cs="宋体"/>
                <w:color w:val="auto"/>
                <w:sz w:val="24"/>
                <w:szCs w:val="20"/>
              </w:rPr>
            </w:pPr>
          </w:p>
        </w:tc>
      </w:tr>
      <w:tr w14:paraId="37CC11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1B38DD67">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0A6CEC2C">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2ED99C36">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004B5888">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3B6D8088">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15E1C615">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602D8344">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565D117F">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14874224">
            <w:pPr>
              <w:ind w:firstLine="480"/>
              <w:jc w:val="center"/>
              <w:rPr>
                <w:rFonts w:ascii="宋体" w:hAnsi="宋体" w:cs="宋体"/>
                <w:color w:val="auto"/>
                <w:sz w:val="24"/>
                <w:szCs w:val="20"/>
              </w:rPr>
            </w:pPr>
          </w:p>
        </w:tc>
      </w:tr>
      <w:tr w14:paraId="492AA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3A7D116C">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31004986">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51BBFA83">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4100A253">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292AA843">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2816D84A">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58BE970C">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5681BFAD">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48AE1C39">
            <w:pPr>
              <w:ind w:firstLine="480"/>
              <w:jc w:val="center"/>
              <w:rPr>
                <w:rFonts w:ascii="宋体" w:hAnsi="宋体" w:cs="宋体"/>
                <w:color w:val="auto"/>
                <w:sz w:val="24"/>
                <w:szCs w:val="20"/>
              </w:rPr>
            </w:pPr>
          </w:p>
        </w:tc>
      </w:tr>
      <w:tr w14:paraId="33ACC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1F4D2163">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3CCFB126">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2205E660">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74EF05BB">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409F7FF5">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514777E9">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1A524952">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1452D310">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208A44CB">
            <w:pPr>
              <w:ind w:firstLine="480"/>
              <w:jc w:val="center"/>
              <w:rPr>
                <w:rFonts w:ascii="宋体" w:hAnsi="宋体" w:cs="宋体"/>
                <w:color w:val="auto"/>
                <w:sz w:val="24"/>
                <w:szCs w:val="20"/>
              </w:rPr>
            </w:pPr>
          </w:p>
        </w:tc>
      </w:tr>
      <w:tr w14:paraId="383BE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60612F3A">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0B1D73B3">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41B9C423">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7029FCCB">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32656527">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390942EB">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2B120E17">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4CFFD16E">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0D63DDF9">
            <w:pPr>
              <w:ind w:firstLine="480"/>
              <w:jc w:val="center"/>
              <w:rPr>
                <w:rFonts w:ascii="宋体" w:hAnsi="宋体" w:cs="宋体"/>
                <w:color w:val="auto"/>
                <w:sz w:val="24"/>
                <w:szCs w:val="20"/>
              </w:rPr>
            </w:pPr>
          </w:p>
        </w:tc>
      </w:tr>
      <w:tr w14:paraId="09B3BD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0B9FDD21">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4AEC9A31">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4263D7ED">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349F41E0">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0E19F712">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61345E55">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5885A942">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58722CD9">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52BBEF6E">
            <w:pPr>
              <w:ind w:firstLine="480"/>
              <w:jc w:val="center"/>
              <w:rPr>
                <w:rFonts w:ascii="宋体" w:hAnsi="宋体" w:cs="宋体"/>
                <w:color w:val="auto"/>
                <w:sz w:val="24"/>
                <w:szCs w:val="20"/>
              </w:rPr>
            </w:pPr>
          </w:p>
        </w:tc>
      </w:tr>
      <w:tr w14:paraId="51DB8B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212761FF">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6F4EB939">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208F0FDF">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750CF175">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36D78EDD">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73072D01">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6287547E">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149EA073">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5C2D2EC6">
            <w:pPr>
              <w:ind w:firstLine="480"/>
              <w:jc w:val="center"/>
              <w:rPr>
                <w:rFonts w:ascii="宋体" w:hAnsi="宋体" w:cs="宋体"/>
                <w:color w:val="auto"/>
                <w:sz w:val="24"/>
                <w:szCs w:val="20"/>
              </w:rPr>
            </w:pPr>
          </w:p>
        </w:tc>
      </w:tr>
      <w:tr w14:paraId="6945C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4C860053">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37B1D05B">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3996BE6A">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0EE61887">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41D69615">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431515D4">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19A7765E">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3386F9F3">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640C7D0C">
            <w:pPr>
              <w:ind w:firstLine="480"/>
              <w:jc w:val="center"/>
              <w:rPr>
                <w:rFonts w:ascii="宋体" w:hAnsi="宋体" w:cs="宋体"/>
                <w:color w:val="auto"/>
                <w:sz w:val="24"/>
                <w:szCs w:val="20"/>
              </w:rPr>
            </w:pPr>
          </w:p>
        </w:tc>
      </w:tr>
      <w:tr w14:paraId="423578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3E06FA46">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28F5BCE5">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4975D4A5">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618E9F0D">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680775E5">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772CBCB8">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3A0A0EF7">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6A184FC8">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27932DFE">
            <w:pPr>
              <w:ind w:firstLine="480"/>
              <w:jc w:val="center"/>
              <w:rPr>
                <w:rFonts w:ascii="宋体" w:hAnsi="宋体" w:cs="宋体"/>
                <w:color w:val="auto"/>
                <w:sz w:val="24"/>
                <w:szCs w:val="20"/>
              </w:rPr>
            </w:pPr>
          </w:p>
        </w:tc>
      </w:tr>
      <w:tr w14:paraId="45405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772" w:type="dxa"/>
            <w:tcBorders>
              <w:top w:val="single" w:color="auto" w:sz="4" w:space="0"/>
              <w:left w:val="single" w:color="auto" w:sz="4" w:space="0"/>
              <w:bottom w:val="single" w:color="auto" w:sz="4" w:space="0"/>
              <w:right w:val="single" w:color="auto" w:sz="4" w:space="0"/>
            </w:tcBorders>
            <w:vAlign w:val="center"/>
          </w:tcPr>
          <w:p w14:paraId="456F156B">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253C9E8D">
            <w:pPr>
              <w:ind w:firstLine="480"/>
              <w:jc w:val="center"/>
              <w:rPr>
                <w:rFonts w:ascii="宋体" w:hAnsi="宋体" w:cs="宋体"/>
                <w:color w:val="auto"/>
                <w:sz w:val="24"/>
                <w:szCs w:val="20"/>
              </w:rPr>
            </w:pPr>
          </w:p>
        </w:tc>
        <w:tc>
          <w:tcPr>
            <w:tcW w:w="772" w:type="dxa"/>
            <w:tcBorders>
              <w:top w:val="single" w:color="auto" w:sz="4" w:space="0"/>
              <w:left w:val="single" w:color="auto" w:sz="4" w:space="0"/>
              <w:bottom w:val="single" w:color="auto" w:sz="4" w:space="0"/>
              <w:right w:val="single" w:color="auto" w:sz="4" w:space="0"/>
            </w:tcBorders>
            <w:vAlign w:val="center"/>
          </w:tcPr>
          <w:p w14:paraId="206FAE26">
            <w:pPr>
              <w:ind w:firstLine="480"/>
              <w:jc w:val="center"/>
              <w:rPr>
                <w:rFonts w:ascii="宋体" w:hAnsi="宋体" w:cs="宋体"/>
                <w:color w:val="auto"/>
                <w:sz w:val="24"/>
                <w:szCs w:val="20"/>
              </w:rPr>
            </w:pPr>
          </w:p>
        </w:tc>
        <w:tc>
          <w:tcPr>
            <w:tcW w:w="1235" w:type="dxa"/>
            <w:tcBorders>
              <w:top w:val="single" w:color="auto" w:sz="4" w:space="0"/>
              <w:left w:val="single" w:color="auto" w:sz="4" w:space="0"/>
              <w:bottom w:val="single" w:color="auto" w:sz="4" w:space="0"/>
              <w:right w:val="single" w:color="auto" w:sz="4" w:space="0"/>
            </w:tcBorders>
            <w:vAlign w:val="center"/>
          </w:tcPr>
          <w:p w14:paraId="3E3050F7">
            <w:pPr>
              <w:ind w:firstLine="480"/>
              <w:jc w:val="center"/>
              <w:rPr>
                <w:rFonts w:ascii="宋体" w:hAnsi="宋体" w:cs="宋体"/>
                <w:color w:val="auto"/>
                <w:sz w:val="24"/>
                <w:szCs w:val="20"/>
              </w:rPr>
            </w:pPr>
          </w:p>
        </w:tc>
        <w:tc>
          <w:tcPr>
            <w:tcW w:w="840" w:type="dxa"/>
            <w:tcBorders>
              <w:top w:val="single" w:color="auto" w:sz="4" w:space="0"/>
              <w:left w:val="single" w:color="auto" w:sz="4" w:space="0"/>
              <w:bottom w:val="single" w:color="auto" w:sz="4" w:space="0"/>
              <w:right w:val="single" w:color="auto" w:sz="4" w:space="0"/>
            </w:tcBorders>
            <w:vAlign w:val="center"/>
          </w:tcPr>
          <w:p w14:paraId="55F23497">
            <w:pPr>
              <w:ind w:firstLine="480"/>
              <w:jc w:val="center"/>
              <w:rPr>
                <w:rFonts w:ascii="宋体" w:hAnsi="宋体" w:cs="宋体"/>
                <w:color w:val="auto"/>
                <w:sz w:val="24"/>
                <w:szCs w:val="20"/>
              </w:rPr>
            </w:pPr>
          </w:p>
        </w:tc>
        <w:tc>
          <w:tcPr>
            <w:tcW w:w="858" w:type="dxa"/>
            <w:tcBorders>
              <w:top w:val="single" w:color="auto" w:sz="4" w:space="0"/>
              <w:left w:val="single" w:color="auto" w:sz="4" w:space="0"/>
              <w:bottom w:val="single" w:color="auto" w:sz="4" w:space="0"/>
              <w:right w:val="single" w:color="auto" w:sz="4" w:space="0"/>
            </w:tcBorders>
            <w:vAlign w:val="center"/>
          </w:tcPr>
          <w:p w14:paraId="4872FFEE">
            <w:pPr>
              <w:ind w:firstLine="480"/>
              <w:jc w:val="center"/>
              <w:rPr>
                <w:rFonts w:ascii="宋体" w:hAnsi="宋体" w:cs="宋体"/>
                <w:color w:val="auto"/>
                <w:sz w:val="24"/>
                <w:szCs w:val="20"/>
              </w:rPr>
            </w:pPr>
          </w:p>
        </w:tc>
        <w:tc>
          <w:tcPr>
            <w:tcW w:w="926" w:type="dxa"/>
            <w:tcBorders>
              <w:top w:val="single" w:color="auto" w:sz="4" w:space="0"/>
              <w:left w:val="single" w:color="auto" w:sz="4" w:space="0"/>
              <w:bottom w:val="single" w:color="auto" w:sz="4" w:space="0"/>
              <w:right w:val="single" w:color="auto" w:sz="4" w:space="0"/>
            </w:tcBorders>
            <w:vAlign w:val="center"/>
          </w:tcPr>
          <w:p w14:paraId="124981C9">
            <w:pPr>
              <w:ind w:firstLine="480"/>
              <w:jc w:val="center"/>
              <w:rPr>
                <w:rFonts w:ascii="宋体" w:hAnsi="宋体" w:cs="宋体"/>
                <w:color w:val="auto"/>
                <w:sz w:val="24"/>
                <w:szCs w:val="20"/>
              </w:rPr>
            </w:pPr>
          </w:p>
        </w:tc>
        <w:tc>
          <w:tcPr>
            <w:tcW w:w="2320" w:type="dxa"/>
            <w:tcBorders>
              <w:top w:val="single" w:color="auto" w:sz="4" w:space="0"/>
              <w:left w:val="single" w:color="auto" w:sz="4" w:space="0"/>
              <w:bottom w:val="single" w:color="auto" w:sz="4" w:space="0"/>
              <w:right w:val="single" w:color="auto" w:sz="4" w:space="0"/>
            </w:tcBorders>
            <w:vAlign w:val="center"/>
          </w:tcPr>
          <w:p w14:paraId="3CBAD651">
            <w:pPr>
              <w:ind w:firstLine="480"/>
              <w:jc w:val="center"/>
              <w:rPr>
                <w:rFonts w:ascii="宋体" w:hAnsi="宋体" w:cs="宋体"/>
                <w:color w:val="auto"/>
                <w:sz w:val="24"/>
                <w:szCs w:val="20"/>
              </w:rPr>
            </w:pPr>
          </w:p>
        </w:tc>
        <w:tc>
          <w:tcPr>
            <w:tcW w:w="771" w:type="dxa"/>
            <w:tcBorders>
              <w:top w:val="single" w:color="auto" w:sz="4" w:space="0"/>
              <w:left w:val="single" w:color="auto" w:sz="4" w:space="0"/>
              <w:bottom w:val="single" w:color="auto" w:sz="4" w:space="0"/>
              <w:right w:val="single" w:color="auto" w:sz="4" w:space="0"/>
            </w:tcBorders>
            <w:vAlign w:val="center"/>
          </w:tcPr>
          <w:p w14:paraId="24D2B064">
            <w:pPr>
              <w:ind w:firstLine="480"/>
              <w:jc w:val="center"/>
              <w:rPr>
                <w:rFonts w:ascii="宋体" w:hAnsi="宋体" w:cs="宋体"/>
                <w:color w:val="auto"/>
                <w:sz w:val="24"/>
                <w:szCs w:val="20"/>
              </w:rPr>
            </w:pPr>
          </w:p>
        </w:tc>
      </w:tr>
    </w:tbl>
    <w:p w14:paraId="567FC5CB">
      <w:pPr>
        <w:ind w:firstLine="602"/>
        <w:jc w:val="right"/>
        <w:rPr>
          <w:rFonts w:ascii="仿宋_GB2312"/>
          <w:b/>
          <w:color w:val="auto"/>
          <w:sz w:val="30"/>
          <w:szCs w:val="30"/>
        </w:rPr>
      </w:pPr>
    </w:p>
    <w:p w14:paraId="5EB523F9">
      <w:pPr>
        <w:ind w:right="640" w:firstLine="640"/>
        <w:jc w:val="right"/>
        <w:rPr>
          <w:rFonts w:ascii="仿宋_GB2312" w:hAnsi="仿宋"/>
          <w:color w:val="auto"/>
          <w:sz w:val="32"/>
          <w:szCs w:val="32"/>
        </w:rPr>
      </w:pPr>
      <w:r>
        <w:rPr>
          <w:rFonts w:hint="eastAsia" w:ascii="仿宋_GB2312" w:hAnsi="仿宋"/>
          <w:color w:val="auto"/>
          <w:sz w:val="32"/>
          <w:szCs w:val="32"/>
        </w:rPr>
        <w:t xml:space="preserve">报价供应商(盖章): </w:t>
      </w:r>
    </w:p>
    <w:p w14:paraId="0A54BE55">
      <w:pPr>
        <w:ind w:right="960" w:firstLine="640"/>
        <w:jc w:val="right"/>
        <w:rPr>
          <w:rFonts w:ascii="仿宋_GB2312" w:hAnsi="仿宋"/>
          <w:color w:val="auto"/>
          <w:sz w:val="32"/>
          <w:szCs w:val="32"/>
        </w:rPr>
      </w:pPr>
      <w:r>
        <w:rPr>
          <w:rFonts w:hint="eastAsia" w:ascii="仿宋_GB2312" w:hAnsi="仿宋"/>
          <w:color w:val="auto"/>
          <w:sz w:val="32"/>
          <w:szCs w:val="32"/>
        </w:rPr>
        <w:t xml:space="preserve">法定代表人签章: </w:t>
      </w:r>
    </w:p>
    <w:p w14:paraId="0DDF5482">
      <w:pPr>
        <w:ind w:firstLine="640"/>
        <w:jc w:val="center"/>
        <w:rPr>
          <w:rFonts w:ascii="黑体" w:hAnsi="黑体" w:eastAsia="黑体"/>
          <w:color w:val="auto"/>
          <w:sz w:val="32"/>
          <w:szCs w:val="32"/>
        </w:rPr>
      </w:pPr>
    </w:p>
    <w:p w14:paraId="57304A0D">
      <w:pPr>
        <w:ind w:firstLine="0" w:firstLineChars="0"/>
        <w:jc w:val="center"/>
        <w:rPr>
          <w:rFonts w:ascii="黑体" w:hAnsi="黑体" w:eastAsia="黑体"/>
          <w:color w:val="auto"/>
          <w:sz w:val="32"/>
          <w:szCs w:val="32"/>
        </w:rPr>
      </w:pPr>
      <w:r>
        <w:rPr>
          <w:rFonts w:ascii="黑体" w:hAnsi="黑体" w:eastAsia="黑体"/>
          <w:color w:val="auto"/>
          <w:sz w:val="32"/>
          <w:szCs w:val="32"/>
        </w:rPr>
        <w:t>项目经理简介表</w:t>
      </w:r>
    </w:p>
    <w:tbl>
      <w:tblPr>
        <w:tblStyle w:val="45"/>
        <w:tblW w:w="9752"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010"/>
        <w:gridCol w:w="722"/>
        <w:gridCol w:w="1759"/>
        <w:gridCol w:w="585"/>
        <w:gridCol w:w="1248"/>
        <w:gridCol w:w="170"/>
        <w:gridCol w:w="1420"/>
        <w:gridCol w:w="126"/>
        <w:gridCol w:w="1317"/>
        <w:gridCol w:w="1395"/>
      </w:tblGrid>
      <w:tr w14:paraId="56E6C21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010" w:type="dxa"/>
            <w:tcBorders>
              <w:bottom w:val="single" w:color="000000" w:sz="6" w:space="0"/>
              <w:right w:val="single" w:color="000000" w:sz="6" w:space="0"/>
            </w:tcBorders>
            <w:vAlign w:val="center"/>
          </w:tcPr>
          <w:p w14:paraId="42C3F706">
            <w:pPr>
              <w:ind w:firstLine="400"/>
              <w:jc w:val="center"/>
              <w:rPr>
                <w:rFonts w:ascii="仿宋_GB2312"/>
                <w:color w:val="auto"/>
                <w:sz w:val="20"/>
              </w:rPr>
            </w:pPr>
            <w:r>
              <w:rPr>
                <w:rFonts w:hint="eastAsia" w:ascii="仿宋_GB2312" w:hAnsi="宋体" w:cs="宋体"/>
                <w:color w:val="auto"/>
                <w:sz w:val="20"/>
              </w:rPr>
              <w:t>姓名</w:t>
            </w:r>
          </w:p>
        </w:tc>
        <w:tc>
          <w:tcPr>
            <w:tcW w:w="3066" w:type="dxa"/>
            <w:gridSpan w:val="3"/>
            <w:tcBorders>
              <w:left w:val="single" w:color="000000" w:sz="6" w:space="0"/>
              <w:bottom w:val="single" w:color="000000" w:sz="6" w:space="0"/>
              <w:right w:val="single" w:color="000000" w:sz="6" w:space="0"/>
            </w:tcBorders>
            <w:vAlign w:val="center"/>
          </w:tcPr>
          <w:p w14:paraId="27C0BA6D">
            <w:pPr>
              <w:ind w:firstLine="400"/>
              <w:jc w:val="center"/>
              <w:rPr>
                <w:rFonts w:ascii="仿宋_GB2312"/>
                <w:color w:val="auto"/>
                <w:sz w:val="20"/>
              </w:rPr>
            </w:pPr>
          </w:p>
        </w:tc>
        <w:tc>
          <w:tcPr>
            <w:tcW w:w="1418" w:type="dxa"/>
            <w:gridSpan w:val="2"/>
            <w:tcBorders>
              <w:left w:val="single" w:color="000000" w:sz="6" w:space="0"/>
              <w:bottom w:val="single" w:color="000000" w:sz="6" w:space="0"/>
              <w:right w:val="single" w:color="000000" w:sz="6" w:space="0"/>
            </w:tcBorders>
            <w:vAlign w:val="center"/>
          </w:tcPr>
          <w:p w14:paraId="1926384F">
            <w:pPr>
              <w:ind w:firstLine="400"/>
              <w:jc w:val="center"/>
              <w:rPr>
                <w:rFonts w:ascii="仿宋_GB2312"/>
                <w:color w:val="auto"/>
                <w:sz w:val="20"/>
              </w:rPr>
            </w:pPr>
            <w:r>
              <w:rPr>
                <w:rFonts w:hint="eastAsia" w:ascii="仿宋_GB2312" w:hAnsi="宋体" w:cs="宋体"/>
                <w:color w:val="auto"/>
                <w:sz w:val="20"/>
              </w:rPr>
              <w:t>性别</w:t>
            </w:r>
          </w:p>
        </w:tc>
        <w:tc>
          <w:tcPr>
            <w:tcW w:w="1420" w:type="dxa"/>
            <w:tcBorders>
              <w:left w:val="single" w:color="000000" w:sz="6" w:space="0"/>
              <w:bottom w:val="single" w:color="000000" w:sz="6" w:space="0"/>
              <w:right w:val="single" w:color="000000" w:sz="6" w:space="0"/>
            </w:tcBorders>
            <w:vAlign w:val="center"/>
          </w:tcPr>
          <w:p w14:paraId="0D751AA5">
            <w:pPr>
              <w:ind w:firstLine="400"/>
              <w:jc w:val="center"/>
              <w:rPr>
                <w:rFonts w:ascii="仿宋_GB2312"/>
                <w:color w:val="auto"/>
                <w:sz w:val="20"/>
              </w:rPr>
            </w:pPr>
          </w:p>
        </w:tc>
        <w:tc>
          <w:tcPr>
            <w:tcW w:w="1443" w:type="dxa"/>
            <w:gridSpan w:val="2"/>
            <w:tcBorders>
              <w:left w:val="single" w:color="000000" w:sz="6" w:space="0"/>
              <w:bottom w:val="single" w:color="000000" w:sz="6" w:space="0"/>
              <w:right w:val="single" w:color="000000" w:sz="6" w:space="0"/>
            </w:tcBorders>
            <w:vAlign w:val="center"/>
          </w:tcPr>
          <w:p w14:paraId="69FE4E90">
            <w:pPr>
              <w:ind w:firstLine="400"/>
              <w:jc w:val="center"/>
              <w:rPr>
                <w:rFonts w:ascii="仿宋_GB2312"/>
                <w:color w:val="auto"/>
                <w:sz w:val="20"/>
              </w:rPr>
            </w:pPr>
            <w:r>
              <w:rPr>
                <w:rFonts w:hint="eastAsia" w:ascii="仿宋_GB2312" w:hAnsi="宋体" w:cs="宋体"/>
                <w:color w:val="auto"/>
                <w:sz w:val="20"/>
              </w:rPr>
              <w:t>年龄</w:t>
            </w:r>
          </w:p>
        </w:tc>
        <w:tc>
          <w:tcPr>
            <w:tcW w:w="1395" w:type="dxa"/>
            <w:tcBorders>
              <w:left w:val="single" w:color="000000" w:sz="6" w:space="0"/>
              <w:bottom w:val="single" w:color="000000" w:sz="6" w:space="0"/>
            </w:tcBorders>
            <w:vAlign w:val="center"/>
          </w:tcPr>
          <w:p w14:paraId="48134EC1">
            <w:pPr>
              <w:ind w:firstLine="400"/>
              <w:jc w:val="center"/>
              <w:rPr>
                <w:rFonts w:ascii="仿宋_GB2312"/>
                <w:color w:val="auto"/>
                <w:sz w:val="20"/>
              </w:rPr>
            </w:pPr>
          </w:p>
        </w:tc>
      </w:tr>
      <w:tr w14:paraId="4DAB24C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010" w:type="dxa"/>
            <w:tcBorders>
              <w:top w:val="single" w:color="000000" w:sz="6" w:space="0"/>
              <w:bottom w:val="single" w:color="000000" w:sz="6" w:space="0"/>
              <w:right w:val="single" w:color="000000" w:sz="6" w:space="0"/>
            </w:tcBorders>
            <w:vAlign w:val="center"/>
          </w:tcPr>
          <w:p w14:paraId="09AD290A">
            <w:pPr>
              <w:ind w:firstLine="400"/>
              <w:jc w:val="center"/>
              <w:rPr>
                <w:rFonts w:ascii="仿宋_GB2312"/>
                <w:color w:val="auto"/>
                <w:sz w:val="20"/>
              </w:rPr>
            </w:pPr>
            <w:r>
              <w:rPr>
                <w:rFonts w:hint="eastAsia" w:ascii="仿宋_GB2312" w:hAnsi="宋体" w:cs="宋体"/>
                <w:color w:val="auto"/>
                <w:sz w:val="20"/>
              </w:rPr>
              <w:t>职务</w:t>
            </w:r>
          </w:p>
        </w:tc>
        <w:tc>
          <w:tcPr>
            <w:tcW w:w="3066" w:type="dxa"/>
            <w:gridSpan w:val="3"/>
            <w:tcBorders>
              <w:top w:val="single" w:color="000000" w:sz="6" w:space="0"/>
              <w:left w:val="single" w:color="000000" w:sz="6" w:space="0"/>
              <w:bottom w:val="single" w:color="000000" w:sz="6" w:space="0"/>
              <w:right w:val="single" w:color="000000" w:sz="6" w:space="0"/>
            </w:tcBorders>
            <w:vAlign w:val="center"/>
          </w:tcPr>
          <w:p w14:paraId="59F14994">
            <w:pPr>
              <w:ind w:firstLine="400"/>
              <w:jc w:val="center"/>
              <w:rPr>
                <w:rFonts w:ascii="仿宋_GB2312"/>
                <w:color w:val="auto"/>
                <w:sz w:val="20"/>
              </w:rPr>
            </w:pPr>
          </w:p>
        </w:tc>
        <w:tc>
          <w:tcPr>
            <w:tcW w:w="1418" w:type="dxa"/>
            <w:gridSpan w:val="2"/>
            <w:tcBorders>
              <w:top w:val="single" w:color="000000" w:sz="6" w:space="0"/>
              <w:left w:val="single" w:color="000000" w:sz="6" w:space="0"/>
              <w:bottom w:val="single" w:color="000000" w:sz="6" w:space="0"/>
              <w:right w:val="single" w:color="000000" w:sz="6" w:space="0"/>
            </w:tcBorders>
            <w:vAlign w:val="center"/>
          </w:tcPr>
          <w:p w14:paraId="36082438">
            <w:pPr>
              <w:ind w:firstLine="400"/>
              <w:jc w:val="center"/>
              <w:rPr>
                <w:rFonts w:ascii="仿宋_GB2312"/>
                <w:color w:val="auto"/>
                <w:sz w:val="20"/>
              </w:rPr>
            </w:pPr>
            <w:r>
              <w:rPr>
                <w:rFonts w:hint="eastAsia" w:ascii="仿宋_GB2312" w:hAnsi="宋体" w:cs="宋体"/>
                <w:color w:val="auto"/>
                <w:sz w:val="20"/>
              </w:rPr>
              <w:t>职称</w:t>
            </w:r>
          </w:p>
        </w:tc>
        <w:tc>
          <w:tcPr>
            <w:tcW w:w="1420" w:type="dxa"/>
            <w:tcBorders>
              <w:top w:val="single" w:color="000000" w:sz="6" w:space="0"/>
              <w:left w:val="single" w:color="000000" w:sz="6" w:space="0"/>
              <w:bottom w:val="single" w:color="000000" w:sz="6" w:space="0"/>
              <w:right w:val="single" w:color="000000" w:sz="6" w:space="0"/>
            </w:tcBorders>
            <w:vAlign w:val="center"/>
          </w:tcPr>
          <w:p w14:paraId="1C9C4C0A">
            <w:pPr>
              <w:ind w:firstLine="400"/>
              <w:jc w:val="center"/>
              <w:rPr>
                <w:rFonts w:ascii="仿宋_GB2312"/>
                <w:color w:val="auto"/>
                <w:sz w:val="20"/>
              </w:rPr>
            </w:pPr>
          </w:p>
        </w:tc>
        <w:tc>
          <w:tcPr>
            <w:tcW w:w="1443" w:type="dxa"/>
            <w:gridSpan w:val="2"/>
            <w:tcBorders>
              <w:top w:val="single" w:color="000000" w:sz="6" w:space="0"/>
              <w:left w:val="single" w:color="000000" w:sz="6" w:space="0"/>
              <w:bottom w:val="single" w:color="000000" w:sz="6" w:space="0"/>
              <w:right w:val="single" w:color="000000" w:sz="6" w:space="0"/>
            </w:tcBorders>
            <w:vAlign w:val="center"/>
          </w:tcPr>
          <w:p w14:paraId="39C9B65A">
            <w:pPr>
              <w:ind w:firstLine="400"/>
              <w:jc w:val="center"/>
              <w:rPr>
                <w:rFonts w:ascii="仿宋_GB2312"/>
                <w:color w:val="auto"/>
                <w:sz w:val="20"/>
              </w:rPr>
            </w:pPr>
            <w:r>
              <w:rPr>
                <w:rFonts w:hint="eastAsia" w:ascii="仿宋_GB2312" w:hAnsi="宋体" w:cs="宋体"/>
                <w:color w:val="auto"/>
                <w:sz w:val="20"/>
              </w:rPr>
              <w:t>学历</w:t>
            </w:r>
          </w:p>
        </w:tc>
        <w:tc>
          <w:tcPr>
            <w:tcW w:w="1395" w:type="dxa"/>
            <w:tcBorders>
              <w:top w:val="single" w:color="000000" w:sz="6" w:space="0"/>
              <w:left w:val="single" w:color="000000" w:sz="6" w:space="0"/>
              <w:bottom w:val="single" w:color="000000" w:sz="6" w:space="0"/>
            </w:tcBorders>
            <w:vAlign w:val="center"/>
          </w:tcPr>
          <w:p w14:paraId="47CECAD2">
            <w:pPr>
              <w:ind w:firstLine="400"/>
              <w:jc w:val="center"/>
              <w:rPr>
                <w:rFonts w:ascii="仿宋_GB2312"/>
                <w:color w:val="auto"/>
                <w:sz w:val="20"/>
              </w:rPr>
            </w:pPr>
          </w:p>
        </w:tc>
      </w:tr>
      <w:tr w14:paraId="6738969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00" w:hRule="atLeast"/>
        </w:trPr>
        <w:tc>
          <w:tcPr>
            <w:tcW w:w="3491" w:type="dxa"/>
            <w:gridSpan w:val="3"/>
            <w:tcBorders>
              <w:top w:val="single" w:color="000000" w:sz="6" w:space="0"/>
              <w:bottom w:val="single" w:color="000000" w:sz="6" w:space="0"/>
              <w:right w:val="single" w:color="000000" w:sz="6" w:space="0"/>
            </w:tcBorders>
            <w:vAlign w:val="center"/>
          </w:tcPr>
          <w:p w14:paraId="6164D601">
            <w:pPr>
              <w:ind w:firstLine="400"/>
              <w:jc w:val="center"/>
              <w:rPr>
                <w:rFonts w:ascii="仿宋_GB2312"/>
                <w:color w:val="auto"/>
                <w:sz w:val="20"/>
              </w:rPr>
            </w:pPr>
            <w:r>
              <w:rPr>
                <w:rFonts w:hint="eastAsia" w:ascii="仿宋_GB2312" w:hAnsi="宋体" w:cs="宋体"/>
                <w:color w:val="auto"/>
                <w:sz w:val="20"/>
              </w:rPr>
              <w:t>参加工作时间</w:t>
            </w:r>
          </w:p>
        </w:tc>
        <w:tc>
          <w:tcPr>
            <w:tcW w:w="2003" w:type="dxa"/>
            <w:gridSpan w:val="3"/>
            <w:tcBorders>
              <w:top w:val="single" w:color="000000" w:sz="6" w:space="0"/>
              <w:left w:val="single" w:color="000000" w:sz="6" w:space="0"/>
              <w:bottom w:val="single" w:color="000000" w:sz="6" w:space="0"/>
              <w:right w:val="single" w:color="000000" w:sz="6" w:space="0"/>
            </w:tcBorders>
            <w:vAlign w:val="center"/>
          </w:tcPr>
          <w:p w14:paraId="13B8BB10">
            <w:pPr>
              <w:ind w:firstLine="400"/>
              <w:jc w:val="center"/>
              <w:rPr>
                <w:rFonts w:ascii="仿宋_GB2312"/>
                <w:color w:val="auto"/>
                <w:sz w:val="20"/>
              </w:rPr>
            </w:pPr>
          </w:p>
        </w:tc>
        <w:tc>
          <w:tcPr>
            <w:tcW w:w="2863" w:type="dxa"/>
            <w:gridSpan w:val="3"/>
            <w:tcBorders>
              <w:top w:val="single" w:color="000000" w:sz="6" w:space="0"/>
              <w:left w:val="single" w:color="000000" w:sz="6" w:space="0"/>
              <w:bottom w:val="single" w:color="000000" w:sz="6" w:space="0"/>
              <w:right w:val="single" w:color="000000" w:sz="6" w:space="0"/>
            </w:tcBorders>
            <w:vAlign w:val="center"/>
          </w:tcPr>
          <w:p w14:paraId="1E868CAC">
            <w:pPr>
              <w:ind w:firstLine="400"/>
              <w:jc w:val="center"/>
              <w:rPr>
                <w:rFonts w:ascii="仿宋_GB2312"/>
                <w:color w:val="auto"/>
                <w:sz w:val="20"/>
              </w:rPr>
            </w:pPr>
            <w:r>
              <w:rPr>
                <w:rFonts w:hint="eastAsia" w:ascii="仿宋_GB2312" w:hAnsi="宋体" w:cs="宋体"/>
                <w:color w:val="auto"/>
                <w:sz w:val="20"/>
              </w:rPr>
              <w:t>担任项目经理年限</w:t>
            </w:r>
          </w:p>
        </w:tc>
        <w:tc>
          <w:tcPr>
            <w:tcW w:w="1395" w:type="dxa"/>
            <w:tcBorders>
              <w:top w:val="single" w:color="000000" w:sz="6" w:space="0"/>
              <w:left w:val="single" w:color="000000" w:sz="6" w:space="0"/>
              <w:bottom w:val="single" w:color="000000" w:sz="6" w:space="0"/>
            </w:tcBorders>
            <w:vAlign w:val="center"/>
          </w:tcPr>
          <w:p w14:paraId="5FC8790C">
            <w:pPr>
              <w:ind w:firstLine="400"/>
              <w:jc w:val="center"/>
              <w:rPr>
                <w:rFonts w:ascii="仿宋_GB2312"/>
                <w:color w:val="auto"/>
                <w:sz w:val="20"/>
              </w:rPr>
            </w:pPr>
          </w:p>
        </w:tc>
      </w:tr>
      <w:tr w14:paraId="1AFCCA08">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9" w:hRule="atLeast"/>
        </w:trPr>
        <w:tc>
          <w:tcPr>
            <w:tcW w:w="3491" w:type="dxa"/>
            <w:gridSpan w:val="3"/>
            <w:tcBorders>
              <w:top w:val="single" w:color="000000" w:sz="6" w:space="0"/>
              <w:bottom w:val="single" w:color="000000" w:sz="6" w:space="0"/>
              <w:right w:val="single" w:color="000000" w:sz="6" w:space="0"/>
            </w:tcBorders>
            <w:vAlign w:val="center"/>
          </w:tcPr>
          <w:p w14:paraId="1BB946D1">
            <w:pPr>
              <w:ind w:firstLine="400"/>
              <w:jc w:val="center"/>
              <w:rPr>
                <w:rFonts w:ascii="仿宋_GB2312"/>
                <w:color w:val="auto"/>
                <w:sz w:val="20"/>
              </w:rPr>
            </w:pPr>
            <w:r>
              <w:rPr>
                <w:rFonts w:hint="eastAsia" w:ascii="仿宋_GB2312" w:hAnsi="宋体" w:cs="宋体"/>
                <w:color w:val="auto"/>
                <w:sz w:val="20"/>
              </w:rPr>
              <w:t>资格证书编号</w:t>
            </w:r>
          </w:p>
        </w:tc>
        <w:tc>
          <w:tcPr>
            <w:tcW w:w="6261" w:type="dxa"/>
            <w:gridSpan w:val="7"/>
            <w:tcBorders>
              <w:top w:val="single" w:color="000000" w:sz="6" w:space="0"/>
              <w:left w:val="single" w:color="000000" w:sz="6" w:space="0"/>
              <w:bottom w:val="single" w:color="000000" w:sz="6" w:space="0"/>
            </w:tcBorders>
            <w:vAlign w:val="center"/>
          </w:tcPr>
          <w:p w14:paraId="3B976699">
            <w:pPr>
              <w:ind w:firstLine="400"/>
              <w:jc w:val="center"/>
              <w:rPr>
                <w:rFonts w:ascii="仿宋_GB2312"/>
                <w:color w:val="auto"/>
                <w:sz w:val="20"/>
              </w:rPr>
            </w:pPr>
          </w:p>
        </w:tc>
      </w:tr>
      <w:tr w14:paraId="45600F22">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60" w:hRule="atLeast"/>
        </w:trPr>
        <w:tc>
          <w:tcPr>
            <w:tcW w:w="9752" w:type="dxa"/>
            <w:gridSpan w:val="10"/>
            <w:tcBorders>
              <w:top w:val="single" w:color="000000" w:sz="6" w:space="0"/>
              <w:bottom w:val="single" w:color="000000" w:sz="6" w:space="0"/>
            </w:tcBorders>
            <w:vAlign w:val="center"/>
          </w:tcPr>
          <w:p w14:paraId="6B8F7E54">
            <w:pPr>
              <w:ind w:firstLine="400"/>
              <w:jc w:val="center"/>
              <w:rPr>
                <w:rFonts w:ascii="仿宋_GB2312"/>
                <w:color w:val="auto"/>
                <w:sz w:val="20"/>
              </w:rPr>
            </w:pPr>
            <w:r>
              <w:rPr>
                <w:rFonts w:hint="eastAsia" w:ascii="仿宋_GB2312" w:hAnsi="宋体" w:cs="宋体"/>
                <w:color w:val="auto"/>
                <w:sz w:val="20"/>
              </w:rPr>
              <w:t>在建和已完工程项目情况</w:t>
            </w:r>
          </w:p>
        </w:tc>
      </w:tr>
      <w:tr w14:paraId="75DA876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95" w:hRule="atLeast"/>
        </w:trPr>
        <w:tc>
          <w:tcPr>
            <w:tcW w:w="1732" w:type="dxa"/>
            <w:gridSpan w:val="2"/>
            <w:tcBorders>
              <w:top w:val="single" w:color="000000" w:sz="6" w:space="0"/>
              <w:bottom w:val="single" w:color="000000" w:sz="6" w:space="0"/>
              <w:right w:val="single" w:color="000000" w:sz="6" w:space="0"/>
            </w:tcBorders>
            <w:vAlign w:val="center"/>
          </w:tcPr>
          <w:p w14:paraId="42B525DD">
            <w:pPr>
              <w:ind w:firstLine="400"/>
              <w:jc w:val="center"/>
              <w:rPr>
                <w:rFonts w:ascii="仿宋_GB2312"/>
                <w:color w:val="auto"/>
                <w:sz w:val="20"/>
              </w:rPr>
            </w:pPr>
            <w:r>
              <w:rPr>
                <w:rFonts w:hint="eastAsia" w:ascii="仿宋_GB2312" w:hAnsi="宋体" w:cs="宋体"/>
                <w:color w:val="auto"/>
                <w:sz w:val="20"/>
              </w:rPr>
              <w:t>发包人</w:t>
            </w:r>
          </w:p>
        </w:tc>
        <w:tc>
          <w:tcPr>
            <w:tcW w:w="1759" w:type="dxa"/>
            <w:tcBorders>
              <w:top w:val="single" w:color="000000" w:sz="6" w:space="0"/>
              <w:left w:val="single" w:color="000000" w:sz="6" w:space="0"/>
              <w:bottom w:val="single" w:color="000000" w:sz="6" w:space="0"/>
              <w:right w:val="single" w:color="000000" w:sz="6" w:space="0"/>
            </w:tcBorders>
            <w:vAlign w:val="center"/>
          </w:tcPr>
          <w:p w14:paraId="63A97230">
            <w:pPr>
              <w:ind w:firstLine="400"/>
              <w:rPr>
                <w:rFonts w:ascii="仿宋_GB2312"/>
                <w:color w:val="auto"/>
                <w:sz w:val="20"/>
              </w:rPr>
            </w:pPr>
            <w:r>
              <w:rPr>
                <w:rFonts w:hint="eastAsia" w:ascii="仿宋_GB2312" w:hAnsi="宋体" w:cs="宋体"/>
                <w:color w:val="auto"/>
                <w:sz w:val="20"/>
              </w:rPr>
              <w:t>项目名称</w:t>
            </w:r>
          </w:p>
        </w:tc>
        <w:tc>
          <w:tcPr>
            <w:tcW w:w="1833" w:type="dxa"/>
            <w:gridSpan w:val="2"/>
            <w:tcBorders>
              <w:top w:val="single" w:color="000000" w:sz="6" w:space="0"/>
              <w:left w:val="single" w:color="000000" w:sz="6" w:space="0"/>
              <w:bottom w:val="single" w:color="000000" w:sz="6" w:space="0"/>
              <w:right w:val="single" w:color="000000" w:sz="6" w:space="0"/>
            </w:tcBorders>
            <w:vAlign w:val="center"/>
          </w:tcPr>
          <w:p w14:paraId="6E574B4A">
            <w:pPr>
              <w:ind w:firstLine="400"/>
              <w:rPr>
                <w:rFonts w:ascii="仿宋_GB2312"/>
                <w:color w:val="auto"/>
                <w:sz w:val="20"/>
              </w:rPr>
            </w:pPr>
            <w:r>
              <w:rPr>
                <w:rFonts w:hint="eastAsia" w:ascii="仿宋_GB2312" w:hAnsi="宋体" w:cs="宋体"/>
                <w:color w:val="auto"/>
                <w:sz w:val="20"/>
              </w:rPr>
              <w:t>建设规模</w:t>
            </w:r>
          </w:p>
        </w:tc>
        <w:tc>
          <w:tcPr>
            <w:tcW w:w="1716" w:type="dxa"/>
            <w:gridSpan w:val="3"/>
            <w:tcBorders>
              <w:top w:val="single" w:color="000000" w:sz="6" w:space="0"/>
              <w:left w:val="single" w:color="000000" w:sz="6" w:space="0"/>
              <w:bottom w:val="single" w:color="000000" w:sz="6" w:space="0"/>
              <w:right w:val="single" w:color="000000" w:sz="6" w:space="0"/>
            </w:tcBorders>
            <w:vAlign w:val="center"/>
          </w:tcPr>
          <w:p w14:paraId="41AB73EE">
            <w:pPr>
              <w:ind w:firstLineChars="100"/>
              <w:rPr>
                <w:rFonts w:ascii="仿宋_GB2312"/>
                <w:color w:val="auto"/>
                <w:sz w:val="20"/>
              </w:rPr>
            </w:pPr>
            <w:r>
              <w:rPr>
                <w:rFonts w:hint="eastAsia" w:ascii="仿宋_GB2312" w:hAnsi="宋体" w:cs="宋体"/>
                <w:color w:val="auto"/>
                <w:sz w:val="20"/>
              </w:rPr>
              <w:t>开、竣工日期</w:t>
            </w:r>
          </w:p>
        </w:tc>
        <w:tc>
          <w:tcPr>
            <w:tcW w:w="1317" w:type="dxa"/>
            <w:tcBorders>
              <w:top w:val="single" w:color="000000" w:sz="6" w:space="0"/>
              <w:left w:val="single" w:color="000000" w:sz="6" w:space="0"/>
              <w:bottom w:val="single" w:color="000000" w:sz="6" w:space="0"/>
              <w:right w:val="single" w:color="000000" w:sz="6" w:space="0"/>
            </w:tcBorders>
            <w:vAlign w:val="center"/>
          </w:tcPr>
          <w:p w14:paraId="3E109EA0">
            <w:pPr>
              <w:ind w:firstLine="0" w:firstLineChars="0"/>
              <w:jc w:val="center"/>
              <w:rPr>
                <w:rFonts w:ascii="仿宋_GB2312"/>
                <w:color w:val="auto"/>
                <w:sz w:val="20"/>
              </w:rPr>
            </w:pPr>
            <w:r>
              <w:rPr>
                <w:rFonts w:hint="eastAsia" w:ascii="仿宋_GB2312" w:hAnsi="宋体" w:cs="宋体"/>
                <w:color w:val="auto"/>
                <w:sz w:val="20"/>
              </w:rPr>
              <w:t>在建或已完</w:t>
            </w:r>
          </w:p>
        </w:tc>
        <w:tc>
          <w:tcPr>
            <w:tcW w:w="1395" w:type="dxa"/>
            <w:tcBorders>
              <w:top w:val="single" w:color="000000" w:sz="6" w:space="0"/>
              <w:left w:val="single" w:color="000000" w:sz="6" w:space="0"/>
              <w:bottom w:val="single" w:color="000000" w:sz="6" w:space="0"/>
            </w:tcBorders>
            <w:vAlign w:val="center"/>
          </w:tcPr>
          <w:p w14:paraId="704CC85F">
            <w:pPr>
              <w:ind w:firstLineChars="100"/>
              <w:rPr>
                <w:rFonts w:ascii="仿宋_GB2312"/>
                <w:color w:val="auto"/>
                <w:sz w:val="20"/>
              </w:rPr>
            </w:pPr>
            <w:r>
              <w:rPr>
                <w:rFonts w:hint="eastAsia" w:ascii="仿宋_GB2312" w:hAnsi="宋体" w:cs="宋体"/>
                <w:color w:val="auto"/>
                <w:sz w:val="20"/>
              </w:rPr>
              <w:t>工程质量</w:t>
            </w:r>
          </w:p>
        </w:tc>
      </w:tr>
      <w:tr w14:paraId="332E093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732" w:type="dxa"/>
            <w:gridSpan w:val="2"/>
            <w:tcBorders>
              <w:top w:val="single" w:color="000000" w:sz="6" w:space="0"/>
              <w:bottom w:val="single" w:color="000000" w:sz="6" w:space="0"/>
              <w:right w:val="single" w:color="000000" w:sz="6" w:space="0"/>
            </w:tcBorders>
          </w:tcPr>
          <w:p w14:paraId="0A52283F">
            <w:pPr>
              <w:ind w:firstLine="400"/>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tcPr>
          <w:p w14:paraId="27ED5CB8">
            <w:pPr>
              <w:ind w:firstLine="400"/>
              <w:rPr>
                <w:rFonts w:ascii="仿宋_GB2312"/>
                <w:color w:val="auto"/>
                <w:sz w:val="20"/>
              </w:rPr>
            </w:pPr>
          </w:p>
        </w:tc>
        <w:tc>
          <w:tcPr>
            <w:tcW w:w="1833" w:type="dxa"/>
            <w:gridSpan w:val="2"/>
            <w:tcBorders>
              <w:top w:val="single" w:color="000000" w:sz="6" w:space="0"/>
              <w:left w:val="single" w:color="000000" w:sz="6" w:space="0"/>
              <w:bottom w:val="single" w:color="000000" w:sz="6" w:space="0"/>
              <w:right w:val="single" w:color="000000" w:sz="6" w:space="0"/>
            </w:tcBorders>
          </w:tcPr>
          <w:p w14:paraId="5291B324">
            <w:pPr>
              <w:ind w:firstLine="400"/>
              <w:rPr>
                <w:rFonts w:ascii="仿宋_GB2312"/>
                <w:color w:val="auto"/>
                <w:sz w:val="20"/>
              </w:rPr>
            </w:pPr>
          </w:p>
        </w:tc>
        <w:tc>
          <w:tcPr>
            <w:tcW w:w="1716" w:type="dxa"/>
            <w:gridSpan w:val="3"/>
            <w:tcBorders>
              <w:top w:val="single" w:color="000000" w:sz="6" w:space="0"/>
              <w:left w:val="single" w:color="000000" w:sz="6" w:space="0"/>
              <w:bottom w:val="single" w:color="000000" w:sz="6" w:space="0"/>
              <w:right w:val="single" w:color="000000" w:sz="6" w:space="0"/>
            </w:tcBorders>
          </w:tcPr>
          <w:p w14:paraId="68B9E0C0">
            <w:pPr>
              <w:ind w:firstLine="400"/>
              <w:rPr>
                <w:rFonts w:ascii="仿宋_GB2312"/>
                <w:color w:val="auto"/>
                <w:sz w:val="20"/>
              </w:rPr>
            </w:pPr>
          </w:p>
        </w:tc>
        <w:tc>
          <w:tcPr>
            <w:tcW w:w="1317" w:type="dxa"/>
            <w:tcBorders>
              <w:top w:val="single" w:color="000000" w:sz="6" w:space="0"/>
              <w:left w:val="single" w:color="000000" w:sz="6" w:space="0"/>
              <w:bottom w:val="single" w:color="000000" w:sz="6" w:space="0"/>
              <w:right w:val="single" w:color="000000" w:sz="6" w:space="0"/>
            </w:tcBorders>
          </w:tcPr>
          <w:p w14:paraId="1638E10C">
            <w:pPr>
              <w:ind w:firstLine="400"/>
              <w:rPr>
                <w:rFonts w:ascii="仿宋_GB2312"/>
                <w:color w:val="auto"/>
                <w:sz w:val="20"/>
              </w:rPr>
            </w:pPr>
          </w:p>
        </w:tc>
        <w:tc>
          <w:tcPr>
            <w:tcW w:w="1395" w:type="dxa"/>
            <w:tcBorders>
              <w:top w:val="single" w:color="000000" w:sz="6" w:space="0"/>
              <w:left w:val="single" w:color="000000" w:sz="6" w:space="0"/>
              <w:bottom w:val="single" w:color="000000" w:sz="6" w:space="0"/>
            </w:tcBorders>
          </w:tcPr>
          <w:p w14:paraId="72E81897">
            <w:pPr>
              <w:ind w:firstLine="400"/>
              <w:rPr>
                <w:rFonts w:ascii="仿宋_GB2312"/>
                <w:color w:val="auto"/>
                <w:sz w:val="20"/>
              </w:rPr>
            </w:pPr>
          </w:p>
        </w:tc>
      </w:tr>
      <w:tr w14:paraId="2B69B2B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32" w:type="dxa"/>
            <w:gridSpan w:val="2"/>
            <w:tcBorders>
              <w:top w:val="single" w:color="000000" w:sz="6" w:space="0"/>
              <w:bottom w:val="single" w:color="000000" w:sz="6" w:space="0"/>
              <w:right w:val="single" w:color="000000" w:sz="6" w:space="0"/>
            </w:tcBorders>
          </w:tcPr>
          <w:p w14:paraId="7FD88C26">
            <w:pPr>
              <w:ind w:firstLine="400"/>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tcPr>
          <w:p w14:paraId="38624604">
            <w:pPr>
              <w:ind w:firstLine="400"/>
              <w:rPr>
                <w:rFonts w:ascii="仿宋_GB2312"/>
                <w:color w:val="auto"/>
                <w:sz w:val="20"/>
              </w:rPr>
            </w:pPr>
          </w:p>
        </w:tc>
        <w:tc>
          <w:tcPr>
            <w:tcW w:w="1833" w:type="dxa"/>
            <w:gridSpan w:val="2"/>
            <w:tcBorders>
              <w:top w:val="single" w:color="000000" w:sz="6" w:space="0"/>
              <w:left w:val="single" w:color="000000" w:sz="6" w:space="0"/>
              <w:bottom w:val="single" w:color="000000" w:sz="6" w:space="0"/>
              <w:right w:val="single" w:color="000000" w:sz="6" w:space="0"/>
            </w:tcBorders>
          </w:tcPr>
          <w:p w14:paraId="49BEDE21">
            <w:pPr>
              <w:ind w:firstLine="400"/>
              <w:rPr>
                <w:rFonts w:ascii="仿宋_GB2312"/>
                <w:color w:val="auto"/>
                <w:sz w:val="20"/>
              </w:rPr>
            </w:pPr>
          </w:p>
        </w:tc>
        <w:tc>
          <w:tcPr>
            <w:tcW w:w="1716" w:type="dxa"/>
            <w:gridSpan w:val="3"/>
            <w:tcBorders>
              <w:top w:val="single" w:color="000000" w:sz="6" w:space="0"/>
              <w:left w:val="single" w:color="000000" w:sz="6" w:space="0"/>
              <w:bottom w:val="single" w:color="000000" w:sz="6" w:space="0"/>
              <w:right w:val="single" w:color="000000" w:sz="6" w:space="0"/>
            </w:tcBorders>
          </w:tcPr>
          <w:p w14:paraId="739A3390">
            <w:pPr>
              <w:ind w:firstLine="400"/>
              <w:rPr>
                <w:rFonts w:ascii="仿宋_GB2312"/>
                <w:color w:val="auto"/>
                <w:sz w:val="20"/>
              </w:rPr>
            </w:pPr>
          </w:p>
        </w:tc>
        <w:tc>
          <w:tcPr>
            <w:tcW w:w="1317" w:type="dxa"/>
            <w:tcBorders>
              <w:top w:val="single" w:color="000000" w:sz="6" w:space="0"/>
              <w:left w:val="single" w:color="000000" w:sz="6" w:space="0"/>
              <w:bottom w:val="single" w:color="000000" w:sz="6" w:space="0"/>
              <w:right w:val="single" w:color="000000" w:sz="6" w:space="0"/>
            </w:tcBorders>
          </w:tcPr>
          <w:p w14:paraId="0D66B29E">
            <w:pPr>
              <w:ind w:firstLine="400"/>
              <w:rPr>
                <w:rFonts w:ascii="仿宋_GB2312"/>
                <w:color w:val="auto"/>
                <w:sz w:val="20"/>
              </w:rPr>
            </w:pPr>
          </w:p>
        </w:tc>
        <w:tc>
          <w:tcPr>
            <w:tcW w:w="1395" w:type="dxa"/>
            <w:tcBorders>
              <w:top w:val="single" w:color="000000" w:sz="6" w:space="0"/>
              <w:left w:val="single" w:color="000000" w:sz="6" w:space="0"/>
              <w:bottom w:val="single" w:color="000000" w:sz="6" w:space="0"/>
            </w:tcBorders>
          </w:tcPr>
          <w:p w14:paraId="02E8485B">
            <w:pPr>
              <w:ind w:firstLine="400"/>
              <w:rPr>
                <w:rFonts w:ascii="仿宋_GB2312"/>
                <w:color w:val="auto"/>
                <w:sz w:val="20"/>
              </w:rPr>
            </w:pPr>
          </w:p>
        </w:tc>
      </w:tr>
      <w:tr w14:paraId="7FE00CF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32" w:type="dxa"/>
            <w:gridSpan w:val="2"/>
            <w:tcBorders>
              <w:top w:val="single" w:color="000000" w:sz="6" w:space="0"/>
              <w:bottom w:val="single" w:color="000000" w:sz="6" w:space="0"/>
              <w:right w:val="single" w:color="000000" w:sz="6" w:space="0"/>
            </w:tcBorders>
          </w:tcPr>
          <w:p w14:paraId="6B2B9C20">
            <w:pPr>
              <w:ind w:firstLine="400"/>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tcPr>
          <w:p w14:paraId="447317D8">
            <w:pPr>
              <w:ind w:firstLine="400"/>
              <w:rPr>
                <w:rFonts w:ascii="仿宋_GB2312"/>
                <w:color w:val="auto"/>
                <w:sz w:val="20"/>
              </w:rPr>
            </w:pPr>
          </w:p>
        </w:tc>
        <w:tc>
          <w:tcPr>
            <w:tcW w:w="1833" w:type="dxa"/>
            <w:gridSpan w:val="2"/>
            <w:tcBorders>
              <w:top w:val="single" w:color="000000" w:sz="6" w:space="0"/>
              <w:left w:val="single" w:color="000000" w:sz="6" w:space="0"/>
              <w:bottom w:val="single" w:color="000000" w:sz="6" w:space="0"/>
              <w:right w:val="single" w:color="000000" w:sz="6" w:space="0"/>
            </w:tcBorders>
          </w:tcPr>
          <w:p w14:paraId="2A63C7B9">
            <w:pPr>
              <w:ind w:firstLine="400"/>
              <w:rPr>
                <w:rFonts w:ascii="仿宋_GB2312"/>
                <w:color w:val="auto"/>
                <w:sz w:val="20"/>
              </w:rPr>
            </w:pPr>
          </w:p>
        </w:tc>
        <w:tc>
          <w:tcPr>
            <w:tcW w:w="1716" w:type="dxa"/>
            <w:gridSpan w:val="3"/>
            <w:tcBorders>
              <w:top w:val="single" w:color="000000" w:sz="6" w:space="0"/>
              <w:left w:val="single" w:color="000000" w:sz="6" w:space="0"/>
              <w:bottom w:val="single" w:color="000000" w:sz="6" w:space="0"/>
              <w:right w:val="single" w:color="000000" w:sz="6" w:space="0"/>
            </w:tcBorders>
          </w:tcPr>
          <w:p w14:paraId="6825079E">
            <w:pPr>
              <w:ind w:firstLine="400"/>
              <w:rPr>
                <w:rFonts w:ascii="仿宋_GB2312"/>
                <w:color w:val="auto"/>
                <w:sz w:val="20"/>
              </w:rPr>
            </w:pPr>
          </w:p>
        </w:tc>
        <w:tc>
          <w:tcPr>
            <w:tcW w:w="1317" w:type="dxa"/>
            <w:tcBorders>
              <w:top w:val="single" w:color="000000" w:sz="6" w:space="0"/>
              <w:left w:val="single" w:color="000000" w:sz="6" w:space="0"/>
              <w:bottom w:val="single" w:color="000000" w:sz="6" w:space="0"/>
              <w:right w:val="single" w:color="000000" w:sz="6" w:space="0"/>
            </w:tcBorders>
          </w:tcPr>
          <w:p w14:paraId="026DE6AC">
            <w:pPr>
              <w:ind w:firstLine="400"/>
              <w:rPr>
                <w:rFonts w:ascii="仿宋_GB2312"/>
                <w:color w:val="auto"/>
                <w:sz w:val="20"/>
              </w:rPr>
            </w:pPr>
          </w:p>
        </w:tc>
        <w:tc>
          <w:tcPr>
            <w:tcW w:w="1395" w:type="dxa"/>
            <w:tcBorders>
              <w:top w:val="single" w:color="000000" w:sz="6" w:space="0"/>
              <w:left w:val="single" w:color="000000" w:sz="6" w:space="0"/>
              <w:bottom w:val="single" w:color="000000" w:sz="6" w:space="0"/>
            </w:tcBorders>
          </w:tcPr>
          <w:p w14:paraId="6159F763">
            <w:pPr>
              <w:ind w:firstLine="400"/>
              <w:rPr>
                <w:rFonts w:ascii="仿宋_GB2312"/>
                <w:color w:val="auto"/>
                <w:sz w:val="20"/>
              </w:rPr>
            </w:pPr>
          </w:p>
        </w:tc>
      </w:tr>
      <w:tr w14:paraId="69CA0AD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32" w:type="dxa"/>
            <w:gridSpan w:val="2"/>
            <w:tcBorders>
              <w:top w:val="single" w:color="000000" w:sz="6" w:space="0"/>
              <w:bottom w:val="single" w:color="000000" w:sz="6" w:space="0"/>
              <w:right w:val="single" w:color="000000" w:sz="6" w:space="0"/>
            </w:tcBorders>
          </w:tcPr>
          <w:p w14:paraId="32428C0E">
            <w:pPr>
              <w:ind w:firstLine="400"/>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tcPr>
          <w:p w14:paraId="459ECF40">
            <w:pPr>
              <w:ind w:firstLine="400"/>
              <w:rPr>
                <w:rFonts w:ascii="仿宋_GB2312"/>
                <w:color w:val="auto"/>
                <w:sz w:val="20"/>
              </w:rPr>
            </w:pPr>
          </w:p>
        </w:tc>
        <w:tc>
          <w:tcPr>
            <w:tcW w:w="1833" w:type="dxa"/>
            <w:gridSpan w:val="2"/>
            <w:tcBorders>
              <w:top w:val="single" w:color="000000" w:sz="6" w:space="0"/>
              <w:left w:val="single" w:color="000000" w:sz="6" w:space="0"/>
              <w:bottom w:val="single" w:color="000000" w:sz="6" w:space="0"/>
              <w:right w:val="single" w:color="000000" w:sz="6" w:space="0"/>
            </w:tcBorders>
          </w:tcPr>
          <w:p w14:paraId="5CC7FB25">
            <w:pPr>
              <w:ind w:firstLine="400"/>
              <w:rPr>
                <w:rFonts w:ascii="仿宋_GB2312"/>
                <w:color w:val="auto"/>
                <w:sz w:val="20"/>
              </w:rPr>
            </w:pPr>
          </w:p>
        </w:tc>
        <w:tc>
          <w:tcPr>
            <w:tcW w:w="1716" w:type="dxa"/>
            <w:gridSpan w:val="3"/>
            <w:tcBorders>
              <w:top w:val="single" w:color="000000" w:sz="6" w:space="0"/>
              <w:left w:val="single" w:color="000000" w:sz="6" w:space="0"/>
              <w:bottom w:val="single" w:color="000000" w:sz="6" w:space="0"/>
              <w:right w:val="single" w:color="000000" w:sz="6" w:space="0"/>
            </w:tcBorders>
          </w:tcPr>
          <w:p w14:paraId="35A4AE62">
            <w:pPr>
              <w:ind w:firstLine="400"/>
              <w:rPr>
                <w:rFonts w:ascii="仿宋_GB2312"/>
                <w:color w:val="auto"/>
                <w:sz w:val="20"/>
              </w:rPr>
            </w:pPr>
          </w:p>
        </w:tc>
        <w:tc>
          <w:tcPr>
            <w:tcW w:w="1317" w:type="dxa"/>
            <w:tcBorders>
              <w:top w:val="single" w:color="000000" w:sz="6" w:space="0"/>
              <w:left w:val="single" w:color="000000" w:sz="6" w:space="0"/>
              <w:bottom w:val="single" w:color="000000" w:sz="6" w:space="0"/>
              <w:right w:val="single" w:color="000000" w:sz="6" w:space="0"/>
            </w:tcBorders>
          </w:tcPr>
          <w:p w14:paraId="3C7923F6">
            <w:pPr>
              <w:ind w:firstLine="400"/>
              <w:rPr>
                <w:rFonts w:ascii="仿宋_GB2312"/>
                <w:color w:val="auto"/>
                <w:sz w:val="20"/>
              </w:rPr>
            </w:pPr>
          </w:p>
        </w:tc>
        <w:tc>
          <w:tcPr>
            <w:tcW w:w="1395" w:type="dxa"/>
            <w:tcBorders>
              <w:top w:val="single" w:color="000000" w:sz="6" w:space="0"/>
              <w:left w:val="single" w:color="000000" w:sz="6" w:space="0"/>
              <w:bottom w:val="single" w:color="000000" w:sz="6" w:space="0"/>
            </w:tcBorders>
          </w:tcPr>
          <w:p w14:paraId="1A758695">
            <w:pPr>
              <w:ind w:firstLine="400"/>
              <w:rPr>
                <w:rFonts w:ascii="仿宋_GB2312"/>
                <w:color w:val="auto"/>
                <w:sz w:val="20"/>
              </w:rPr>
            </w:pPr>
          </w:p>
        </w:tc>
      </w:tr>
      <w:tr w14:paraId="4ADA997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732" w:type="dxa"/>
            <w:gridSpan w:val="2"/>
            <w:tcBorders>
              <w:top w:val="single" w:color="000000" w:sz="6" w:space="0"/>
              <w:bottom w:val="single" w:color="000000" w:sz="6" w:space="0"/>
              <w:right w:val="single" w:color="000000" w:sz="6" w:space="0"/>
            </w:tcBorders>
          </w:tcPr>
          <w:p w14:paraId="033124F7">
            <w:pPr>
              <w:ind w:firstLine="400"/>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tcPr>
          <w:p w14:paraId="3A89A4D5">
            <w:pPr>
              <w:ind w:firstLine="400"/>
              <w:rPr>
                <w:rFonts w:ascii="仿宋_GB2312"/>
                <w:color w:val="auto"/>
                <w:sz w:val="20"/>
              </w:rPr>
            </w:pPr>
          </w:p>
        </w:tc>
        <w:tc>
          <w:tcPr>
            <w:tcW w:w="1833" w:type="dxa"/>
            <w:gridSpan w:val="2"/>
            <w:tcBorders>
              <w:top w:val="single" w:color="000000" w:sz="6" w:space="0"/>
              <w:left w:val="single" w:color="000000" w:sz="6" w:space="0"/>
              <w:bottom w:val="single" w:color="000000" w:sz="6" w:space="0"/>
              <w:right w:val="single" w:color="000000" w:sz="6" w:space="0"/>
            </w:tcBorders>
          </w:tcPr>
          <w:p w14:paraId="58407D28">
            <w:pPr>
              <w:ind w:firstLine="400"/>
              <w:rPr>
                <w:rFonts w:ascii="仿宋_GB2312"/>
                <w:color w:val="auto"/>
                <w:sz w:val="20"/>
              </w:rPr>
            </w:pPr>
          </w:p>
        </w:tc>
        <w:tc>
          <w:tcPr>
            <w:tcW w:w="1716" w:type="dxa"/>
            <w:gridSpan w:val="3"/>
            <w:tcBorders>
              <w:top w:val="single" w:color="000000" w:sz="6" w:space="0"/>
              <w:left w:val="single" w:color="000000" w:sz="6" w:space="0"/>
              <w:bottom w:val="single" w:color="000000" w:sz="6" w:space="0"/>
              <w:right w:val="single" w:color="000000" w:sz="6" w:space="0"/>
            </w:tcBorders>
          </w:tcPr>
          <w:p w14:paraId="363E81A7">
            <w:pPr>
              <w:ind w:firstLine="400"/>
              <w:rPr>
                <w:rFonts w:ascii="仿宋_GB2312"/>
                <w:color w:val="auto"/>
                <w:sz w:val="20"/>
              </w:rPr>
            </w:pPr>
          </w:p>
        </w:tc>
        <w:tc>
          <w:tcPr>
            <w:tcW w:w="1317" w:type="dxa"/>
            <w:tcBorders>
              <w:top w:val="single" w:color="000000" w:sz="6" w:space="0"/>
              <w:left w:val="single" w:color="000000" w:sz="6" w:space="0"/>
              <w:bottom w:val="single" w:color="000000" w:sz="6" w:space="0"/>
              <w:right w:val="single" w:color="000000" w:sz="6" w:space="0"/>
            </w:tcBorders>
          </w:tcPr>
          <w:p w14:paraId="0E706330">
            <w:pPr>
              <w:ind w:firstLine="400"/>
              <w:rPr>
                <w:rFonts w:ascii="仿宋_GB2312"/>
                <w:color w:val="auto"/>
                <w:sz w:val="20"/>
              </w:rPr>
            </w:pPr>
          </w:p>
        </w:tc>
        <w:tc>
          <w:tcPr>
            <w:tcW w:w="1395" w:type="dxa"/>
            <w:tcBorders>
              <w:top w:val="single" w:color="000000" w:sz="6" w:space="0"/>
              <w:left w:val="single" w:color="000000" w:sz="6" w:space="0"/>
              <w:bottom w:val="single" w:color="000000" w:sz="6" w:space="0"/>
            </w:tcBorders>
          </w:tcPr>
          <w:p w14:paraId="7CC3F261">
            <w:pPr>
              <w:ind w:firstLine="400"/>
              <w:rPr>
                <w:rFonts w:ascii="仿宋_GB2312"/>
                <w:color w:val="auto"/>
                <w:sz w:val="20"/>
              </w:rPr>
            </w:pPr>
          </w:p>
        </w:tc>
      </w:tr>
      <w:tr w14:paraId="18ED8D4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32" w:type="dxa"/>
            <w:gridSpan w:val="2"/>
            <w:tcBorders>
              <w:top w:val="single" w:color="000000" w:sz="6" w:space="0"/>
              <w:bottom w:val="single" w:color="000000" w:sz="6" w:space="0"/>
              <w:right w:val="single" w:color="000000" w:sz="6" w:space="0"/>
            </w:tcBorders>
          </w:tcPr>
          <w:p w14:paraId="1CD67869">
            <w:pPr>
              <w:ind w:firstLine="400"/>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tcPr>
          <w:p w14:paraId="3B2C2E6D">
            <w:pPr>
              <w:ind w:firstLine="400"/>
              <w:rPr>
                <w:rFonts w:ascii="仿宋_GB2312"/>
                <w:color w:val="auto"/>
                <w:sz w:val="20"/>
              </w:rPr>
            </w:pPr>
          </w:p>
        </w:tc>
        <w:tc>
          <w:tcPr>
            <w:tcW w:w="1833" w:type="dxa"/>
            <w:gridSpan w:val="2"/>
            <w:tcBorders>
              <w:top w:val="single" w:color="000000" w:sz="6" w:space="0"/>
              <w:left w:val="single" w:color="000000" w:sz="6" w:space="0"/>
              <w:bottom w:val="single" w:color="000000" w:sz="6" w:space="0"/>
              <w:right w:val="single" w:color="000000" w:sz="6" w:space="0"/>
            </w:tcBorders>
          </w:tcPr>
          <w:p w14:paraId="1A1258E1">
            <w:pPr>
              <w:ind w:firstLine="400"/>
              <w:rPr>
                <w:rFonts w:ascii="仿宋_GB2312"/>
                <w:color w:val="auto"/>
                <w:sz w:val="20"/>
              </w:rPr>
            </w:pPr>
          </w:p>
        </w:tc>
        <w:tc>
          <w:tcPr>
            <w:tcW w:w="1716" w:type="dxa"/>
            <w:gridSpan w:val="3"/>
            <w:tcBorders>
              <w:top w:val="single" w:color="000000" w:sz="6" w:space="0"/>
              <w:left w:val="single" w:color="000000" w:sz="6" w:space="0"/>
              <w:bottom w:val="single" w:color="000000" w:sz="6" w:space="0"/>
              <w:right w:val="single" w:color="000000" w:sz="6" w:space="0"/>
            </w:tcBorders>
          </w:tcPr>
          <w:p w14:paraId="7E8DFF7F">
            <w:pPr>
              <w:ind w:firstLine="400"/>
              <w:rPr>
                <w:rFonts w:ascii="仿宋_GB2312"/>
                <w:color w:val="auto"/>
                <w:sz w:val="20"/>
              </w:rPr>
            </w:pPr>
          </w:p>
        </w:tc>
        <w:tc>
          <w:tcPr>
            <w:tcW w:w="1317" w:type="dxa"/>
            <w:tcBorders>
              <w:top w:val="single" w:color="000000" w:sz="6" w:space="0"/>
              <w:left w:val="single" w:color="000000" w:sz="6" w:space="0"/>
              <w:bottom w:val="single" w:color="000000" w:sz="6" w:space="0"/>
              <w:right w:val="single" w:color="000000" w:sz="6" w:space="0"/>
            </w:tcBorders>
          </w:tcPr>
          <w:p w14:paraId="2ED332E3">
            <w:pPr>
              <w:ind w:firstLine="400"/>
              <w:rPr>
                <w:rFonts w:ascii="仿宋_GB2312"/>
                <w:color w:val="auto"/>
                <w:sz w:val="20"/>
              </w:rPr>
            </w:pPr>
          </w:p>
        </w:tc>
        <w:tc>
          <w:tcPr>
            <w:tcW w:w="1395" w:type="dxa"/>
            <w:tcBorders>
              <w:top w:val="single" w:color="000000" w:sz="6" w:space="0"/>
              <w:left w:val="single" w:color="000000" w:sz="6" w:space="0"/>
              <w:bottom w:val="single" w:color="000000" w:sz="6" w:space="0"/>
            </w:tcBorders>
          </w:tcPr>
          <w:p w14:paraId="59C9DE4A">
            <w:pPr>
              <w:ind w:firstLine="400"/>
              <w:rPr>
                <w:rFonts w:ascii="仿宋_GB2312"/>
                <w:color w:val="auto"/>
                <w:sz w:val="20"/>
              </w:rPr>
            </w:pPr>
          </w:p>
        </w:tc>
      </w:tr>
      <w:tr w14:paraId="592CAA1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32" w:type="dxa"/>
            <w:gridSpan w:val="2"/>
            <w:tcBorders>
              <w:top w:val="single" w:color="000000" w:sz="6" w:space="0"/>
              <w:bottom w:val="single" w:color="000000" w:sz="6" w:space="0"/>
              <w:right w:val="single" w:color="000000" w:sz="6" w:space="0"/>
            </w:tcBorders>
          </w:tcPr>
          <w:p w14:paraId="7FF9AA1F">
            <w:pPr>
              <w:ind w:firstLine="400"/>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tcPr>
          <w:p w14:paraId="5486114F">
            <w:pPr>
              <w:ind w:firstLine="400"/>
              <w:rPr>
                <w:rFonts w:ascii="仿宋_GB2312"/>
                <w:color w:val="auto"/>
                <w:sz w:val="20"/>
              </w:rPr>
            </w:pPr>
          </w:p>
        </w:tc>
        <w:tc>
          <w:tcPr>
            <w:tcW w:w="1833" w:type="dxa"/>
            <w:gridSpan w:val="2"/>
            <w:tcBorders>
              <w:top w:val="single" w:color="000000" w:sz="6" w:space="0"/>
              <w:left w:val="single" w:color="000000" w:sz="6" w:space="0"/>
              <w:bottom w:val="single" w:color="000000" w:sz="6" w:space="0"/>
              <w:right w:val="single" w:color="000000" w:sz="6" w:space="0"/>
            </w:tcBorders>
          </w:tcPr>
          <w:p w14:paraId="50DBDD6F">
            <w:pPr>
              <w:ind w:firstLine="400"/>
              <w:rPr>
                <w:rFonts w:ascii="仿宋_GB2312"/>
                <w:color w:val="auto"/>
                <w:sz w:val="20"/>
              </w:rPr>
            </w:pPr>
          </w:p>
        </w:tc>
        <w:tc>
          <w:tcPr>
            <w:tcW w:w="1716" w:type="dxa"/>
            <w:gridSpan w:val="3"/>
            <w:tcBorders>
              <w:top w:val="single" w:color="000000" w:sz="6" w:space="0"/>
              <w:left w:val="single" w:color="000000" w:sz="6" w:space="0"/>
              <w:bottom w:val="single" w:color="000000" w:sz="6" w:space="0"/>
              <w:right w:val="single" w:color="000000" w:sz="6" w:space="0"/>
            </w:tcBorders>
          </w:tcPr>
          <w:p w14:paraId="018EEE6F">
            <w:pPr>
              <w:ind w:firstLine="400"/>
              <w:rPr>
                <w:rFonts w:ascii="仿宋_GB2312"/>
                <w:color w:val="auto"/>
                <w:sz w:val="20"/>
              </w:rPr>
            </w:pPr>
          </w:p>
        </w:tc>
        <w:tc>
          <w:tcPr>
            <w:tcW w:w="1317" w:type="dxa"/>
            <w:tcBorders>
              <w:top w:val="single" w:color="000000" w:sz="6" w:space="0"/>
              <w:left w:val="single" w:color="000000" w:sz="6" w:space="0"/>
              <w:bottom w:val="single" w:color="000000" w:sz="6" w:space="0"/>
              <w:right w:val="single" w:color="000000" w:sz="6" w:space="0"/>
            </w:tcBorders>
          </w:tcPr>
          <w:p w14:paraId="4160F485">
            <w:pPr>
              <w:ind w:firstLine="400"/>
              <w:rPr>
                <w:rFonts w:ascii="仿宋_GB2312"/>
                <w:color w:val="auto"/>
                <w:sz w:val="20"/>
              </w:rPr>
            </w:pPr>
          </w:p>
        </w:tc>
        <w:tc>
          <w:tcPr>
            <w:tcW w:w="1395" w:type="dxa"/>
            <w:tcBorders>
              <w:top w:val="single" w:color="000000" w:sz="6" w:space="0"/>
              <w:left w:val="single" w:color="000000" w:sz="6" w:space="0"/>
              <w:bottom w:val="single" w:color="000000" w:sz="6" w:space="0"/>
            </w:tcBorders>
          </w:tcPr>
          <w:p w14:paraId="3AC4BD46">
            <w:pPr>
              <w:ind w:firstLine="400"/>
              <w:rPr>
                <w:rFonts w:ascii="仿宋_GB2312"/>
                <w:color w:val="auto"/>
                <w:sz w:val="20"/>
              </w:rPr>
            </w:pPr>
          </w:p>
        </w:tc>
      </w:tr>
      <w:tr w14:paraId="1F0A0C2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9" w:hRule="atLeast"/>
        </w:trPr>
        <w:tc>
          <w:tcPr>
            <w:tcW w:w="1732" w:type="dxa"/>
            <w:gridSpan w:val="2"/>
            <w:tcBorders>
              <w:top w:val="single" w:color="000000" w:sz="6" w:space="0"/>
              <w:bottom w:val="single" w:color="000000" w:sz="6" w:space="0"/>
              <w:right w:val="single" w:color="000000" w:sz="6" w:space="0"/>
            </w:tcBorders>
          </w:tcPr>
          <w:p w14:paraId="6F416AB1">
            <w:pPr>
              <w:ind w:firstLine="400"/>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tcPr>
          <w:p w14:paraId="4A573C90">
            <w:pPr>
              <w:ind w:firstLine="400"/>
              <w:rPr>
                <w:rFonts w:ascii="仿宋_GB2312"/>
                <w:color w:val="auto"/>
                <w:sz w:val="20"/>
              </w:rPr>
            </w:pPr>
          </w:p>
        </w:tc>
        <w:tc>
          <w:tcPr>
            <w:tcW w:w="1833" w:type="dxa"/>
            <w:gridSpan w:val="2"/>
            <w:tcBorders>
              <w:top w:val="single" w:color="000000" w:sz="6" w:space="0"/>
              <w:left w:val="single" w:color="000000" w:sz="6" w:space="0"/>
              <w:bottom w:val="single" w:color="000000" w:sz="6" w:space="0"/>
              <w:right w:val="single" w:color="000000" w:sz="6" w:space="0"/>
            </w:tcBorders>
          </w:tcPr>
          <w:p w14:paraId="76FB5869">
            <w:pPr>
              <w:ind w:firstLine="400"/>
              <w:rPr>
                <w:rFonts w:ascii="仿宋_GB2312"/>
                <w:color w:val="auto"/>
                <w:sz w:val="20"/>
              </w:rPr>
            </w:pPr>
          </w:p>
        </w:tc>
        <w:tc>
          <w:tcPr>
            <w:tcW w:w="1716" w:type="dxa"/>
            <w:gridSpan w:val="3"/>
            <w:tcBorders>
              <w:top w:val="single" w:color="000000" w:sz="6" w:space="0"/>
              <w:left w:val="single" w:color="000000" w:sz="6" w:space="0"/>
              <w:bottom w:val="single" w:color="000000" w:sz="6" w:space="0"/>
              <w:right w:val="single" w:color="000000" w:sz="6" w:space="0"/>
            </w:tcBorders>
          </w:tcPr>
          <w:p w14:paraId="5D6802C2">
            <w:pPr>
              <w:ind w:firstLine="400"/>
              <w:rPr>
                <w:rFonts w:ascii="仿宋_GB2312"/>
                <w:color w:val="auto"/>
                <w:sz w:val="20"/>
              </w:rPr>
            </w:pPr>
          </w:p>
        </w:tc>
        <w:tc>
          <w:tcPr>
            <w:tcW w:w="1317" w:type="dxa"/>
            <w:tcBorders>
              <w:top w:val="single" w:color="000000" w:sz="6" w:space="0"/>
              <w:left w:val="single" w:color="000000" w:sz="6" w:space="0"/>
              <w:bottom w:val="single" w:color="000000" w:sz="6" w:space="0"/>
              <w:right w:val="single" w:color="000000" w:sz="6" w:space="0"/>
            </w:tcBorders>
          </w:tcPr>
          <w:p w14:paraId="51231B3A">
            <w:pPr>
              <w:ind w:firstLine="400"/>
              <w:rPr>
                <w:rFonts w:ascii="仿宋_GB2312"/>
                <w:color w:val="auto"/>
                <w:sz w:val="20"/>
              </w:rPr>
            </w:pPr>
          </w:p>
        </w:tc>
        <w:tc>
          <w:tcPr>
            <w:tcW w:w="1395" w:type="dxa"/>
            <w:tcBorders>
              <w:top w:val="single" w:color="000000" w:sz="6" w:space="0"/>
              <w:left w:val="single" w:color="000000" w:sz="6" w:space="0"/>
              <w:bottom w:val="single" w:color="000000" w:sz="6" w:space="0"/>
            </w:tcBorders>
          </w:tcPr>
          <w:p w14:paraId="1EBF5628">
            <w:pPr>
              <w:ind w:firstLine="400"/>
              <w:rPr>
                <w:rFonts w:ascii="仿宋_GB2312"/>
                <w:color w:val="auto"/>
                <w:sz w:val="20"/>
              </w:rPr>
            </w:pPr>
          </w:p>
        </w:tc>
      </w:tr>
      <w:tr w14:paraId="64CAF89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732" w:type="dxa"/>
            <w:gridSpan w:val="2"/>
            <w:tcBorders>
              <w:top w:val="single" w:color="000000" w:sz="6" w:space="0"/>
              <w:bottom w:val="single" w:color="000000" w:sz="6" w:space="0"/>
              <w:right w:val="single" w:color="000000" w:sz="6" w:space="0"/>
            </w:tcBorders>
          </w:tcPr>
          <w:p w14:paraId="5E027128">
            <w:pPr>
              <w:ind w:firstLine="400"/>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tcPr>
          <w:p w14:paraId="596DE853">
            <w:pPr>
              <w:ind w:firstLine="400"/>
              <w:rPr>
                <w:rFonts w:ascii="仿宋_GB2312"/>
                <w:color w:val="auto"/>
                <w:sz w:val="20"/>
              </w:rPr>
            </w:pPr>
          </w:p>
        </w:tc>
        <w:tc>
          <w:tcPr>
            <w:tcW w:w="1833" w:type="dxa"/>
            <w:gridSpan w:val="2"/>
            <w:tcBorders>
              <w:top w:val="single" w:color="000000" w:sz="6" w:space="0"/>
              <w:left w:val="single" w:color="000000" w:sz="6" w:space="0"/>
              <w:bottom w:val="single" w:color="000000" w:sz="6" w:space="0"/>
              <w:right w:val="single" w:color="000000" w:sz="6" w:space="0"/>
            </w:tcBorders>
          </w:tcPr>
          <w:p w14:paraId="209E87DD">
            <w:pPr>
              <w:ind w:firstLine="400"/>
              <w:rPr>
                <w:rFonts w:ascii="仿宋_GB2312"/>
                <w:color w:val="auto"/>
                <w:sz w:val="20"/>
              </w:rPr>
            </w:pPr>
          </w:p>
        </w:tc>
        <w:tc>
          <w:tcPr>
            <w:tcW w:w="1716" w:type="dxa"/>
            <w:gridSpan w:val="3"/>
            <w:tcBorders>
              <w:top w:val="single" w:color="000000" w:sz="6" w:space="0"/>
              <w:left w:val="single" w:color="000000" w:sz="6" w:space="0"/>
              <w:bottom w:val="single" w:color="000000" w:sz="6" w:space="0"/>
              <w:right w:val="single" w:color="000000" w:sz="6" w:space="0"/>
            </w:tcBorders>
          </w:tcPr>
          <w:p w14:paraId="26FA5FD3">
            <w:pPr>
              <w:ind w:firstLine="400"/>
              <w:rPr>
                <w:rFonts w:ascii="仿宋_GB2312"/>
                <w:color w:val="auto"/>
                <w:sz w:val="20"/>
              </w:rPr>
            </w:pPr>
          </w:p>
        </w:tc>
        <w:tc>
          <w:tcPr>
            <w:tcW w:w="1317" w:type="dxa"/>
            <w:tcBorders>
              <w:top w:val="single" w:color="000000" w:sz="6" w:space="0"/>
              <w:left w:val="single" w:color="000000" w:sz="6" w:space="0"/>
              <w:bottom w:val="single" w:color="000000" w:sz="6" w:space="0"/>
              <w:right w:val="single" w:color="000000" w:sz="6" w:space="0"/>
            </w:tcBorders>
          </w:tcPr>
          <w:p w14:paraId="7ADD848F">
            <w:pPr>
              <w:ind w:firstLine="400"/>
              <w:rPr>
                <w:rFonts w:ascii="仿宋_GB2312"/>
                <w:color w:val="auto"/>
                <w:sz w:val="20"/>
              </w:rPr>
            </w:pPr>
          </w:p>
        </w:tc>
        <w:tc>
          <w:tcPr>
            <w:tcW w:w="1395" w:type="dxa"/>
            <w:tcBorders>
              <w:top w:val="single" w:color="000000" w:sz="6" w:space="0"/>
              <w:left w:val="single" w:color="000000" w:sz="6" w:space="0"/>
              <w:bottom w:val="single" w:color="000000" w:sz="6" w:space="0"/>
            </w:tcBorders>
          </w:tcPr>
          <w:p w14:paraId="6BC4B5F6">
            <w:pPr>
              <w:ind w:firstLine="400"/>
              <w:rPr>
                <w:rFonts w:ascii="仿宋_GB2312"/>
                <w:color w:val="auto"/>
                <w:sz w:val="20"/>
              </w:rPr>
            </w:pPr>
          </w:p>
        </w:tc>
      </w:tr>
      <w:tr w14:paraId="62CFA23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32" w:type="dxa"/>
            <w:gridSpan w:val="2"/>
            <w:tcBorders>
              <w:top w:val="single" w:color="000000" w:sz="6" w:space="0"/>
              <w:bottom w:val="single" w:color="000000" w:sz="6" w:space="0"/>
              <w:right w:val="single" w:color="000000" w:sz="6" w:space="0"/>
            </w:tcBorders>
          </w:tcPr>
          <w:p w14:paraId="55BDC138">
            <w:pPr>
              <w:ind w:firstLine="400"/>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tcPr>
          <w:p w14:paraId="0EAC3318">
            <w:pPr>
              <w:ind w:firstLine="400"/>
              <w:rPr>
                <w:rFonts w:ascii="仿宋_GB2312"/>
                <w:color w:val="auto"/>
                <w:sz w:val="20"/>
              </w:rPr>
            </w:pPr>
          </w:p>
        </w:tc>
        <w:tc>
          <w:tcPr>
            <w:tcW w:w="1833" w:type="dxa"/>
            <w:gridSpan w:val="2"/>
            <w:tcBorders>
              <w:top w:val="single" w:color="000000" w:sz="6" w:space="0"/>
              <w:left w:val="single" w:color="000000" w:sz="6" w:space="0"/>
              <w:bottom w:val="single" w:color="000000" w:sz="6" w:space="0"/>
              <w:right w:val="single" w:color="000000" w:sz="6" w:space="0"/>
            </w:tcBorders>
          </w:tcPr>
          <w:p w14:paraId="1519F4B4">
            <w:pPr>
              <w:ind w:firstLine="400"/>
              <w:rPr>
                <w:rFonts w:ascii="仿宋_GB2312"/>
                <w:color w:val="auto"/>
                <w:sz w:val="20"/>
              </w:rPr>
            </w:pPr>
          </w:p>
        </w:tc>
        <w:tc>
          <w:tcPr>
            <w:tcW w:w="1716" w:type="dxa"/>
            <w:gridSpan w:val="3"/>
            <w:tcBorders>
              <w:top w:val="single" w:color="000000" w:sz="6" w:space="0"/>
              <w:left w:val="single" w:color="000000" w:sz="6" w:space="0"/>
              <w:bottom w:val="single" w:color="000000" w:sz="6" w:space="0"/>
              <w:right w:val="single" w:color="000000" w:sz="6" w:space="0"/>
            </w:tcBorders>
          </w:tcPr>
          <w:p w14:paraId="4656E850">
            <w:pPr>
              <w:ind w:firstLine="400"/>
              <w:rPr>
                <w:rFonts w:ascii="仿宋_GB2312"/>
                <w:color w:val="auto"/>
                <w:sz w:val="20"/>
              </w:rPr>
            </w:pPr>
          </w:p>
        </w:tc>
        <w:tc>
          <w:tcPr>
            <w:tcW w:w="1317" w:type="dxa"/>
            <w:tcBorders>
              <w:top w:val="single" w:color="000000" w:sz="6" w:space="0"/>
              <w:left w:val="single" w:color="000000" w:sz="6" w:space="0"/>
              <w:bottom w:val="single" w:color="000000" w:sz="6" w:space="0"/>
              <w:right w:val="single" w:color="000000" w:sz="6" w:space="0"/>
            </w:tcBorders>
          </w:tcPr>
          <w:p w14:paraId="633F946D">
            <w:pPr>
              <w:ind w:firstLine="400"/>
              <w:rPr>
                <w:rFonts w:ascii="仿宋_GB2312"/>
                <w:color w:val="auto"/>
                <w:sz w:val="20"/>
              </w:rPr>
            </w:pPr>
          </w:p>
        </w:tc>
        <w:tc>
          <w:tcPr>
            <w:tcW w:w="1395" w:type="dxa"/>
            <w:tcBorders>
              <w:top w:val="single" w:color="000000" w:sz="6" w:space="0"/>
              <w:left w:val="single" w:color="000000" w:sz="6" w:space="0"/>
              <w:bottom w:val="single" w:color="000000" w:sz="6" w:space="0"/>
            </w:tcBorders>
          </w:tcPr>
          <w:p w14:paraId="4D43BF8C">
            <w:pPr>
              <w:ind w:firstLine="400"/>
              <w:rPr>
                <w:rFonts w:ascii="仿宋_GB2312"/>
                <w:color w:val="auto"/>
                <w:sz w:val="20"/>
              </w:rPr>
            </w:pPr>
          </w:p>
        </w:tc>
      </w:tr>
      <w:tr w14:paraId="36B0F23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32" w:type="dxa"/>
            <w:gridSpan w:val="2"/>
            <w:tcBorders>
              <w:top w:val="single" w:color="000000" w:sz="6" w:space="0"/>
              <w:right w:val="single" w:color="000000" w:sz="6" w:space="0"/>
            </w:tcBorders>
          </w:tcPr>
          <w:p w14:paraId="1A7B11E4">
            <w:pPr>
              <w:ind w:firstLine="400"/>
              <w:rPr>
                <w:rFonts w:ascii="仿宋_GB2312"/>
                <w:color w:val="auto"/>
                <w:sz w:val="20"/>
              </w:rPr>
            </w:pPr>
          </w:p>
        </w:tc>
        <w:tc>
          <w:tcPr>
            <w:tcW w:w="1759" w:type="dxa"/>
            <w:tcBorders>
              <w:top w:val="single" w:color="000000" w:sz="6" w:space="0"/>
              <w:left w:val="single" w:color="000000" w:sz="6" w:space="0"/>
              <w:right w:val="single" w:color="000000" w:sz="6" w:space="0"/>
            </w:tcBorders>
          </w:tcPr>
          <w:p w14:paraId="6535C5FD">
            <w:pPr>
              <w:ind w:firstLine="400"/>
              <w:rPr>
                <w:rFonts w:ascii="仿宋_GB2312"/>
                <w:color w:val="auto"/>
                <w:sz w:val="20"/>
              </w:rPr>
            </w:pPr>
          </w:p>
        </w:tc>
        <w:tc>
          <w:tcPr>
            <w:tcW w:w="1833" w:type="dxa"/>
            <w:gridSpan w:val="2"/>
            <w:tcBorders>
              <w:top w:val="single" w:color="000000" w:sz="6" w:space="0"/>
              <w:left w:val="single" w:color="000000" w:sz="6" w:space="0"/>
              <w:right w:val="single" w:color="000000" w:sz="6" w:space="0"/>
            </w:tcBorders>
          </w:tcPr>
          <w:p w14:paraId="5AA617FC">
            <w:pPr>
              <w:ind w:firstLine="400"/>
              <w:rPr>
                <w:rFonts w:ascii="仿宋_GB2312"/>
                <w:color w:val="auto"/>
                <w:sz w:val="20"/>
              </w:rPr>
            </w:pPr>
          </w:p>
        </w:tc>
        <w:tc>
          <w:tcPr>
            <w:tcW w:w="1716" w:type="dxa"/>
            <w:gridSpan w:val="3"/>
            <w:tcBorders>
              <w:top w:val="single" w:color="000000" w:sz="6" w:space="0"/>
              <w:left w:val="single" w:color="000000" w:sz="6" w:space="0"/>
              <w:right w:val="single" w:color="000000" w:sz="6" w:space="0"/>
            </w:tcBorders>
          </w:tcPr>
          <w:p w14:paraId="7E4D234A">
            <w:pPr>
              <w:ind w:firstLine="400"/>
              <w:rPr>
                <w:rFonts w:ascii="仿宋_GB2312"/>
                <w:color w:val="auto"/>
                <w:sz w:val="20"/>
              </w:rPr>
            </w:pPr>
          </w:p>
        </w:tc>
        <w:tc>
          <w:tcPr>
            <w:tcW w:w="1317" w:type="dxa"/>
            <w:tcBorders>
              <w:top w:val="single" w:color="000000" w:sz="6" w:space="0"/>
              <w:left w:val="single" w:color="000000" w:sz="6" w:space="0"/>
              <w:right w:val="single" w:color="000000" w:sz="6" w:space="0"/>
            </w:tcBorders>
          </w:tcPr>
          <w:p w14:paraId="4C6A9863">
            <w:pPr>
              <w:ind w:firstLine="400"/>
              <w:rPr>
                <w:rFonts w:ascii="仿宋_GB2312"/>
                <w:color w:val="auto"/>
                <w:sz w:val="20"/>
              </w:rPr>
            </w:pPr>
          </w:p>
        </w:tc>
        <w:tc>
          <w:tcPr>
            <w:tcW w:w="1395" w:type="dxa"/>
            <w:tcBorders>
              <w:top w:val="single" w:color="000000" w:sz="6" w:space="0"/>
              <w:left w:val="single" w:color="000000" w:sz="6" w:space="0"/>
            </w:tcBorders>
          </w:tcPr>
          <w:p w14:paraId="05957C20">
            <w:pPr>
              <w:ind w:firstLine="400"/>
              <w:rPr>
                <w:rFonts w:ascii="仿宋_GB2312"/>
                <w:color w:val="auto"/>
                <w:sz w:val="20"/>
              </w:rPr>
            </w:pPr>
          </w:p>
        </w:tc>
      </w:tr>
    </w:tbl>
    <w:p w14:paraId="24D3D7B8">
      <w:pPr>
        <w:ind w:firstLine="6235" w:firstLineChars="2227"/>
        <w:rPr>
          <w:rFonts w:ascii="仿宋_GB2312" w:hAnsi="宋体" w:cs="宋体"/>
          <w:color w:val="auto"/>
          <w:szCs w:val="28"/>
        </w:rPr>
      </w:pPr>
      <w:r>
        <w:rPr>
          <w:rFonts w:hint="eastAsia" w:ascii="仿宋_GB2312" w:hAnsi="宋体" w:cs="宋体"/>
          <w:color w:val="auto"/>
          <w:szCs w:val="28"/>
        </w:rPr>
        <w:t xml:space="preserve">报价供应商(盖章): </w:t>
      </w:r>
    </w:p>
    <w:p w14:paraId="4AEA0DA6">
      <w:pPr>
        <w:ind w:firstLine="6235" w:firstLineChars="2227"/>
        <w:rPr>
          <w:rFonts w:ascii="仿宋_GB2312" w:hAnsi="宋体" w:cs="宋体"/>
          <w:color w:val="auto"/>
          <w:szCs w:val="28"/>
        </w:rPr>
      </w:pPr>
      <w:r>
        <w:rPr>
          <w:rFonts w:hint="eastAsia" w:ascii="仿宋_GB2312" w:hAnsi="宋体" w:cs="宋体"/>
          <w:color w:val="auto"/>
          <w:szCs w:val="28"/>
        </w:rPr>
        <w:t xml:space="preserve">法定代表人签章: </w:t>
      </w:r>
    </w:p>
    <w:p w14:paraId="49B83568">
      <w:pPr>
        <w:spacing w:after="240"/>
        <w:ind w:firstLine="198" w:firstLineChars="62"/>
        <w:jc w:val="center"/>
        <w:rPr>
          <w:rFonts w:ascii="黑体" w:hAnsi="黑体" w:eastAsia="黑体"/>
          <w:color w:val="auto"/>
          <w:sz w:val="32"/>
          <w:szCs w:val="32"/>
        </w:rPr>
      </w:pPr>
      <w:r>
        <w:rPr>
          <w:rFonts w:ascii="仿宋_GB2312" w:hAnsi="仿宋"/>
          <w:color w:val="auto"/>
          <w:sz w:val="32"/>
          <w:szCs w:val="32"/>
        </w:rPr>
        <w:br w:type="page"/>
      </w:r>
      <w:r>
        <w:rPr>
          <w:rFonts w:ascii="黑体" w:hAnsi="黑体" w:eastAsia="黑体"/>
          <w:color w:val="auto"/>
          <w:sz w:val="32"/>
          <w:szCs w:val="32"/>
        </w:rPr>
        <w:t>各专业人员简况表</w:t>
      </w:r>
    </w:p>
    <w:tbl>
      <w:tblPr>
        <w:tblStyle w:val="45"/>
        <w:tblW w:w="9752"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005"/>
        <w:gridCol w:w="718"/>
        <w:gridCol w:w="1759"/>
        <w:gridCol w:w="587"/>
        <w:gridCol w:w="1247"/>
        <w:gridCol w:w="173"/>
        <w:gridCol w:w="1420"/>
        <w:gridCol w:w="125"/>
        <w:gridCol w:w="1318"/>
        <w:gridCol w:w="308"/>
        <w:gridCol w:w="1092"/>
      </w:tblGrid>
      <w:tr w14:paraId="5F7482C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005" w:type="dxa"/>
            <w:tcBorders>
              <w:bottom w:val="single" w:color="000000" w:sz="6" w:space="0"/>
              <w:right w:val="single" w:color="000000" w:sz="6" w:space="0"/>
            </w:tcBorders>
            <w:vAlign w:val="center"/>
          </w:tcPr>
          <w:p w14:paraId="6DE26519">
            <w:pPr>
              <w:ind w:firstLine="400"/>
              <w:jc w:val="center"/>
              <w:rPr>
                <w:rFonts w:ascii="仿宋_GB2312"/>
                <w:color w:val="auto"/>
                <w:sz w:val="20"/>
              </w:rPr>
            </w:pPr>
            <w:r>
              <w:rPr>
                <w:rFonts w:hint="eastAsia" w:ascii="仿宋_GB2312" w:hAnsi="宋体" w:cs="宋体"/>
                <w:color w:val="auto"/>
                <w:sz w:val="20"/>
              </w:rPr>
              <w:t>姓名</w:t>
            </w:r>
          </w:p>
        </w:tc>
        <w:tc>
          <w:tcPr>
            <w:tcW w:w="3064" w:type="dxa"/>
            <w:gridSpan w:val="3"/>
            <w:tcBorders>
              <w:left w:val="single" w:color="000000" w:sz="6" w:space="0"/>
              <w:bottom w:val="single" w:color="000000" w:sz="6" w:space="0"/>
              <w:right w:val="single" w:color="000000" w:sz="6" w:space="0"/>
            </w:tcBorders>
            <w:vAlign w:val="center"/>
          </w:tcPr>
          <w:p w14:paraId="0E86C890">
            <w:pPr>
              <w:ind w:firstLine="400"/>
              <w:jc w:val="center"/>
              <w:rPr>
                <w:rFonts w:ascii="仿宋_GB2312"/>
                <w:color w:val="auto"/>
                <w:sz w:val="20"/>
              </w:rPr>
            </w:pPr>
          </w:p>
        </w:tc>
        <w:tc>
          <w:tcPr>
            <w:tcW w:w="1420" w:type="dxa"/>
            <w:gridSpan w:val="2"/>
            <w:tcBorders>
              <w:left w:val="single" w:color="000000" w:sz="6" w:space="0"/>
              <w:bottom w:val="single" w:color="000000" w:sz="6" w:space="0"/>
              <w:right w:val="single" w:color="000000" w:sz="6" w:space="0"/>
            </w:tcBorders>
            <w:vAlign w:val="center"/>
          </w:tcPr>
          <w:p w14:paraId="6F8E70A3">
            <w:pPr>
              <w:ind w:firstLine="400"/>
              <w:jc w:val="center"/>
              <w:rPr>
                <w:rFonts w:ascii="仿宋_GB2312"/>
                <w:color w:val="auto"/>
                <w:sz w:val="20"/>
              </w:rPr>
            </w:pPr>
            <w:r>
              <w:rPr>
                <w:rFonts w:hint="eastAsia" w:ascii="仿宋_GB2312" w:hAnsi="宋体" w:cs="宋体"/>
                <w:color w:val="auto"/>
                <w:sz w:val="20"/>
              </w:rPr>
              <w:t>性别</w:t>
            </w:r>
          </w:p>
        </w:tc>
        <w:tc>
          <w:tcPr>
            <w:tcW w:w="1420" w:type="dxa"/>
            <w:tcBorders>
              <w:left w:val="single" w:color="000000" w:sz="6" w:space="0"/>
              <w:bottom w:val="single" w:color="000000" w:sz="6" w:space="0"/>
              <w:right w:val="single" w:color="000000" w:sz="6" w:space="0"/>
            </w:tcBorders>
            <w:vAlign w:val="center"/>
          </w:tcPr>
          <w:p w14:paraId="030D4304">
            <w:pPr>
              <w:ind w:firstLine="400"/>
              <w:jc w:val="center"/>
              <w:rPr>
                <w:rFonts w:ascii="仿宋_GB2312"/>
                <w:color w:val="auto"/>
                <w:sz w:val="20"/>
              </w:rPr>
            </w:pPr>
          </w:p>
        </w:tc>
        <w:tc>
          <w:tcPr>
            <w:tcW w:w="1443" w:type="dxa"/>
            <w:gridSpan w:val="2"/>
            <w:tcBorders>
              <w:left w:val="single" w:color="000000" w:sz="6" w:space="0"/>
              <w:bottom w:val="single" w:color="000000" w:sz="6" w:space="0"/>
              <w:right w:val="single" w:color="000000" w:sz="6" w:space="0"/>
            </w:tcBorders>
            <w:vAlign w:val="center"/>
          </w:tcPr>
          <w:p w14:paraId="6B790EEB">
            <w:pPr>
              <w:ind w:firstLine="400"/>
              <w:jc w:val="center"/>
              <w:rPr>
                <w:rFonts w:ascii="仿宋_GB2312"/>
                <w:color w:val="auto"/>
                <w:sz w:val="20"/>
              </w:rPr>
            </w:pPr>
            <w:r>
              <w:rPr>
                <w:rFonts w:hint="eastAsia" w:ascii="仿宋_GB2312" w:hAnsi="宋体" w:cs="宋体"/>
                <w:color w:val="auto"/>
                <w:sz w:val="20"/>
              </w:rPr>
              <w:t>年龄</w:t>
            </w:r>
          </w:p>
        </w:tc>
        <w:tc>
          <w:tcPr>
            <w:tcW w:w="1400" w:type="dxa"/>
            <w:gridSpan w:val="2"/>
            <w:tcBorders>
              <w:left w:val="single" w:color="000000" w:sz="6" w:space="0"/>
              <w:bottom w:val="single" w:color="000000" w:sz="6" w:space="0"/>
            </w:tcBorders>
            <w:vAlign w:val="center"/>
          </w:tcPr>
          <w:p w14:paraId="5A55A885">
            <w:pPr>
              <w:ind w:firstLine="400"/>
              <w:jc w:val="center"/>
              <w:rPr>
                <w:rFonts w:ascii="仿宋_GB2312"/>
                <w:color w:val="auto"/>
                <w:sz w:val="20"/>
              </w:rPr>
            </w:pPr>
          </w:p>
        </w:tc>
      </w:tr>
      <w:tr w14:paraId="6C204C0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005" w:type="dxa"/>
            <w:tcBorders>
              <w:top w:val="single" w:color="000000" w:sz="6" w:space="0"/>
              <w:bottom w:val="single" w:color="000000" w:sz="6" w:space="0"/>
              <w:right w:val="single" w:color="000000" w:sz="6" w:space="0"/>
            </w:tcBorders>
            <w:vAlign w:val="center"/>
          </w:tcPr>
          <w:p w14:paraId="0F2EA6A6">
            <w:pPr>
              <w:ind w:firstLine="400"/>
              <w:jc w:val="center"/>
              <w:rPr>
                <w:rFonts w:ascii="仿宋_GB2312"/>
                <w:color w:val="auto"/>
                <w:sz w:val="20"/>
              </w:rPr>
            </w:pPr>
            <w:r>
              <w:rPr>
                <w:rFonts w:hint="eastAsia" w:ascii="仿宋_GB2312" w:hAnsi="宋体" w:cs="宋体"/>
                <w:color w:val="auto"/>
                <w:sz w:val="20"/>
              </w:rPr>
              <w:t>职务</w:t>
            </w:r>
          </w:p>
        </w:tc>
        <w:tc>
          <w:tcPr>
            <w:tcW w:w="3064" w:type="dxa"/>
            <w:gridSpan w:val="3"/>
            <w:tcBorders>
              <w:top w:val="single" w:color="000000" w:sz="6" w:space="0"/>
              <w:left w:val="single" w:color="000000" w:sz="6" w:space="0"/>
              <w:bottom w:val="single" w:color="000000" w:sz="6" w:space="0"/>
              <w:right w:val="single" w:color="000000" w:sz="6" w:space="0"/>
            </w:tcBorders>
            <w:vAlign w:val="center"/>
          </w:tcPr>
          <w:p w14:paraId="7464DE88">
            <w:pPr>
              <w:ind w:firstLine="400"/>
              <w:jc w:val="center"/>
              <w:rPr>
                <w:rFonts w:ascii="仿宋_GB2312"/>
                <w:color w:val="auto"/>
                <w:sz w:val="20"/>
              </w:rPr>
            </w:pPr>
          </w:p>
        </w:tc>
        <w:tc>
          <w:tcPr>
            <w:tcW w:w="1420" w:type="dxa"/>
            <w:gridSpan w:val="2"/>
            <w:tcBorders>
              <w:top w:val="single" w:color="000000" w:sz="6" w:space="0"/>
              <w:left w:val="single" w:color="000000" w:sz="6" w:space="0"/>
              <w:bottom w:val="single" w:color="000000" w:sz="6" w:space="0"/>
              <w:right w:val="single" w:color="000000" w:sz="6" w:space="0"/>
            </w:tcBorders>
            <w:vAlign w:val="center"/>
          </w:tcPr>
          <w:p w14:paraId="3477150F">
            <w:pPr>
              <w:ind w:firstLine="400"/>
              <w:jc w:val="center"/>
              <w:rPr>
                <w:rFonts w:ascii="仿宋_GB2312"/>
                <w:color w:val="auto"/>
                <w:sz w:val="20"/>
              </w:rPr>
            </w:pPr>
            <w:r>
              <w:rPr>
                <w:rFonts w:hint="eastAsia" w:ascii="仿宋_GB2312" w:hAnsi="宋体" w:cs="宋体"/>
                <w:color w:val="auto"/>
                <w:sz w:val="20"/>
              </w:rPr>
              <w:t>职称</w:t>
            </w:r>
          </w:p>
        </w:tc>
        <w:tc>
          <w:tcPr>
            <w:tcW w:w="1420" w:type="dxa"/>
            <w:tcBorders>
              <w:top w:val="single" w:color="000000" w:sz="6" w:space="0"/>
              <w:left w:val="single" w:color="000000" w:sz="6" w:space="0"/>
              <w:bottom w:val="single" w:color="000000" w:sz="6" w:space="0"/>
              <w:right w:val="single" w:color="000000" w:sz="6" w:space="0"/>
            </w:tcBorders>
            <w:vAlign w:val="center"/>
          </w:tcPr>
          <w:p w14:paraId="46CA8431">
            <w:pPr>
              <w:ind w:firstLine="400"/>
              <w:jc w:val="center"/>
              <w:rPr>
                <w:rFonts w:ascii="仿宋_GB2312"/>
                <w:color w:val="auto"/>
                <w:sz w:val="20"/>
              </w:rPr>
            </w:pPr>
          </w:p>
        </w:tc>
        <w:tc>
          <w:tcPr>
            <w:tcW w:w="1443" w:type="dxa"/>
            <w:gridSpan w:val="2"/>
            <w:tcBorders>
              <w:top w:val="single" w:color="000000" w:sz="6" w:space="0"/>
              <w:left w:val="single" w:color="000000" w:sz="6" w:space="0"/>
              <w:bottom w:val="single" w:color="000000" w:sz="6" w:space="0"/>
              <w:right w:val="single" w:color="000000" w:sz="6" w:space="0"/>
            </w:tcBorders>
            <w:vAlign w:val="center"/>
          </w:tcPr>
          <w:p w14:paraId="5CF741A2">
            <w:pPr>
              <w:ind w:firstLine="400"/>
              <w:jc w:val="center"/>
              <w:rPr>
                <w:rFonts w:ascii="仿宋_GB2312"/>
                <w:color w:val="auto"/>
                <w:sz w:val="20"/>
              </w:rPr>
            </w:pPr>
            <w:r>
              <w:rPr>
                <w:rFonts w:hint="eastAsia" w:ascii="仿宋_GB2312" w:hAnsi="宋体" w:cs="宋体"/>
                <w:color w:val="auto"/>
                <w:sz w:val="20"/>
              </w:rPr>
              <w:t>学历</w:t>
            </w:r>
          </w:p>
        </w:tc>
        <w:tc>
          <w:tcPr>
            <w:tcW w:w="1400" w:type="dxa"/>
            <w:gridSpan w:val="2"/>
            <w:tcBorders>
              <w:top w:val="single" w:color="000000" w:sz="6" w:space="0"/>
              <w:left w:val="single" w:color="000000" w:sz="6" w:space="0"/>
              <w:bottom w:val="single" w:color="000000" w:sz="6" w:space="0"/>
            </w:tcBorders>
            <w:vAlign w:val="center"/>
          </w:tcPr>
          <w:p w14:paraId="65951689">
            <w:pPr>
              <w:ind w:firstLine="400"/>
              <w:jc w:val="center"/>
              <w:rPr>
                <w:rFonts w:ascii="仿宋_GB2312"/>
                <w:color w:val="auto"/>
                <w:sz w:val="20"/>
              </w:rPr>
            </w:pPr>
          </w:p>
        </w:tc>
      </w:tr>
      <w:tr w14:paraId="4149356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00" w:hRule="atLeast"/>
        </w:trPr>
        <w:tc>
          <w:tcPr>
            <w:tcW w:w="3482" w:type="dxa"/>
            <w:gridSpan w:val="3"/>
            <w:tcBorders>
              <w:top w:val="single" w:color="000000" w:sz="6" w:space="0"/>
              <w:bottom w:val="single" w:color="000000" w:sz="6" w:space="0"/>
              <w:right w:val="single" w:color="000000" w:sz="6" w:space="0"/>
            </w:tcBorders>
            <w:vAlign w:val="center"/>
          </w:tcPr>
          <w:p w14:paraId="132A19B0">
            <w:pPr>
              <w:ind w:firstLine="400"/>
              <w:jc w:val="center"/>
              <w:rPr>
                <w:rFonts w:ascii="仿宋_GB2312"/>
                <w:color w:val="auto"/>
                <w:sz w:val="20"/>
              </w:rPr>
            </w:pPr>
            <w:r>
              <w:rPr>
                <w:rFonts w:hint="eastAsia" w:ascii="仿宋_GB2312" w:hAnsi="宋体" w:cs="宋体"/>
                <w:color w:val="auto"/>
                <w:sz w:val="20"/>
              </w:rPr>
              <w:t>参加工作时间</w:t>
            </w:r>
          </w:p>
        </w:tc>
        <w:tc>
          <w:tcPr>
            <w:tcW w:w="2007" w:type="dxa"/>
            <w:gridSpan w:val="3"/>
            <w:tcBorders>
              <w:top w:val="single" w:color="000000" w:sz="6" w:space="0"/>
              <w:left w:val="single" w:color="000000" w:sz="6" w:space="0"/>
              <w:bottom w:val="single" w:color="000000" w:sz="6" w:space="0"/>
              <w:right w:val="single" w:color="000000" w:sz="6" w:space="0"/>
            </w:tcBorders>
            <w:vAlign w:val="center"/>
          </w:tcPr>
          <w:p w14:paraId="1D82E922">
            <w:pPr>
              <w:ind w:firstLine="400"/>
              <w:jc w:val="center"/>
              <w:rPr>
                <w:rFonts w:ascii="仿宋_GB2312"/>
                <w:color w:val="auto"/>
                <w:sz w:val="20"/>
              </w:rPr>
            </w:pPr>
          </w:p>
        </w:tc>
        <w:tc>
          <w:tcPr>
            <w:tcW w:w="3171" w:type="dxa"/>
            <w:gridSpan w:val="4"/>
            <w:tcBorders>
              <w:top w:val="single" w:color="000000" w:sz="6" w:space="0"/>
              <w:left w:val="single" w:color="000000" w:sz="6" w:space="0"/>
              <w:bottom w:val="single" w:color="000000" w:sz="6" w:space="0"/>
              <w:right w:val="single" w:color="000000" w:sz="6" w:space="0"/>
            </w:tcBorders>
            <w:vAlign w:val="center"/>
          </w:tcPr>
          <w:p w14:paraId="58113AA4">
            <w:pPr>
              <w:ind w:firstLine="400"/>
              <w:jc w:val="center"/>
              <w:rPr>
                <w:rFonts w:ascii="仿宋_GB2312"/>
                <w:color w:val="auto"/>
                <w:sz w:val="20"/>
              </w:rPr>
            </w:pPr>
            <w:r>
              <w:rPr>
                <w:rFonts w:hint="eastAsia" w:ascii="仿宋_GB2312" w:hAnsi="宋体" w:cs="宋体"/>
                <w:color w:val="auto"/>
                <w:sz w:val="20"/>
              </w:rPr>
              <w:t>担任相应职务年限</w:t>
            </w:r>
          </w:p>
        </w:tc>
        <w:tc>
          <w:tcPr>
            <w:tcW w:w="1092" w:type="dxa"/>
            <w:tcBorders>
              <w:top w:val="single" w:color="000000" w:sz="6" w:space="0"/>
              <w:left w:val="single" w:color="000000" w:sz="6" w:space="0"/>
              <w:bottom w:val="single" w:color="000000" w:sz="6" w:space="0"/>
            </w:tcBorders>
            <w:vAlign w:val="center"/>
          </w:tcPr>
          <w:p w14:paraId="73CCA072">
            <w:pPr>
              <w:ind w:firstLine="400"/>
              <w:jc w:val="center"/>
              <w:rPr>
                <w:rFonts w:ascii="仿宋_GB2312"/>
                <w:color w:val="auto"/>
                <w:sz w:val="20"/>
              </w:rPr>
            </w:pPr>
          </w:p>
        </w:tc>
      </w:tr>
      <w:tr w14:paraId="0A20834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9" w:hRule="atLeast"/>
        </w:trPr>
        <w:tc>
          <w:tcPr>
            <w:tcW w:w="3482" w:type="dxa"/>
            <w:gridSpan w:val="3"/>
            <w:tcBorders>
              <w:top w:val="single" w:color="000000" w:sz="6" w:space="0"/>
              <w:bottom w:val="single" w:color="000000" w:sz="6" w:space="0"/>
              <w:right w:val="single" w:color="000000" w:sz="6" w:space="0"/>
            </w:tcBorders>
            <w:vAlign w:val="center"/>
          </w:tcPr>
          <w:p w14:paraId="491B5B24">
            <w:pPr>
              <w:ind w:firstLine="400"/>
              <w:jc w:val="center"/>
              <w:rPr>
                <w:rFonts w:ascii="仿宋_GB2312"/>
                <w:color w:val="auto"/>
                <w:sz w:val="20"/>
              </w:rPr>
            </w:pPr>
            <w:r>
              <w:rPr>
                <w:rFonts w:hint="eastAsia" w:ascii="仿宋_GB2312" w:hAnsi="宋体" w:cs="宋体"/>
                <w:color w:val="auto"/>
                <w:sz w:val="20"/>
              </w:rPr>
              <w:t>资格证书编号</w:t>
            </w:r>
          </w:p>
        </w:tc>
        <w:tc>
          <w:tcPr>
            <w:tcW w:w="6270" w:type="dxa"/>
            <w:gridSpan w:val="8"/>
            <w:tcBorders>
              <w:top w:val="single" w:color="000000" w:sz="6" w:space="0"/>
              <w:left w:val="single" w:color="000000" w:sz="6" w:space="0"/>
              <w:bottom w:val="single" w:color="000000" w:sz="6" w:space="0"/>
            </w:tcBorders>
            <w:vAlign w:val="center"/>
          </w:tcPr>
          <w:p w14:paraId="4ED08E63">
            <w:pPr>
              <w:ind w:firstLine="400"/>
              <w:jc w:val="center"/>
              <w:rPr>
                <w:rFonts w:ascii="仿宋_GB2312"/>
                <w:color w:val="auto"/>
                <w:sz w:val="20"/>
              </w:rPr>
            </w:pPr>
          </w:p>
        </w:tc>
      </w:tr>
      <w:tr w14:paraId="7D33C3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60" w:hRule="atLeast"/>
        </w:trPr>
        <w:tc>
          <w:tcPr>
            <w:tcW w:w="9752" w:type="dxa"/>
            <w:gridSpan w:val="11"/>
            <w:tcBorders>
              <w:top w:val="single" w:color="000000" w:sz="6" w:space="0"/>
              <w:bottom w:val="single" w:color="000000" w:sz="6" w:space="0"/>
            </w:tcBorders>
            <w:vAlign w:val="center"/>
          </w:tcPr>
          <w:p w14:paraId="525B2A7F">
            <w:pPr>
              <w:ind w:firstLine="400"/>
              <w:jc w:val="center"/>
              <w:rPr>
                <w:rFonts w:ascii="仿宋_GB2312"/>
                <w:color w:val="auto"/>
                <w:sz w:val="20"/>
              </w:rPr>
            </w:pPr>
            <w:r>
              <w:rPr>
                <w:rFonts w:hint="eastAsia" w:ascii="仿宋_GB2312" w:hAnsi="宋体" w:cs="宋体"/>
                <w:color w:val="auto"/>
                <w:sz w:val="20"/>
              </w:rPr>
              <w:t>在建和已完工程项目情况</w:t>
            </w:r>
          </w:p>
        </w:tc>
      </w:tr>
      <w:tr w14:paraId="07DB711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95" w:hRule="atLeast"/>
        </w:trPr>
        <w:tc>
          <w:tcPr>
            <w:tcW w:w="1723" w:type="dxa"/>
            <w:gridSpan w:val="2"/>
            <w:tcBorders>
              <w:top w:val="single" w:color="000000" w:sz="6" w:space="0"/>
              <w:bottom w:val="single" w:color="000000" w:sz="6" w:space="0"/>
              <w:right w:val="single" w:color="000000" w:sz="6" w:space="0"/>
            </w:tcBorders>
            <w:vAlign w:val="center"/>
          </w:tcPr>
          <w:p w14:paraId="4C21E74E">
            <w:pPr>
              <w:ind w:firstLine="400"/>
              <w:jc w:val="center"/>
              <w:rPr>
                <w:rFonts w:ascii="仿宋_GB2312"/>
                <w:color w:val="auto"/>
                <w:sz w:val="20"/>
              </w:rPr>
            </w:pPr>
            <w:r>
              <w:rPr>
                <w:rFonts w:hint="eastAsia" w:ascii="仿宋_GB2312" w:hAnsi="宋体" w:cs="宋体"/>
                <w:color w:val="auto"/>
                <w:sz w:val="20"/>
              </w:rPr>
              <w:t>发包人</w:t>
            </w:r>
          </w:p>
        </w:tc>
        <w:tc>
          <w:tcPr>
            <w:tcW w:w="1759" w:type="dxa"/>
            <w:tcBorders>
              <w:top w:val="single" w:color="000000" w:sz="6" w:space="0"/>
              <w:left w:val="single" w:color="000000" w:sz="6" w:space="0"/>
              <w:bottom w:val="single" w:color="000000" w:sz="6" w:space="0"/>
              <w:right w:val="single" w:color="000000" w:sz="6" w:space="0"/>
            </w:tcBorders>
            <w:vAlign w:val="center"/>
          </w:tcPr>
          <w:p w14:paraId="30F39626">
            <w:pPr>
              <w:ind w:firstLine="400"/>
              <w:jc w:val="center"/>
              <w:rPr>
                <w:rFonts w:ascii="仿宋_GB2312"/>
                <w:color w:val="auto"/>
                <w:sz w:val="20"/>
              </w:rPr>
            </w:pPr>
            <w:r>
              <w:rPr>
                <w:rFonts w:hint="eastAsia" w:ascii="仿宋_GB2312" w:hAnsi="宋体" w:cs="宋体"/>
                <w:color w:val="auto"/>
                <w:sz w:val="20"/>
              </w:rPr>
              <w:t>项目名称</w:t>
            </w: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7430DA84">
            <w:pPr>
              <w:ind w:firstLine="400"/>
              <w:jc w:val="center"/>
              <w:rPr>
                <w:rFonts w:ascii="仿宋_GB2312"/>
                <w:color w:val="auto"/>
                <w:sz w:val="20"/>
              </w:rPr>
            </w:pPr>
            <w:r>
              <w:rPr>
                <w:rFonts w:hint="eastAsia" w:ascii="仿宋_GB2312" w:hAnsi="宋体" w:cs="宋体"/>
                <w:color w:val="auto"/>
                <w:sz w:val="20"/>
              </w:rPr>
              <w:t>建设规模</w:t>
            </w: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10605435">
            <w:pPr>
              <w:ind w:firstLine="400"/>
              <w:jc w:val="center"/>
              <w:rPr>
                <w:rFonts w:ascii="仿宋_GB2312"/>
                <w:color w:val="auto"/>
                <w:sz w:val="20"/>
              </w:rPr>
            </w:pPr>
            <w:r>
              <w:rPr>
                <w:rFonts w:hint="eastAsia" w:ascii="仿宋_GB2312" w:hAnsi="宋体" w:cs="宋体"/>
                <w:color w:val="auto"/>
                <w:sz w:val="20"/>
              </w:rPr>
              <w:t>开、竣工日期</w:t>
            </w:r>
          </w:p>
        </w:tc>
        <w:tc>
          <w:tcPr>
            <w:tcW w:w="1318" w:type="dxa"/>
            <w:tcBorders>
              <w:top w:val="single" w:color="000000" w:sz="6" w:space="0"/>
              <w:left w:val="single" w:color="000000" w:sz="6" w:space="0"/>
              <w:bottom w:val="single" w:color="000000" w:sz="6" w:space="0"/>
              <w:right w:val="single" w:color="000000" w:sz="6" w:space="0"/>
            </w:tcBorders>
            <w:vAlign w:val="center"/>
          </w:tcPr>
          <w:p w14:paraId="7275B62E">
            <w:pPr>
              <w:ind w:firstLine="0" w:firstLineChars="0"/>
              <w:jc w:val="center"/>
              <w:rPr>
                <w:rFonts w:ascii="仿宋_GB2312"/>
                <w:color w:val="auto"/>
                <w:sz w:val="20"/>
              </w:rPr>
            </w:pPr>
            <w:r>
              <w:rPr>
                <w:rFonts w:hint="eastAsia" w:ascii="仿宋_GB2312" w:hAnsi="宋体" w:cs="宋体"/>
                <w:color w:val="auto"/>
                <w:sz w:val="20"/>
              </w:rPr>
              <w:t>在建或已完</w:t>
            </w:r>
          </w:p>
        </w:tc>
        <w:tc>
          <w:tcPr>
            <w:tcW w:w="1400" w:type="dxa"/>
            <w:gridSpan w:val="2"/>
            <w:tcBorders>
              <w:top w:val="single" w:color="000000" w:sz="6" w:space="0"/>
              <w:left w:val="single" w:color="000000" w:sz="6" w:space="0"/>
              <w:bottom w:val="single" w:color="000000" w:sz="6" w:space="0"/>
            </w:tcBorders>
            <w:vAlign w:val="center"/>
          </w:tcPr>
          <w:p w14:paraId="09B9A564">
            <w:pPr>
              <w:ind w:firstLine="400"/>
              <w:jc w:val="center"/>
              <w:rPr>
                <w:rFonts w:ascii="仿宋_GB2312"/>
                <w:color w:val="auto"/>
                <w:sz w:val="20"/>
              </w:rPr>
            </w:pPr>
            <w:r>
              <w:rPr>
                <w:rFonts w:hint="eastAsia" w:ascii="仿宋_GB2312" w:hAnsi="宋体" w:cs="宋体"/>
                <w:color w:val="auto"/>
                <w:sz w:val="20"/>
              </w:rPr>
              <w:t>工程质量</w:t>
            </w:r>
          </w:p>
        </w:tc>
      </w:tr>
      <w:tr w14:paraId="10B380A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723" w:type="dxa"/>
            <w:gridSpan w:val="2"/>
            <w:tcBorders>
              <w:top w:val="single" w:color="000000" w:sz="6" w:space="0"/>
              <w:bottom w:val="single" w:color="000000" w:sz="6" w:space="0"/>
              <w:right w:val="single" w:color="000000" w:sz="6" w:space="0"/>
            </w:tcBorders>
            <w:vAlign w:val="center"/>
          </w:tcPr>
          <w:p w14:paraId="1C9B89D2">
            <w:pPr>
              <w:ind w:firstLine="400"/>
              <w:jc w:val="center"/>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281DE71A">
            <w:pPr>
              <w:ind w:firstLine="400"/>
              <w:jc w:val="center"/>
              <w:rPr>
                <w:rFonts w:ascii="仿宋_GB2312"/>
                <w:color w:val="auto"/>
                <w:sz w:val="20"/>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55E10954">
            <w:pPr>
              <w:ind w:firstLine="400"/>
              <w:jc w:val="center"/>
              <w:rPr>
                <w:rFonts w:ascii="仿宋_GB2312"/>
                <w:color w:val="auto"/>
                <w:sz w:val="20"/>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19D25048">
            <w:pPr>
              <w:ind w:firstLine="400"/>
              <w:jc w:val="center"/>
              <w:rPr>
                <w:rFonts w:ascii="仿宋_GB2312"/>
                <w:color w:val="auto"/>
                <w:sz w:val="20"/>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70FBDD9E">
            <w:pPr>
              <w:ind w:firstLine="400"/>
              <w:jc w:val="center"/>
              <w:rPr>
                <w:rFonts w:ascii="仿宋_GB2312"/>
                <w:color w:val="auto"/>
                <w:sz w:val="20"/>
              </w:rPr>
            </w:pPr>
          </w:p>
        </w:tc>
        <w:tc>
          <w:tcPr>
            <w:tcW w:w="1400" w:type="dxa"/>
            <w:gridSpan w:val="2"/>
            <w:tcBorders>
              <w:top w:val="single" w:color="000000" w:sz="6" w:space="0"/>
              <w:left w:val="single" w:color="000000" w:sz="6" w:space="0"/>
              <w:bottom w:val="single" w:color="000000" w:sz="6" w:space="0"/>
            </w:tcBorders>
            <w:vAlign w:val="center"/>
          </w:tcPr>
          <w:p w14:paraId="059F3458">
            <w:pPr>
              <w:ind w:firstLine="400"/>
              <w:jc w:val="center"/>
              <w:rPr>
                <w:rFonts w:ascii="仿宋_GB2312"/>
                <w:color w:val="auto"/>
                <w:sz w:val="20"/>
              </w:rPr>
            </w:pPr>
          </w:p>
        </w:tc>
      </w:tr>
      <w:tr w14:paraId="3737473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23" w:type="dxa"/>
            <w:gridSpan w:val="2"/>
            <w:tcBorders>
              <w:top w:val="single" w:color="000000" w:sz="6" w:space="0"/>
              <w:bottom w:val="single" w:color="000000" w:sz="6" w:space="0"/>
              <w:right w:val="single" w:color="000000" w:sz="6" w:space="0"/>
            </w:tcBorders>
            <w:vAlign w:val="center"/>
          </w:tcPr>
          <w:p w14:paraId="509380AF">
            <w:pPr>
              <w:ind w:firstLine="400"/>
              <w:jc w:val="center"/>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13DC79E3">
            <w:pPr>
              <w:ind w:firstLine="400"/>
              <w:jc w:val="center"/>
              <w:rPr>
                <w:rFonts w:ascii="仿宋_GB2312"/>
                <w:color w:val="auto"/>
                <w:sz w:val="20"/>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4A926A2B">
            <w:pPr>
              <w:ind w:firstLine="400"/>
              <w:jc w:val="center"/>
              <w:rPr>
                <w:rFonts w:ascii="仿宋_GB2312"/>
                <w:color w:val="auto"/>
                <w:sz w:val="20"/>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63675F3B">
            <w:pPr>
              <w:ind w:firstLine="400"/>
              <w:jc w:val="center"/>
              <w:rPr>
                <w:rFonts w:ascii="仿宋_GB2312"/>
                <w:color w:val="auto"/>
                <w:sz w:val="20"/>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4A9BD2EF">
            <w:pPr>
              <w:ind w:firstLine="400"/>
              <w:jc w:val="center"/>
              <w:rPr>
                <w:rFonts w:ascii="仿宋_GB2312"/>
                <w:color w:val="auto"/>
                <w:sz w:val="20"/>
              </w:rPr>
            </w:pPr>
          </w:p>
        </w:tc>
        <w:tc>
          <w:tcPr>
            <w:tcW w:w="1400" w:type="dxa"/>
            <w:gridSpan w:val="2"/>
            <w:tcBorders>
              <w:top w:val="single" w:color="000000" w:sz="6" w:space="0"/>
              <w:left w:val="single" w:color="000000" w:sz="6" w:space="0"/>
              <w:bottom w:val="single" w:color="000000" w:sz="6" w:space="0"/>
            </w:tcBorders>
            <w:vAlign w:val="center"/>
          </w:tcPr>
          <w:p w14:paraId="04D4A163">
            <w:pPr>
              <w:ind w:firstLine="400"/>
              <w:jc w:val="center"/>
              <w:rPr>
                <w:rFonts w:ascii="仿宋_GB2312"/>
                <w:color w:val="auto"/>
                <w:sz w:val="20"/>
              </w:rPr>
            </w:pPr>
          </w:p>
        </w:tc>
      </w:tr>
      <w:tr w14:paraId="50F3FB8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23" w:type="dxa"/>
            <w:gridSpan w:val="2"/>
            <w:tcBorders>
              <w:top w:val="single" w:color="000000" w:sz="6" w:space="0"/>
              <w:bottom w:val="single" w:color="000000" w:sz="6" w:space="0"/>
              <w:right w:val="single" w:color="000000" w:sz="6" w:space="0"/>
            </w:tcBorders>
            <w:vAlign w:val="center"/>
          </w:tcPr>
          <w:p w14:paraId="28F68E31">
            <w:pPr>
              <w:ind w:firstLine="400"/>
              <w:jc w:val="center"/>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79B54C40">
            <w:pPr>
              <w:ind w:firstLine="400"/>
              <w:jc w:val="center"/>
              <w:rPr>
                <w:rFonts w:ascii="仿宋_GB2312"/>
                <w:color w:val="auto"/>
                <w:sz w:val="20"/>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42DF1279">
            <w:pPr>
              <w:ind w:firstLine="400"/>
              <w:jc w:val="center"/>
              <w:rPr>
                <w:rFonts w:ascii="仿宋_GB2312"/>
                <w:color w:val="auto"/>
                <w:sz w:val="20"/>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0B0B08D9">
            <w:pPr>
              <w:ind w:firstLine="400"/>
              <w:jc w:val="center"/>
              <w:rPr>
                <w:rFonts w:ascii="仿宋_GB2312"/>
                <w:color w:val="auto"/>
                <w:sz w:val="20"/>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4A2D4FF9">
            <w:pPr>
              <w:ind w:firstLine="400"/>
              <w:jc w:val="center"/>
              <w:rPr>
                <w:rFonts w:ascii="仿宋_GB2312"/>
                <w:color w:val="auto"/>
                <w:sz w:val="20"/>
              </w:rPr>
            </w:pPr>
          </w:p>
        </w:tc>
        <w:tc>
          <w:tcPr>
            <w:tcW w:w="1400" w:type="dxa"/>
            <w:gridSpan w:val="2"/>
            <w:tcBorders>
              <w:top w:val="single" w:color="000000" w:sz="6" w:space="0"/>
              <w:left w:val="single" w:color="000000" w:sz="6" w:space="0"/>
              <w:bottom w:val="single" w:color="000000" w:sz="6" w:space="0"/>
            </w:tcBorders>
            <w:vAlign w:val="center"/>
          </w:tcPr>
          <w:p w14:paraId="30B8551E">
            <w:pPr>
              <w:ind w:firstLine="400"/>
              <w:jc w:val="center"/>
              <w:rPr>
                <w:rFonts w:ascii="仿宋_GB2312"/>
                <w:color w:val="auto"/>
                <w:sz w:val="20"/>
              </w:rPr>
            </w:pPr>
          </w:p>
        </w:tc>
      </w:tr>
      <w:tr w14:paraId="164983F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8" w:hRule="atLeast"/>
        </w:trPr>
        <w:tc>
          <w:tcPr>
            <w:tcW w:w="1723" w:type="dxa"/>
            <w:gridSpan w:val="2"/>
            <w:tcBorders>
              <w:top w:val="single" w:color="000000" w:sz="6" w:space="0"/>
              <w:bottom w:val="single" w:color="000000" w:sz="6" w:space="0"/>
              <w:right w:val="single" w:color="000000" w:sz="6" w:space="0"/>
            </w:tcBorders>
            <w:vAlign w:val="center"/>
          </w:tcPr>
          <w:p w14:paraId="55537932">
            <w:pPr>
              <w:ind w:firstLine="400"/>
              <w:jc w:val="center"/>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29B1DF0A">
            <w:pPr>
              <w:ind w:firstLine="400"/>
              <w:jc w:val="center"/>
              <w:rPr>
                <w:rFonts w:ascii="仿宋_GB2312"/>
                <w:color w:val="auto"/>
                <w:sz w:val="20"/>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6026C1C3">
            <w:pPr>
              <w:ind w:firstLine="400"/>
              <w:jc w:val="center"/>
              <w:rPr>
                <w:rFonts w:ascii="仿宋_GB2312"/>
                <w:color w:val="auto"/>
                <w:sz w:val="20"/>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44D7A0C0">
            <w:pPr>
              <w:ind w:firstLine="400"/>
              <w:jc w:val="center"/>
              <w:rPr>
                <w:rFonts w:ascii="仿宋_GB2312"/>
                <w:color w:val="auto"/>
                <w:sz w:val="20"/>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378F1E2B">
            <w:pPr>
              <w:ind w:firstLine="400"/>
              <w:jc w:val="center"/>
              <w:rPr>
                <w:rFonts w:ascii="仿宋_GB2312"/>
                <w:color w:val="auto"/>
                <w:sz w:val="20"/>
              </w:rPr>
            </w:pPr>
          </w:p>
        </w:tc>
        <w:tc>
          <w:tcPr>
            <w:tcW w:w="1400" w:type="dxa"/>
            <w:gridSpan w:val="2"/>
            <w:tcBorders>
              <w:top w:val="single" w:color="000000" w:sz="6" w:space="0"/>
              <w:left w:val="single" w:color="000000" w:sz="6" w:space="0"/>
              <w:bottom w:val="single" w:color="000000" w:sz="6" w:space="0"/>
            </w:tcBorders>
            <w:vAlign w:val="center"/>
          </w:tcPr>
          <w:p w14:paraId="4D316269">
            <w:pPr>
              <w:ind w:firstLine="400"/>
              <w:jc w:val="center"/>
              <w:rPr>
                <w:rFonts w:ascii="仿宋_GB2312"/>
                <w:color w:val="auto"/>
                <w:sz w:val="20"/>
              </w:rPr>
            </w:pPr>
          </w:p>
        </w:tc>
      </w:tr>
      <w:tr w14:paraId="6A86112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23" w:type="dxa"/>
            <w:gridSpan w:val="2"/>
            <w:tcBorders>
              <w:top w:val="single" w:color="000000" w:sz="6" w:space="0"/>
              <w:bottom w:val="single" w:color="000000" w:sz="6" w:space="0"/>
              <w:right w:val="single" w:color="000000" w:sz="6" w:space="0"/>
            </w:tcBorders>
            <w:vAlign w:val="center"/>
          </w:tcPr>
          <w:p w14:paraId="6A4449CC">
            <w:pPr>
              <w:ind w:firstLine="400"/>
              <w:jc w:val="center"/>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5D5961A9">
            <w:pPr>
              <w:ind w:firstLine="400"/>
              <w:jc w:val="center"/>
              <w:rPr>
                <w:rFonts w:ascii="仿宋_GB2312"/>
                <w:color w:val="auto"/>
                <w:sz w:val="20"/>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34E92BDE">
            <w:pPr>
              <w:ind w:firstLine="400"/>
              <w:jc w:val="center"/>
              <w:rPr>
                <w:rFonts w:ascii="仿宋_GB2312"/>
                <w:color w:val="auto"/>
                <w:sz w:val="20"/>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3B3D77AF">
            <w:pPr>
              <w:ind w:firstLine="400"/>
              <w:jc w:val="center"/>
              <w:rPr>
                <w:rFonts w:ascii="仿宋_GB2312"/>
                <w:color w:val="auto"/>
                <w:sz w:val="20"/>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6EB1B3F0">
            <w:pPr>
              <w:ind w:firstLine="400"/>
              <w:jc w:val="center"/>
              <w:rPr>
                <w:rFonts w:ascii="仿宋_GB2312"/>
                <w:color w:val="auto"/>
                <w:sz w:val="20"/>
              </w:rPr>
            </w:pPr>
          </w:p>
        </w:tc>
        <w:tc>
          <w:tcPr>
            <w:tcW w:w="1400" w:type="dxa"/>
            <w:gridSpan w:val="2"/>
            <w:tcBorders>
              <w:top w:val="single" w:color="000000" w:sz="6" w:space="0"/>
              <w:left w:val="single" w:color="000000" w:sz="6" w:space="0"/>
              <w:bottom w:val="single" w:color="000000" w:sz="6" w:space="0"/>
            </w:tcBorders>
            <w:vAlign w:val="center"/>
          </w:tcPr>
          <w:p w14:paraId="0E7D8C95">
            <w:pPr>
              <w:ind w:firstLine="400"/>
              <w:jc w:val="center"/>
              <w:rPr>
                <w:rFonts w:ascii="仿宋_GB2312"/>
                <w:color w:val="auto"/>
                <w:sz w:val="20"/>
              </w:rPr>
            </w:pPr>
          </w:p>
        </w:tc>
      </w:tr>
      <w:tr w14:paraId="548D9B6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9" w:hRule="atLeast"/>
        </w:trPr>
        <w:tc>
          <w:tcPr>
            <w:tcW w:w="1723" w:type="dxa"/>
            <w:gridSpan w:val="2"/>
            <w:tcBorders>
              <w:top w:val="single" w:color="000000" w:sz="6" w:space="0"/>
              <w:bottom w:val="single" w:color="000000" w:sz="6" w:space="0"/>
              <w:right w:val="single" w:color="000000" w:sz="6" w:space="0"/>
            </w:tcBorders>
            <w:vAlign w:val="center"/>
          </w:tcPr>
          <w:p w14:paraId="2F1436DD">
            <w:pPr>
              <w:ind w:firstLine="400"/>
              <w:jc w:val="center"/>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744024BA">
            <w:pPr>
              <w:ind w:firstLine="400"/>
              <w:jc w:val="center"/>
              <w:rPr>
                <w:rFonts w:ascii="仿宋_GB2312"/>
                <w:color w:val="auto"/>
                <w:sz w:val="20"/>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24D64C97">
            <w:pPr>
              <w:ind w:firstLine="400"/>
              <w:jc w:val="center"/>
              <w:rPr>
                <w:rFonts w:ascii="仿宋_GB2312"/>
                <w:color w:val="auto"/>
                <w:sz w:val="20"/>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649BA5E6">
            <w:pPr>
              <w:ind w:firstLine="400"/>
              <w:jc w:val="center"/>
              <w:rPr>
                <w:rFonts w:ascii="仿宋_GB2312"/>
                <w:color w:val="auto"/>
                <w:sz w:val="20"/>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5204C2A1">
            <w:pPr>
              <w:ind w:firstLine="400"/>
              <w:jc w:val="center"/>
              <w:rPr>
                <w:rFonts w:ascii="仿宋_GB2312"/>
                <w:color w:val="auto"/>
                <w:sz w:val="20"/>
              </w:rPr>
            </w:pPr>
          </w:p>
        </w:tc>
        <w:tc>
          <w:tcPr>
            <w:tcW w:w="1400" w:type="dxa"/>
            <w:gridSpan w:val="2"/>
            <w:tcBorders>
              <w:top w:val="single" w:color="000000" w:sz="6" w:space="0"/>
              <w:left w:val="single" w:color="000000" w:sz="6" w:space="0"/>
              <w:bottom w:val="single" w:color="000000" w:sz="6" w:space="0"/>
            </w:tcBorders>
            <w:vAlign w:val="center"/>
          </w:tcPr>
          <w:p w14:paraId="197D2428">
            <w:pPr>
              <w:ind w:firstLine="400"/>
              <w:jc w:val="center"/>
              <w:rPr>
                <w:rFonts w:ascii="仿宋_GB2312"/>
                <w:color w:val="auto"/>
                <w:sz w:val="20"/>
              </w:rPr>
            </w:pPr>
          </w:p>
        </w:tc>
      </w:tr>
      <w:tr w14:paraId="25F17A2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4" w:hRule="atLeast"/>
        </w:trPr>
        <w:tc>
          <w:tcPr>
            <w:tcW w:w="1723" w:type="dxa"/>
            <w:gridSpan w:val="2"/>
            <w:tcBorders>
              <w:top w:val="single" w:color="000000" w:sz="6" w:space="0"/>
              <w:bottom w:val="single" w:color="000000" w:sz="6" w:space="0"/>
              <w:right w:val="single" w:color="000000" w:sz="6" w:space="0"/>
            </w:tcBorders>
            <w:vAlign w:val="center"/>
          </w:tcPr>
          <w:p w14:paraId="0ABC62D2">
            <w:pPr>
              <w:ind w:firstLine="400"/>
              <w:jc w:val="center"/>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753CC957">
            <w:pPr>
              <w:ind w:firstLine="400"/>
              <w:jc w:val="center"/>
              <w:rPr>
                <w:rFonts w:ascii="仿宋_GB2312"/>
                <w:color w:val="auto"/>
                <w:sz w:val="20"/>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3E756963">
            <w:pPr>
              <w:ind w:firstLine="400"/>
              <w:jc w:val="center"/>
              <w:rPr>
                <w:rFonts w:ascii="仿宋_GB2312"/>
                <w:color w:val="auto"/>
                <w:sz w:val="20"/>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5CCF12AB">
            <w:pPr>
              <w:ind w:firstLine="400"/>
              <w:jc w:val="center"/>
              <w:rPr>
                <w:rFonts w:ascii="仿宋_GB2312"/>
                <w:color w:val="auto"/>
                <w:sz w:val="20"/>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34FA0078">
            <w:pPr>
              <w:ind w:firstLine="400"/>
              <w:jc w:val="center"/>
              <w:rPr>
                <w:rFonts w:ascii="仿宋_GB2312"/>
                <w:color w:val="auto"/>
                <w:sz w:val="20"/>
              </w:rPr>
            </w:pPr>
          </w:p>
        </w:tc>
        <w:tc>
          <w:tcPr>
            <w:tcW w:w="1400" w:type="dxa"/>
            <w:gridSpan w:val="2"/>
            <w:tcBorders>
              <w:top w:val="single" w:color="000000" w:sz="6" w:space="0"/>
              <w:left w:val="single" w:color="000000" w:sz="6" w:space="0"/>
              <w:bottom w:val="single" w:color="000000" w:sz="6" w:space="0"/>
            </w:tcBorders>
            <w:vAlign w:val="center"/>
          </w:tcPr>
          <w:p w14:paraId="7E98A415">
            <w:pPr>
              <w:ind w:firstLine="400"/>
              <w:jc w:val="center"/>
              <w:rPr>
                <w:rFonts w:ascii="仿宋_GB2312"/>
                <w:color w:val="auto"/>
                <w:sz w:val="20"/>
              </w:rPr>
            </w:pPr>
          </w:p>
        </w:tc>
      </w:tr>
      <w:tr w14:paraId="3361F01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23" w:type="dxa"/>
            <w:gridSpan w:val="2"/>
            <w:tcBorders>
              <w:top w:val="single" w:color="000000" w:sz="6" w:space="0"/>
              <w:bottom w:val="single" w:color="000000" w:sz="6" w:space="0"/>
              <w:right w:val="single" w:color="000000" w:sz="6" w:space="0"/>
            </w:tcBorders>
            <w:vAlign w:val="center"/>
          </w:tcPr>
          <w:p w14:paraId="3B701F9B">
            <w:pPr>
              <w:ind w:firstLine="400"/>
              <w:jc w:val="center"/>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2E1E57B4">
            <w:pPr>
              <w:ind w:firstLine="400"/>
              <w:jc w:val="center"/>
              <w:rPr>
                <w:rFonts w:ascii="仿宋_GB2312"/>
                <w:color w:val="auto"/>
                <w:sz w:val="20"/>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3F6FE3F0">
            <w:pPr>
              <w:ind w:firstLine="400"/>
              <w:jc w:val="center"/>
              <w:rPr>
                <w:rFonts w:ascii="仿宋_GB2312"/>
                <w:color w:val="auto"/>
                <w:sz w:val="20"/>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05309610">
            <w:pPr>
              <w:ind w:firstLine="400"/>
              <w:jc w:val="center"/>
              <w:rPr>
                <w:rFonts w:ascii="仿宋_GB2312"/>
                <w:color w:val="auto"/>
                <w:sz w:val="20"/>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6EB34BA4">
            <w:pPr>
              <w:ind w:firstLine="400"/>
              <w:jc w:val="center"/>
              <w:rPr>
                <w:rFonts w:ascii="仿宋_GB2312"/>
                <w:color w:val="auto"/>
                <w:sz w:val="20"/>
              </w:rPr>
            </w:pPr>
          </w:p>
        </w:tc>
        <w:tc>
          <w:tcPr>
            <w:tcW w:w="1400" w:type="dxa"/>
            <w:gridSpan w:val="2"/>
            <w:tcBorders>
              <w:top w:val="single" w:color="000000" w:sz="6" w:space="0"/>
              <w:left w:val="single" w:color="000000" w:sz="6" w:space="0"/>
              <w:bottom w:val="single" w:color="000000" w:sz="6" w:space="0"/>
            </w:tcBorders>
            <w:vAlign w:val="center"/>
          </w:tcPr>
          <w:p w14:paraId="7E0A3D5A">
            <w:pPr>
              <w:ind w:firstLine="400"/>
              <w:jc w:val="center"/>
              <w:rPr>
                <w:rFonts w:ascii="仿宋_GB2312"/>
                <w:color w:val="auto"/>
                <w:sz w:val="20"/>
              </w:rPr>
            </w:pPr>
          </w:p>
        </w:tc>
      </w:tr>
      <w:tr w14:paraId="62AA934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19" w:hRule="atLeast"/>
        </w:trPr>
        <w:tc>
          <w:tcPr>
            <w:tcW w:w="1723" w:type="dxa"/>
            <w:gridSpan w:val="2"/>
            <w:tcBorders>
              <w:top w:val="single" w:color="000000" w:sz="6" w:space="0"/>
              <w:bottom w:val="single" w:color="000000" w:sz="6" w:space="0"/>
              <w:right w:val="single" w:color="000000" w:sz="6" w:space="0"/>
            </w:tcBorders>
            <w:vAlign w:val="center"/>
          </w:tcPr>
          <w:p w14:paraId="2C20495D">
            <w:pPr>
              <w:ind w:firstLine="400"/>
              <w:jc w:val="center"/>
              <w:rPr>
                <w:rFonts w:ascii="仿宋_GB2312"/>
                <w:color w:val="auto"/>
                <w:sz w:val="20"/>
              </w:rPr>
            </w:pPr>
          </w:p>
        </w:tc>
        <w:tc>
          <w:tcPr>
            <w:tcW w:w="1759" w:type="dxa"/>
            <w:tcBorders>
              <w:top w:val="single" w:color="000000" w:sz="6" w:space="0"/>
              <w:left w:val="single" w:color="000000" w:sz="6" w:space="0"/>
              <w:bottom w:val="single" w:color="000000" w:sz="6" w:space="0"/>
              <w:right w:val="single" w:color="000000" w:sz="6" w:space="0"/>
            </w:tcBorders>
            <w:vAlign w:val="center"/>
          </w:tcPr>
          <w:p w14:paraId="06D6423D">
            <w:pPr>
              <w:ind w:firstLine="400"/>
              <w:jc w:val="center"/>
              <w:rPr>
                <w:rFonts w:ascii="仿宋_GB2312"/>
                <w:color w:val="auto"/>
                <w:sz w:val="20"/>
              </w:rPr>
            </w:pPr>
          </w:p>
        </w:tc>
        <w:tc>
          <w:tcPr>
            <w:tcW w:w="1834" w:type="dxa"/>
            <w:gridSpan w:val="2"/>
            <w:tcBorders>
              <w:top w:val="single" w:color="000000" w:sz="6" w:space="0"/>
              <w:left w:val="single" w:color="000000" w:sz="6" w:space="0"/>
              <w:bottom w:val="single" w:color="000000" w:sz="6" w:space="0"/>
              <w:right w:val="single" w:color="000000" w:sz="6" w:space="0"/>
            </w:tcBorders>
            <w:vAlign w:val="center"/>
          </w:tcPr>
          <w:p w14:paraId="560E9FB2">
            <w:pPr>
              <w:ind w:firstLine="400"/>
              <w:jc w:val="center"/>
              <w:rPr>
                <w:rFonts w:ascii="仿宋_GB2312"/>
                <w:color w:val="auto"/>
                <w:sz w:val="20"/>
              </w:rPr>
            </w:pPr>
          </w:p>
        </w:tc>
        <w:tc>
          <w:tcPr>
            <w:tcW w:w="1718" w:type="dxa"/>
            <w:gridSpan w:val="3"/>
            <w:tcBorders>
              <w:top w:val="single" w:color="000000" w:sz="6" w:space="0"/>
              <w:left w:val="single" w:color="000000" w:sz="6" w:space="0"/>
              <w:bottom w:val="single" w:color="000000" w:sz="6" w:space="0"/>
              <w:right w:val="single" w:color="000000" w:sz="6" w:space="0"/>
            </w:tcBorders>
            <w:vAlign w:val="center"/>
          </w:tcPr>
          <w:p w14:paraId="08F222AD">
            <w:pPr>
              <w:ind w:firstLine="400"/>
              <w:jc w:val="center"/>
              <w:rPr>
                <w:rFonts w:ascii="仿宋_GB2312"/>
                <w:color w:val="auto"/>
                <w:sz w:val="20"/>
              </w:rPr>
            </w:pPr>
          </w:p>
        </w:tc>
        <w:tc>
          <w:tcPr>
            <w:tcW w:w="1318" w:type="dxa"/>
            <w:tcBorders>
              <w:top w:val="single" w:color="000000" w:sz="6" w:space="0"/>
              <w:left w:val="single" w:color="000000" w:sz="6" w:space="0"/>
              <w:bottom w:val="single" w:color="000000" w:sz="6" w:space="0"/>
              <w:right w:val="single" w:color="000000" w:sz="6" w:space="0"/>
            </w:tcBorders>
            <w:vAlign w:val="center"/>
          </w:tcPr>
          <w:p w14:paraId="04A4D3D3">
            <w:pPr>
              <w:ind w:firstLine="400"/>
              <w:jc w:val="center"/>
              <w:rPr>
                <w:rFonts w:ascii="仿宋_GB2312"/>
                <w:color w:val="auto"/>
                <w:sz w:val="20"/>
              </w:rPr>
            </w:pPr>
          </w:p>
        </w:tc>
        <w:tc>
          <w:tcPr>
            <w:tcW w:w="1400" w:type="dxa"/>
            <w:gridSpan w:val="2"/>
            <w:tcBorders>
              <w:top w:val="single" w:color="000000" w:sz="6" w:space="0"/>
              <w:left w:val="single" w:color="000000" w:sz="6" w:space="0"/>
              <w:bottom w:val="single" w:color="000000" w:sz="6" w:space="0"/>
            </w:tcBorders>
            <w:vAlign w:val="center"/>
          </w:tcPr>
          <w:p w14:paraId="1E388512">
            <w:pPr>
              <w:ind w:firstLine="400"/>
              <w:jc w:val="center"/>
              <w:rPr>
                <w:rFonts w:ascii="仿宋_GB2312"/>
                <w:color w:val="auto"/>
                <w:sz w:val="20"/>
              </w:rPr>
            </w:pPr>
          </w:p>
        </w:tc>
      </w:tr>
      <w:tr w14:paraId="2373C82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623" w:hRule="atLeast"/>
        </w:trPr>
        <w:tc>
          <w:tcPr>
            <w:tcW w:w="1723" w:type="dxa"/>
            <w:gridSpan w:val="2"/>
            <w:tcBorders>
              <w:top w:val="single" w:color="000000" w:sz="6" w:space="0"/>
              <w:right w:val="single" w:color="000000" w:sz="6" w:space="0"/>
            </w:tcBorders>
            <w:vAlign w:val="center"/>
          </w:tcPr>
          <w:p w14:paraId="354B1814">
            <w:pPr>
              <w:ind w:firstLine="400"/>
              <w:jc w:val="center"/>
              <w:rPr>
                <w:rFonts w:ascii="仿宋_GB2312"/>
                <w:color w:val="auto"/>
                <w:sz w:val="20"/>
              </w:rPr>
            </w:pPr>
          </w:p>
        </w:tc>
        <w:tc>
          <w:tcPr>
            <w:tcW w:w="1759" w:type="dxa"/>
            <w:tcBorders>
              <w:top w:val="single" w:color="000000" w:sz="6" w:space="0"/>
              <w:left w:val="single" w:color="000000" w:sz="6" w:space="0"/>
              <w:right w:val="single" w:color="000000" w:sz="6" w:space="0"/>
            </w:tcBorders>
            <w:vAlign w:val="center"/>
          </w:tcPr>
          <w:p w14:paraId="720E65EC">
            <w:pPr>
              <w:ind w:firstLine="400"/>
              <w:jc w:val="center"/>
              <w:rPr>
                <w:rFonts w:ascii="仿宋_GB2312"/>
                <w:color w:val="auto"/>
                <w:sz w:val="20"/>
              </w:rPr>
            </w:pPr>
          </w:p>
        </w:tc>
        <w:tc>
          <w:tcPr>
            <w:tcW w:w="1834" w:type="dxa"/>
            <w:gridSpan w:val="2"/>
            <w:tcBorders>
              <w:top w:val="single" w:color="000000" w:sz="6" w:space="0"/>
              <w:left w:val="single" w:color="000000" w:sz="6" w:space="0"/>
              <w:right w:val="single" w:color="000000" w:sz="6" w:space="0"/>
            </w:tcBorders>
            <w:vAlign w:val="center"/>
          </w:tcPr>
          <w:p w14:paraId="3A30184B">
            <w:pPr>
              <w:ind w:firstLine="400"/>
              <w:jc w:val="center"/>
              <w:rPr>
                <w:rFonts w:ascii="仿宋_GB2312"/>
                <w:color w:val="auto"/>
                <w:sz w:val="20"/>
              </w:rPr>
            </w:pPr>
          </w:p>
        </w:tc>
        <w:tc>
          <w:tcPr>
            <w:tcW w:w="1718" w:type="dxa"/>
            <w:gridSpan w:val="3"/>
            <w:tcBorders>
              <w:top w:val="single" w:color="000000" w:sz="6" w:space="0"/>
              <w:left w:val="single" w:color="000000" w:sz="6" w:space="0"/>
              <w:right w:val="single" w:color="000000" w:sz="6" w:space="0"/>
            </w:tcBorders>
            <w:vAlign w:val="center"/>
          </w:tcPr>
          <w:p w14:paraId="78819B46">
            <w:pPr>
              <w:ind w:firstLine="400"/>
              <w:jc w:val="center"/>
              <w:rPr>
                <w:rFonts w:ascii="仿宋_GB2312"/>
                <w:color w:val="auto"/>
                <w:sz w:val="20"/>
              </w:rPr>
            </w:pPr>
          </w:p>
        </w:tc>
        <w:tc>
          <w:tcPr>
            <w:tcW w:w="1318" w:type="dxa"/>
            <w:tcBorders>
              <w:top w:val="single" w:color="000000" w:sz="6" w:space="0"/>
              <w:left w:val="single" w:color="000000" w:sz="6" w:space="0"/>
              <w:right w:val="single" w:color="000000" w:sz="6" w:space="0"/>
            </w:tcBorders>
            <w:vAlign w:val="center"/>
          </w:tcPr>
          <w:p w14:paraId="02A239B4">
            <w:pPr>
              <w:ind w:firstLine="400"/>
              <w:jc w:val="center"/>
              <w:rPr>
                <w:rFonts w:ascii="仿宋_GB2312"/>
                <w:color w:val="auto"/>
                <w:sz w:val="20"/>
              </w:rPr>
            </w:pPr>
          </w:p>
        </w:tc>
        <w:tc>
          <w:tcPr>
            <w:tcW w:w="1400" w:type="dxa"/>
            <w:gridSpan w:val="2"/>
            <w:tcBorders>
              <w:top w:val="single" w:color="000000" w:sz="6" w:space="0"/>
              <w:left w:val="single" w:color="000000" w:sz="6" w:space="0"/>
            </w:tcBorders>
            <w:vAlign w:val="center"/>
          </w:tcPr>
          <w:p w14:paraId="439F6D66">
            <w:pPr>
              <w:ind w:firstLine="400"/>
              <w:jc w:val="center"/>
              <w:rPr>
                <w:rFonts w:ascii="仿宋_GB2312"/>
                <w:color w:val="auto"/>
                <w:sz w:val="20"/>
              </w:rPr>
            </w:pPr>
          </w:p>
        </w:tc>
      </w:tr>
    </w:tbl>
    <w:p w14:paraId="75E7104A">
      <w:pPr>
        <w:ind w:firstLine="560"/>
        <w:rPr>
          <w:rFonts w:ascii="仿宋_GB2312"/>
          <w:color w:val="auto"/>
        </w:rPr>
      </w:pPr>
      <w:r>
        <w:rPr>
          <w:rFonts w:hint="eastAsia" w:ascii="仿宋_GB2312"/>
          <w:color w:val="auto"/>
        </w:rPr>
        <w:t>注：其他项目管理机构成员简况表均参考本表。</w:t>
      </w:r>
    </w:p>
    <w:p w14:paraId="7C5D5DDC">
      <w:pPr>
        <w:ind w:firstLine="6235" w:firstLineChars="2227"/>
        <w:rPr>
          <w:rFonts w:ascii="仿宋_GB2312" w:hAnsi="宋体" w:cs="宋体"/>
          <w:color w:val="auto"/>
          <w:szCs w:val="28"/>
        </w:rPr>
      </w:pPr>
      <w:r>
        <w:rPr>
          <w:rFonts w:hint="eastAsia" w:ascii="仿宋_GB2312" w:hAnsi="宋体" w:cs="宋体"/>
          <w:color w:val="auto"/>
          <w:szCs w:val="28"/>
        </w:rPr>
        <w:t>报价供应商(盖章):</w:t>
      </w:r>
    </w:p>
    <w:p w14:paraId="7F0DBEDF">
      <w:pPr>
        <w:ind w:firstLine="6235" w:firstLineChars="2227"/>
        <w:rPr>
          <w:rFonts w:ascii="仿宋_GB2312" w:hAnsi="宋体" w:cs="宋体"/>
          <w:color w:val="auto"/>
          <w:szCs w:val="28"/>
        </w:rPr>
      </w:pPr>
      <w:r>
        <w:rPr>
          <w:rFonts w:hint="eastAsia" w:ascii="仿宋_GB2312" w:hAnsi="宋体" w:cs="宋体"/>
          <w:color w:val="auto"/>
          <w:szCs w:val="28"/>
        </w:rPr>
        <w:t>法定代表人签章:</w:t>
      </w:r>
    </w:p>
    <w:p w14:paraId="590532E0">
      <w:pPr>
        <w:widowControl/>
        <w:spacing w:line="240" w:lineRule="auto"/>
        <w:ind w:firstLine="0" w:firstLineChars="0"/>
        <w:jc w:val="left"/>
        <w:rPr>
          <w:rFonts w:ascii="仿宋_GB2312" w:hAnsi="宋体"/>
          <w:color w:val="auto"/>
          <w:sz w:val="22"/>
          <w:szCs w:val="28"/>
        </w:rPr>
      </w:pPr>
      <w:r>
        <w:rPr>
          <w:rFonts w:ascii="仿宋_GB2312" w:hAnsi="宋体"/>
          <w:color w:val="auto"/>
          <w:sz w:val="22"/>
          <w:szCs w:val="28"/>
        </w:rPr>
        <w:br w:type="page"/>
      </w:r>
    </w:p>
    <w:p w14:paraId="073DCF39">
      <w:pPr>
        <w:ind w:firstLine="640"/>
        <w:jc w:val="center"/>
        <w:rPr>
          <w:rFonts w:ascii="黑体" w:hAnsi="黑体" w:eastAsia="黑体"/>
          <w:color w:val="auto"/>
          <w:sz w:val="32"/>
          <w:szCs w:val="32"/>
        </w:rPr>
      </w:pPr>
      <w:r>
        <w:rPr>
          <w:rFonts w:hint="eastAsia" w:ascii="黑体" w:hAnsi="黑体" w:eastAsia="黑体"/>
          <w:color w:val="auto"/>
          <w:sz w:val="32"/>
          <w:szCs w:val="32"/>
        </w:rPr>
        <w:t>供应商基本情况表</w:t>
      </w:r>
    </w:p>
    <w:tbl>
      <w:tblPr>
        <w:tblStyle w:val="4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576"/>
        <w:gridCol w:w="1673"/>
        <w:gridCol w:w="576"/>
        <w:gridCol w:w="1115"/>
        <w:gridCol w:w="576"/>
        <w:gridCol w:w="668"/>
        <w:gridCol w:w="1581"/>
        <w:gridCol w:w="47"/>
        <w:gridCol w:w="512"/>
        <w:gridCol w:w="2083"/>
      </w:tblGrid>
      <w:tr w14:paraId="1F59E4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2249" w:type="dxa"/>
            <w:gridSpan w:val="2"/>
            <w:vAlign w:val="center"/>
          </w:tcPr>
          <w:p w14:paraId="413D2DD0">
            <w:pPr>
              <w:ind w:firstLine="480"/>
              <w:rPr>
                <w:rFonts w:ascii="仿宋_GB2312" w:hAnsi="仿宋"/>
                <w:color w:val="auto"/>
                <w:sz w:val="24"/>
                <w:szCs w:val="24"/>
              </w:rPr>
            </w:pPr>
            <w:r>
              <w:rPr>
                <w:rFonts w:hint="eastAsia" w:ascii="仿宋_GB2312" w:hAnsi="仿宋"/>
                <w:color w:val="auto"/>
                <w:sz w:val="24"/>
                <w:szCs w:val="24"/>
              </w:rPr>
              <w:t>单位名称</w:t>
            </w:r>
          </w:p>
        </w:tc>
        <w:tc>
          <w:tcPr>
            <w:tcW w:w="2935" w:type="dxa"/>
            <w:gridSpan w:val="4"/>
            <w:vAlign w:val="center"/>
          </w:tcPr>
          <w:p w14:paraId="7BD7C50C">
            <w:pPr>
              <w:ind w:firstLine="480"/>
              <w:rPr>
                <w:rFonts w:ascii="仿宋_GB2312" w:hAnsi="仿宋"/>
                <w:color w:val="auto"/>
                <w:sz w:val="24"/>
                <w:szCs w:val="24"/>
              </w:rPr>
            </w:pPr>
          </w:p>
        </w:tc>
        <w:tc>
          <w:tcPr>
            <w:tcW w:w="2140" w:type="dxa"/>
            <w:gridSpan w:val="3"/>
            <w:vAlign w:val="center"/>
          </w:tcPr>
          <w:p w14:paraId="22C7031E">
            <w:pPr>
              <w:ind w:firstLine="480"/>
              <w:rPr>
                <w:rFonts w:ascii="仿宋_GB2312" w:hAnsi="仿宋"/>
                <w:color w:val="auto"/>
                <w:sz w:val="24"/>
                <w:szCs w:val="24"/>
              </w:rPr>
            </w:pPr>
            <w:r>
              <w:rPr>
                <w:rFonts w:hint="eastAsia" w:ascii="仿宋_GB2312" w:hAnsi="仿宋"/>
                <w:color w:val="auto"/>
                <w:sz w:val="24"/>
                <w:szCs w:val="24"/>
              </w:rPr>
              <w:t>地址</w:t>
            </w:r>
          </w:p>
        </w:tc>
        <w:tc>
          <w:tcPr>
            <w:tcW w:w="2082" w:type="dxa"/>
            <w:vAlign w:val="center"/>
          </w:tcPr>
          <w:p w14:paraId="4ABF0D7D">
            <w:pPr>
              <w:ind w:firstLine="480"/>
              <w:rPr>
                <w:rFonts w:ascii="仿宋_GB2312" w:hAnsi="仿宋"/>
                <w:color w:val="auto"/>
                <w:sz w:val="24"/>
                <w:szCs w:val="24"/>
              </w:rPr>
            </w:pPr>
          </w:p>
        </w:tc>
      </w:tr>
      <w:tr w14:paraId="00690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2249" w:type="dxa"/>
            <w:gridSpan w:val="2"/>
            <w:vAlign w:val="center"/>
          </w:tcPr>
          <w:p w14:paraId="7A2B3588">
            <w:pPr>
              <w:ind w:firstLine="480"/>
              <w:rPr>
                <w:rFonts w:ascii="仿宋_GB2312" w:hAnsi="仿宋"/>
                <w:color w:val="auto"/>
                <w:sz w:val="24"/>
                <w:szCs w:val="24"/>
              </w:rPr>
            </w:pPr>
            <w:r>
              <w:rPr>
                <w:rFonts w:hint="eastAsia" w:ascii="仿宋_GB2312" w:hAnsi="仿宋"/>
                <w:color w:val="auto"/>
                <w:sz w:val="24"/>
                <w:szCs w:val="24"/>
              </w:rPr>
              <w:t>办公电话/传真</w:t>
            </w:r>
          </w:p>
        </w:tc>
        <w:tc>
          <w:tcPr>
            <w:tcW w:w="2935" w:type="dxa"/>
            <w:gridSpan w:val="4"/>
            <w:vAlign w:val="center"/>
          </w:tcPr>
          <w:p w14:paraId="159933F6">
            <w:pPr>
              <w:ind w:firstLine="480"/>
              <w:rPr>
                <w:rFonts w:ascii="仿宋_GB2312" w:hAnsi="仿宋"/>
                <w:color w:val="auto"/>
                <w:sz w:val="24"/>
                <w:szCs w:val="24"/>
              </w:rPr>
            </w:pPr>
          </w:p>
        </w:tc>
        <w:tc>
          <w:tcPr>
            <w:tcW w:w="2140" w:type="dxa"/>
            <w:gridSpan w:val="3"/>
            <w:vAlign w:val="center"/>
          </w:tcPr>
          <w:p w14:paraId="63411B73">
            <w:pPr>
              <w:ind w:firstLine="480"/>
              <w:rPr>
                <w:rFonts w:ascii="仿宋_GB2312" w:hAnsi="仿宋"/>
                <w:color w:val="auto"/>
                <w:sz w:val="24"/>
                <w:szCs w:val="24"/>
              </w:rPr>
            </w:pPr>
            <w:r>
              <w:rPr>
                <w:rFonts w:hint="eastAsia" w:ascii="仿宋_GB2312" w:hAnsi="仿宋"/>
                <w:color w:val="auto"/>
                <w:sz w:val="24"/>
                <w:szCs w:val="24"/>
              </w:rPr>
              <w:t>联系人</w:t>
            </w:r>
          </w:p>
        </w:tc>
        <w:tc>
          <w:tcPr>
            <w:tcW w:w="2082" w:type="dxa"/>
            <w:vAlign w:val="center"/>
          </w:tcPr>
          <w:p w14:paraId="77FB2DBE">
            <w:pPr>
              <w:ind w:firstLine="480"/>
              <w:rPr>
                <w:rFonts w:ascii="仿宋_GB2312" w:hAnsi="仿宋"/>
                <w:color w:val="auto"/>
                <w:sz w:val="24"/>
                <w:szCs w:val="24"/>
              </w:rPr>
            </w:pPr>
          </w:p>
        </w:tc>
      </w:tr>
      <w:tr w14:paraId="227682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2249" w:type="dxa"/>
            <w:gridSpan w:val="2"/>
            <w:vAlign w:val="center"/>
          </w:tcPr>
          <w:p w14:paraId="5ACC96E2">
            <w:pPr>
              <w:ind w:firstLine="480"/>
              <w:rPr>
                <w:rFonts w:ascii="仿宋_GB2312" w:hAnsi="仿宋"/>
                <w:color w:val="auto"/>
                <w:sz w:val="24"/>
                <w:szCs w:val="24"/>
              </w:rPr>
            </w:pPr>
            <w:r>
              <w:rPr>
                <w:rFonts w:hint="eastAsia" w:ascii="仿宋_GB2312" w:hAnsi="仿宋"/>
                <w:color w:val="auto"/>
                <w:sz w:val="24"/>
                <w:szCs w:val="24"/>
              </w:rPr>
              <w:t>所属/主管部门</w:t>
            </w:r>
          </w:p>
        </w:tc>
        <w:tc>
          <w:tcPr>
            <w:tcW w:w="7157" w:type="dxa"/>
            <w:gridSpan w:val="8"/>
            <w:vAlign w:val="center"/>
          </w:tcPr>
          <w:p w14:paraId="54DFB9E5">
            <w:pPr>
              <w:ind w:firstLine="480"/>
              <w:rPr>
                <w:rFonts w:ascii="仿宋_GB2312" w:hAnsi="仿宋"/>
                <w:color w:val="auto"/>
                <w:sz w:val="24"/>
                <w:szCs w:val="24"/>
              </w:rPr>
            </w:pPr>
          </w:p>
        </w:tc>
      </w:tr>
      <w:tr w14:paraId="6F9842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2249" w:type="dxa"/>
            <w:gridSpan w:val="2"/>
            <w:vAlign w:val="center"/>
          </w:tcPr>
          <w:p w14:paraId="6D8B5152">
            <w:pPr>
              <w:ind w:firstLine="480"/>
              <w:rPr>
                <w:rFonts w:ascii="仿宋_GB2312" w:hAnsi="仿宋"/>
                <w:color w:val="auto"/>
                <w:sz w:val="24"/>
                <w:szCs w:val="24"/>
              </w:rPr>
            </w:pPr>
            <w:r>
              <w:rPr>
                <w:rFonts w:hint="eastAsia" w:ascii="仿宋_GB2312" w:hAnsi="仿宋"/>
                <w:color w:val="auto"/>
                <w:sz w:val="24"/>
                <w:szCs w:val="24"/>
              </w:rPr>
              <w:t>总经理</w:t>
            </w:r>
          </w:p>
        </w:tc>
        <w:tc>
          <w:tcPr>
            <w:tcW w:w="1691" w:type="dxa"/>
            <w:gridSpan w:val="2"/>
            <w:vAlign w:val="center"/>
          </w:tcPr>
          <w:p w14:paraId="6B78B939">
            <w:pPr>
              <w:ind w:firstLine="480"/>
              <w:rPr>
                <w:rFonts w:ascii="仿宋_GB2312" w:hAnsi="仿宋"/>
                <w:color w:val="auto"/>
                <w:sz w:val="24"/>
                <w:szCs w:val="24"/>
              </w:rPr>
            </w:pPr>
          </w:p>
        </w:tc>
        <w:tc>
          <w:tcPr>
            <w:tcW w:w="2872" w:type="dxa"/>
            <w:gridSpan w:val="4"/>
            <w:vAlign w:val="center"/>
          </w:tcPr>
          <w:p w14:paraId="1BEB8BF2">
            <w:pPr>
              <w:ind w:firstLine="480"/>
              <w:rPr>
                <w:rFonts w:ascii="仿宋_GB2312" w:hAnsi="仿宋"/>
                <w:color w:val="auto"/>
                <w:sz w:val="24"/>
                <w:szCs w:val="24"/>
              </w:rPr>
            </w:pPr>
            <w:r>
              <w:rPr>
                <w:rFonts w:hint="eastAsia" w:ascii="仿宋_GB2312" w:hAnsi="仿宋"/>
                <w:color w:val="auto"/>
                <w:sz w:val="24"/>
                <w:szCs w:val="24"/>
              </w:rPr>
              <w:t>固定办公面积（平米）</w:t>
            </w:r>
          </w:p>
        </w:tc>
        <w:tc>
          <w:tcPr>
            <w:tcW w:w="2593" w:type="dxa"/>
            <w:gridSpan w:val="2"/>
            <w:vAlign w:val="center"/>
          </w:tcPr>
          <w:p w14:paraId="0CEBB810">
            <w:pPr>
              <w:ind w:firstLine="480"/>
              <w:rPr>
                <w:rFonts w:ascii="仿宋_GB2312" w:hAnsi="仿宋"/>
                <w:color w:val="auto"/>
                <w:sz w:val="24"/>
                <w:szCs w:val="24"/>
              </w:rPr>
            </w:pPr>
          </w:p>
        </w:tc>
      </w:tr>
      <w:tr w14:paraId="7F902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576" w:type="dxa"/>
            <w:vMerge w:val="restart"/>
            <w:vAlign w:val="center"/>
          </w:tcPr>
          <w:p w14:paraId="549DCC4D">
            <w:pPr>
              <w:ind w:firstLine="0" w:firstLineChars="0"/>
              <w:rPr>
                <w:rFonts w:ascii="仿宋_GB2312" w:hAnsi="仿宋"/>
                <w:color w:val="auto"/>
                <w:sz w:val="24"/>
                <w:szCs w:val="24"/>
              </w:rPr>
            </w:pPr>
            <w:r>
              <w:rPr>
                <w:rFonts w:hint="eastAsia" w:ascii="仿宋_GB2312" w:hAnsi="仿宋"/>
                <w:color w:val="auto"/>
                <w:sz w:val="24"/>
                <w:szCs w:val="24"/>
              </w:rPr>
              <w:t>注册情况</w:t>
            </w:r>
          </w:p>
        </w:tc>
        <w:tc>
          <w:tcPr>
            <w:tcW w:w="2249" w:type="dxa"/>
            <w:gridSpan w:val="2"/>
            <w:vAlign w:val="center"/>
          </w:tcPr>
          <w:p w14:paraId="425D8699">
            <w:pPr>
              <w:ind w:firstLine="480"/>
              <w:rPr>
                <w:rFonts w:ascii="仿宋_GB2312" w:hAnsi="仿宋"/>
                <w:color w:val="auto"/>
                <w:sz w:val="24"/>
                <w:szCs w:val="24"/>
              </w:rPr>
            </w:pPr>
            <w:r>
              <w:rPr>
                <w:rFonts w:hint="eastAsia" w:ascii="仿宋_GB2312" w:hAnsi="仿宋"/>
                <w:color w:val="auto"/>
                <w:sz w:val="24"/>
                <w:szCs w:val="24"/>
              </w:rPr>
              <w:t>工商注册号</w:t>
            </w:r>
          </w:p>
        </w:tc>
        <w:tc>
          <w:tcPr>
            <w:tcW w:w="6581" w:type="dxa"/>
            <w:gridSpan w:val="7"/>
            <w:vAlign w:val="center"/>
          </w:tcPr>
          <w:p w14:paraId="468B57FE">
            <w:pPr>
              <w:ind w:firstLine="480"/>
              <w:rPr>
                <w:rFonts w:ascii="仿宋_GB2312" w:hAnsi="仿宋"/>
                <w:color w:val="auto"/>
                <w:sz w:val="24"/>
                <w:szCs w:val="24"/>
              </w:rPr>
            </w:pPr>
          </w:p>
        </w:tc>
      </w:tr>
      <w:tr w14:paraId="4E5C5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576" w:type="dxa"/>
            <w:vMerge w:val="continue"/>
            <w:textDirection w:val="tbRlV"/>
            <w:vAlign w:val="center"/>
          </w:tcPr>
          <w:p w14:paraId="07A4C58A">
            <w:pPr>
              <w:ind w:firstLine="480"/>
              <w:rPr>
                <w:rFonts w:ascii="仿宋_GB2312" w:hAnsi="仿宋"/>
                <w:color w:val="auto"/>
                <w:sz w:val="24"/>
                <w:szCs w:val="24"/>
              </w:rPr>
            </w:pPr>
          </w:p>
        </w:tc>
        <w:tc>
          <w:tcPr>
            <w:tcW w:w="2249" w:type="dxa"/>
            <w:gridSpan w:val="2"/>
            <w:vAlign w:val="center"/>
          </w:tcPr>
          <w:p w14:paraId="4F6EDCBB">
            <w:pPr>
              <w:ind w:firstLine="480"/>
              <w:rPr>
                <w:rFonts w:ascii="仿宋_GB2312" w:hAnsi="仿宋"/>
                <w:color w:val="auto"/>
                <w:sz w:val="24"/>
                <w:szCs w:val="24"/>
              </w:rPr>
            </w:pPr>
            <w:r>
              <w:rPr>
                <w:rFonts w:hint="eastAsia" w:ascii="仿宋_GB2312" w:hAnsi="仿宋"/>
                <w:color w:val="auto"/>
                <w:sz w:val="24"/>
                <w:szCs w:val="24"/>
              </w:rPr>
              <w:t>注册资本（万元）</w:t>
            </w:r>
          </w:p>
        </w:tc>
        <w:tc>
          <w:tcPr>
            <w:tcW w:w="6581" w:type="dxa"/>
            <w:gridSpan w:val="7"/>
            <w:vAlign w:val="center"/>
          </w:tcPr>
          <w:p w14:paraId="741C082D">
            <w:pPr>
              <w:ind w:firstLine="480"/>
              <w:rPr>
                <w:rFonts w:ascii="仿宋_GB2312" w:hAnsi="仿宋"/>
                <w:color w:val="auto"/>
                <w:sz w:val="24"/>
                <w:szCs w:val="24"/>
              </w:rPr>
            </w:pPr>
          </w:p>
        </w:tc>
      </w:tr>
      <w:tr w14:paraId="264B3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576" w:type="dxa"/>
            <w:vMerge w:val="continue"/>
            <w:textDirection w:val="tbRlV"/>
            <w:vAlign w:val="center"/>
          </w:tcPr>
          <w:p w14:paraId="28C0A7A9">
            <w:pPr>
              <w:ind w:firstLine="480"/>
              <w:rPr>
                <w:rFonts w:ascii="仿宋_GB2312" w:hAnsi="仿宋"/>
                <w:color w:val="auto"/>
                <w:sz w:val="24"/>
                <w:szCs w:val="24"/>
              </w:rPr>
            </w:pPr>
          </w:p>
        </w:tc>
        <w:tc>
          <w:tcPr>
            <w:tcW w:w="2249" w:type="dxa"/>
            <w:gridSpan w:val="2"/>
            <w:vAlign w:val="center"/>
          </w:tcPr>
          <w:p w14:paraId="180F8BC3">
            <w:pPr>
              <w:ind w:firstLine="480"/>
              <w:rPr>
                <w:rFonts w:ascii="仿宋_GB2312" w:hAnsi="仿宋"/>
                <w:color w:val="auto"/>
                <w:sz w:val="24"/>
                <w:szCs w:val="24"/>
              </w:rPr>
            </w:pPr>
            <w:r>
              <w:rPr>
                <w:rFonts w:hint="eastAsia" w:ascii="仿宋_GB2312" w:hAnsi="仿宋"/>
                <w:color w:val="auto"/>
                <w:sz w:val="24"/>
                <w:szCs w:val="24"/>
              </w:rPr>
              <w:t>法定代表人</w:t>
            </w:r>
          </w:p>
        </w:tc>
        <w:tc>
          <w:tcPr>
            <w:tcW w:w="1691" w:type="dxa"/>
            <w:gridSpan w:val="2"/>
            <w:vAlign w:val="center"/>
          </w:tcPr>
          <w:p w14:paraId="529EA6B8">
            <w:pPr>
              <w:ind w:firstLine="480"/>
              <w:rPr>
                <w:rFonts w:ascii="仿宋_GB2312" w:hAnsi="仿宋"/>
                <w:color w:val="auto"/>
                <w:sz w:val="24"/>
                <w:szCs w:val="24"/>
              </w:rPr>
            </w:pPr>
          </w:p>
        </w:tc>
        <w:tc>
          <w:tcPr>
            <w:tcW w:w="2249" w:type="dxa"/>
            <w:gridSpan w:val="2"/>
            <w:vAlign w:val="center"/>
          </w:tcPr>
          <w:p w14:paraId="67F1B284">
            <w:pPr>
              <w:ind w:firstLine="480"/>
              <w:rPr>
                <w:rFonts w:ascii="仿宋_GB2312" w:hAnsi="仿宋"/>
                <w:color w:val="auto"/>
                <w:sz w:val="24"/>
                <w:szCs w:val="24"/>
              </w:rPr>
            </w:pPr>
            <w:r>
              <w:rPr>
                <w:rFonts w:hint="eastAsia" w:ascii="仿宋_GB2312" w:hAnsi="仿宋"/>
                <w:color w:val="auto"/>
                <w:sz w:val="24"/>
                <w:szCs w:val="24"/>
              </w:rPr>
              <w:t>单位类型</w:t>
            </w:r>
          </w:p>
        </w:tc>
        <w:tc>
          <w:tcPr>
            <w:tcW w:w="2640" w:type="dxa"/>
            <w:gridSpan w:val="3"/>
            <w:vAlign w:val="center"/>
          </w:tcPr>
          <w:p w14:paraId="255417E5">
            <w:pPr>
              <w:ind w:firstLine="480"/>
              <w:rPr>
                <w:rFonts w:ascii="仿宋_GB2312" w:hAnsi="仿宋"/>
                <w:color w:val="auto"/>
                <w:sz w:val="24"/>
                <w:szCs w:val="24"/>
              </w:rPr>
            </w:pPr>
          </w:p>
        </w:tc>
      </w:tr>
      <w:tr w14:paraId="1DCD5D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576" w:type="dxa"/>
            <w:vMerge w:val="continue"/>
            <w:textDirection w:val="tbRlV"/>
            <w:vAlign w:val="center"/>
          </w:tcPr>
          <w:p w14:paraId="543466BE">
            <w:pPr>
              <w:ind w:firstLine="480"/>
              <w:rPr>
                <w:rFonts w:ascii="仿宋_GB2312" w:hAnsi="仿宋"/>
                <w:color w:val="auto"/>
                <w:sz w:val="24"/>
                <w:szCs w:val="24"/>
              </w:rPr>
            </w:pPr>
          </w:p>
        </w:tc>
        <w:tc>
          <w:tcPr>
            <w:tcW w:w="2249" w:type="dxa"/>
            <w:gridSpan w:val="2"/>
            <w:vAlign w:val="center"/>
          </w:tcPr>
          <w:p w14:paraId="6C4DF86D">
            <w:pPr>
              <w:ind w:firstLine="480"/>
              <w:rPr>
                <w:rFonts w:ascii="仿宋_GB2312" w:hAnsi="仿宋"/>
                <w:color w:val="auto"/>
                <w:sz w:val="24"/>
                <w:szCs w:val="24"/>
              </w:rPr>
            </w:pPr>
            <w:r>
              <w:rPr>
                <w:rFonts w:hint="eastAsia" w:ascii="仿宋_GB2312" w:hAnsi="仿宋"/>
                <w:color w:val="auto"/>
                <w:sz w:val="24"/>
                <w:szCs w:val="24"/>
              </w:rPr>
              <w:t>成立时间</w:t>
            </w:r>
          </w:p>
        </w:tc>
        <w:tc>
          <w:tcPr>
            <w:tcW w:w="1691" w:type="dxa"/>
            <w:gridSpan w:val="2"/>
            <w:vAlign w:val="center"/>
          </w:tcPr>
          <w:p w14:paraId="0CCD6B2E">
            <w:pPr>
              <w:ind w:firstLine="480"/>
              <w:rPr>
                <w:rFonts w:ascii="仿宋_GB2312" w:hAnsi="仿宋"/>
                <w:color w:val="auto"/>
                <w:sz w:val="24"/>
                <w:szCs w:val="24"/>
              </w:rPr>
            </w:pPr>
          </w:p>
        </w:tc>
        <w:tc>
          <w:tcPr>
            <w:tcW w:w="2249" w:type="dxa"/>
            <w:gridSpan w:val="2"/>
            <w:vAlign w:val="center"/>
          </w:tcPr>
          <w:p w14:paraId="57DAE2C2">
            <w:pPr>
              <w:ind w:firstLine="480"/>
              <w:rPr>
                <w:rFonts w:ascii="仿宋_GB2312" w:hAnsi="仿宋"/>
                <w:color w:val="auto"/>
                <w:sz w:val="24"/>
                <w:szCs w:val="24"/>
              </w:rPr>
            </w:pPr>
            <w:r>
              <w:rPr>
                <w:rFonts w:hint="eastAsia" w:ascii="仿宋_GB2312" w:hAnsi="仿宋"/>
                <w:color w:val="auto"/>
                <w:sz w:val="24"/>
                <w:szCs w:val="24"/>
              </w:rPr>
              <w:t>营业期限</w:t>
            </w:r>
          </w:p>
        </w:tc>
        <w:tc>
          <w:tcPr>
            <w:tcW w:w="2640" w:type="dxa"/>
            <w:gridSpan w:val="3"/>
            <w:vAlign w:val="center"/>
          </w:tcPr>
          <w:p w14:paraId="79251298">
            <w:pPr>
              <w:ind w:firstLine="480"/>
              <w:rPr>
                <w:rFonts w:ascii="仿宋_GB2312" w:hAnsi="仿宋"/>
                <w:color w:val="auto"/>
                <w:sz w:val="24"/>
                <w:szCs w:val="24"/>
              </w:rPr>
            </w:pPr>
          </w:p>
        </w:tc>
      </w:tr>
      <w:tr w14:paraId="69E8E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576" w:type="dxa"/>
            <w:vMerge w:val="continue"/>
            <w:textDirection w:val="tbRlV"/>
            <w:vAlign w:val="center"/>
          </w:tcPr>
          <w:p w14:paraId="0A60F5DB">
            <w:pPr>
              <w:ind w:firstLine="480"/>
              <w:rPr>
                <w:rFonts w:ascii="仿宋_GB2312" w:hAnsi="仿宋"/>
                <w:color w:val="auto"/>
                <w:sz w:val="24"/>
                <w:szCs w:val="24"/>
              </w:rPr>
            </w:pPr>
          </w:p>
        </w:tc>
        <w:tc>
          <w:tcPr>
            <w:tcW w:w="2249" w:type="dxa"/>
            <w:gridSpan w:val="2"/>
            <w:vAlign w:val="center"/>
          </w:tcPr>
          <w:p w14:paraId="3E50B77C">
            <w:pPr>
              <w:ind w:firstLine="480"/>
              <w:rPr>
                <w:rFonts w:ascii="仿宋_GB2312" w:hAnsi="仿宋"/>
                <w:color w:val="auto"/>
                <w:sz w:val="24"/>
                <w:szCs w:val="24"/>
              </w:rPr>
            </w:pPr>
            <w:r>
              <w:rPr>
                <w:rFonts w:hint="eastAsia" w:ascii="仿宋_GB2312" w:hAnsi="仿宋"/>
                <w:color w:val="auto"/>
                <w:sz w:val="24"/>
                <w:szCs w:val="24"/>
              </w:rPr>
              <w:t>经营范围</w:t>
            </w:r>
          </w:p>
        </w:tc>
        <w:tc>
          <w:tcPr>
            <w:tcW w:w="6581" w:type="dxa"/>
            <w:gridSpan w:val="7"/>
            <w:vAlign w:val="center"/>
          </w:tcPr>
          <w:p w14:paraId="02E74BFF">
            <w:pPr>
              <w:ind w:firstLine="480"/>
              <w:rPr>
                <w:rFonts w:ascii="仿宋_GB2312" w:hAnsi="仿宋"/>
                <w:color w:val="auto"/>
                <w:sz w:val="24"/>
                <w:szCs w:val="24"/>
              </w:rPr>
            </w:pPr>
          </w:p>
        </w:tc>
      </w:tr>
      <w:tr w14:paraId="23251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96" w:hRule="atLeast"/>
          <w:jc w:val="center"/>
        </w:trPr>
        <w:tc>
          <w:tcPr>
            <w:tcW w:w="9407" w:type="dxa"/>
            <w:gridSpan w:val="10"/>
            <w:vAlign w:val="center"/>
          </w:tcPr>
          <w:p w14:paraId="36492759">
            <w:pPr>
              <w:ind w:firstLine="480"/>
              <w:rPr>
                <w:rFonts w:ascii="仿宋_GB2312" w:hAnsi="仿宋"/>
                <w:color w:val="auto"/>
                <w:sz w:val="24"/>
                <w:szCs w:val="24"/>
              </w:rPr>
            </w:pPr>
            <w:r>
              <w:rPr>
                <w:rFonts w:hint="eastAsia" w:ascii="仿宋_GB2312" w:hAnsi="仿宋"/>
                <w:color w:val="auto"/>
                <w:sz w:val="24"/>
                <w:szCs w:val="24"/>
              </w:rPr>
              <w:t>报价供应商情况简介</w:t>
            </w:r>
          </w:p>
        </w:tc>
      </w:tr>
      <w:tr w14:paraId="33DDDA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4683" w:hRule="atLeast"/>
          <w:jc w:val="center"/>
        </w:trPr>
        <w:tc>
          <w:tcPr>
            <w:tcW w:w="9407" w:type="dxa"/>
            <w:gridSpan w:val="10"/>
          </w:tcPr>
          <w:p w14:paraId="027705C8">
            <w:pPr>
              <w:ind w:firstLine="480"/>
              <w:rPr>
                <w:rFonts w:ascii="仿宋_GB2312" w:hAnsi="仿宋"/>
                <w:color w:val="auto"/>
                <w:sz w:val="24"/>
                <w:szCs w:val="24"/>
              </w:rPr>
            </w:pPr>
          </w:p>
        </w:tc>
      </w:tr>
    </w:tbl>
    <w:p w14:paraId="077B584D">
      <w:pPr>
        <w:ind w:firstLine="640"/>
        <w:jc w:val="right"/>
        <w:rPr>
          <w:rFonts w:ascii="仿宋_GB2312" w:hAnsi="仿宋"/>
          <w:color w:val="auto"/>
          <w:sz w:val="32"/>
          <w:szCs w:val="32"/>
        </w:rPr>
      </w:pPr>
      <w:r>
        <w:rPr>
          <w:rFonts w:hint="eastAsia" w:ascii="仿宋_GB2312" w:hAnsi="仿宋"/>
          <w:color w:val="auto"/>
          <w:sz w:val="32"/>
          <w:szCs w:val="32"/>
        </w:rPr>
        <w:t>报价供应商（盖章）：</w:t>
      </w:r>
    </w:p>
    <w:p w14:paraId="7A3571CB">
      <w:pPr>
        <w:ind w:firstLine="640"/>
        <w:jc w:val="right"/>
        <w:rPr>
          <w:rFonts w:ascii="仿宋_GB2312" w:hAnsi="仿宋"/>
          <w:color w:val="auto"/>
          <w:sz w:val="32"/>
          <w:szCs w:val="32"/>
        </w:rPr>
      </w:pPr>
      <w:r>
        <w:rPr>
          <w:rFonts w:hint="eastAsia" w:ascii="仿宋_GB2312" w:hAnsi="仿宋"/>
          <w:color w:val="auto"/>
          <w:sz w:val="32"/>
          <w:szCs w:val="32"/>
        </w:rPr>
        <w:t>法定代表人签章：</w:t>
      </w:r>
    </w:p>
    <w:p w14:paraId="2A33A721">
      <w:pPr>
        <w:widowControl/>
        <w:spacing w:line="240" w:lineRule="auto"/>
        <w:ind w:firstLine="0" w:firstLineChars="0"/>
        <w:jc w:val="left"/>
        <w:rPr>
          <w:rFonts w:ascii="仿宋_GB2312" w:hAnsi="宋体"/>
          <w:color w:val="auto"/>
          <w:sz w:val="22"/>
          <w:szCs w:val="28"/>
        </w:rPr>
      </w:pPr>
      <w:r>
        <w:rPr>
          <w:rFonts w:ascii="仿宋_GB2312" w:hAnsi="宋体"/>
          <w:color w:val="auto"/>
          <w:sz w:val="22"/>
          <w:szCs w:val="28"/>
        </w:rPr>
        <w:br w:type="page"/>
      </w:r>
    </w:p>
    <w:p w14:paraId="6EDAB4BF">
      <w:pPr>
        <w:ind w:firstLine="440"/>
        <w:jc w:val="right"/>
        <w:rPr>
          <w:rFonts w:ascii="宋体" w:hAnsi="宋体" w:cs="宋体"/>
          <w:color w:val="auto"/>
          <w:sz w:val="44"/>
          <w:szCs w:val="44"/>
        </w:rPr>
      </w:pPr>
      <w:r>
        <w:rPr>
          <w:rFonts w:hint="eastAsia" w:ascii="仿宋_GB2312" w:hAnsi="宋体"/>
          <w:color w:val="auto"/>
          <w:sz w:val="22"/>
          <w:szCs w:val="28"/>
        </w:rPr>
        <w:t>如中标（成交），随中标（成交）公告公示</w:t>
      </w:r>
    </w:p>
    <w:p w14:paraId="68FEF46C">
      <w:pPr>
        <w:ind w:firstLine="640"/>
        <w:jc w:val="center"/>
        <w:rPr>
          <w:rFonts w:ascii="黑体" w:hAnsi="黑体" w:eastAsia="黑体"/>
          <w:color w:val="auto"/>
          <w:sz w:val="32"/>
          <w:szCs w:val="32"/>
        </w:rPr>
      </w:pPr>
    </w:p>
    <w:p w14:paraId="2A93DEBC">
      <w:pPr>
        <w:ind w:firstLine="640"/>
        <w:rPr>
          <w:rFonts w:ascii="黑体" w:hAnsi="黑体" w:eastAsia="黑体"/>
          <w:color w:val="auto"/>
          <w:sz w:val="32"/>
          <w:szCs w:val="32"/>
        </w:rPr>
      </w:pPr>
    </w:p>
    <w:p w14:paraId="2596ADD3">
      <w:pPr>
        <w:ind w:firstLine="640"/>
        <w:jc w:val="center"/>
        <w:rPr>
          <w:rFonts w:ascii="黑体" w:hAnsi="黑体" w:eastAsia="黑体"/>
          <w:color w:val="auto"/>
          <w:sz w:val="32"/>
          <w:szCs w:val="32"/>
        </w:rPr>
      </w:pPr>
      <w:r>
        <w:rPr>
          <w:rFonts w:hint="eastAsia" w:ascii="黑体" w:hAnsi="黑体" w:eastAsia="黑体"/>
          <w:color w:val="auto"/>
          <w:sz w:val="32"/>
          <w:szCs w:val="32"/>
        </w:rPr>
        <w:t>企业业绩情况表</w:t>
      </w:r>
    </w:p>
    <w:p w14:paraId="69046899">
      <w:pPr>
        <w:ind w:firstLine="522"/>
        <w:rPr>
          <w:b/>
          <w:color w:val="auto"/>
          <w:sz w:val="26"/>
        </w:rPr>
      </w:pPr>
    </w:p>
    <w:tbl>
      <w:tblPr>
        <w:tblStyle w:val="45"/>
        <w:tblW w:w="9752"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76"/>
        <w:gridCol w:w="976"/>
        <w:gridCol w:w="975"/>
        <w:gridCol w:w="975"/>
        <w:gridCol w:w="975"/>
        <w:gridCol w:w="975"/>
        <w:gridCol w:w="975"/>
        <w:gridCol w:w="975"/>
        <w:gridCol w:w="975"/>
        <w:gridCol w:w="975"/>
      </w:tblGrid>
      <w:tr w14:paraId="5DC40D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54" w:hRule="atLeast"/>
        </w:trPr>
        <w:tc>
          <w:tcPr>
            <w:tcW w:w="976" w:type="dxa"/>
            <w:vAlign w:val="center"/>
          </w:tcPr>
          <w:p w14:paraId="5E0B9E35">
            <w:pPr>
              <w:ind w:firstLine="400"/>
              <w:jc w:val="center"/>
              <w:rPr>
                <w:color w:val="auto"/>
                <w:sz w:val="20"/>
              </w:rPr>
            </w:pPr>
            <w:r>
              <w:rPr>
                <w:rFonts w:hint="eastAsia" w:ascii="宋体" w:hAnsi="宋体" w:cs="宋体"/>
                <w:color w:val="auto"/>
                <w:sz w:val="20"/>
              </w:rPr>
              <w:t>序号</w:t>
            </w:r>
          </w:p>
        </w:tc>
        <w:tc>
          <w:tcPr>
            <w:tcW w:w="976" w:type="dxa"/>
            <w:vAlign w:val="center"/>
          </w:tcPr>
          <w:p w14:paraId="538A9016">
            <w:pPr>
              <w:ind w:firstLine="400"/>
              <w:jc w:val="center"/>
              <w:rPr>
                <w:color w:val="auto"/>
                <w:sz w:val="20"/>
              </w:rPr>
            </w:pPr>
            <w:r>
              <w:rPr>
                <w:rFonts w:hint="eastAsia" w:ascii="宋体" w:hAnsi="宋体" w:cs="宋体"/>
                <w:color w:val="auto"/>
                <w:sz w:val="20"/>
              </w:rPr>
              <w:t>项目名称</w:t>
            </w:r>
          </w:p>
        </w:tc>
        <w:tc>
          <w:tcPr>
            <w:tcW w:w="975" w:type="dxa"/>
            <w:vAlign w:val="center"/>
          </w:tcPr>
          <w:p w14:paraId="5419773C">
            <w:pPr>
              <w:ind w:firstLine="400"/>
              <w:jc w:val="center"/>
              <w:rPr>
                <w:color w:val="auto"/>
                <w:sz w:val="20"/>
              </w:rPr>
            </w:pPr>
            <w:r>
              <w:rPr>
                <w:rFonts w:hint="eastAsia" w:ascii="宋体" w:hAnsi="宋体" w:cs="宋体"/>
                <w:color w:val="auto"/>
                <w:sz w:val="20"/>
              </w:rPr>
              <w:t>项目规模</w:t>
            </w:r>
          </w:p>
        </w:tc>
        <w:tc>
          <w:tcPr>
            <w:tcW w:w="975" w:type="dxa"/>
            <w:vAlign w:val="center"/>
          </w:tcPr>
          <w:p w14:paraId="4F8BD2E1">
            <w:pPr>
              <w:ind w:firstLine="400"/>
              <w:jc w:val="center"/>
              <w:rPr>
                <w:color w:val="auto"/>
                <w:sz w:val="20"/>
              </w:rPr>
            </w:pPr>
            <w:r>
              <w:rPr>
                <w:rFonts w:hint="eastAsia" w:ascii="宋体" w:hAnsi="宋体" w:cs="宋体"/>
                <w:color w:val="auto"/>
                <w:sz w:val="20"/>
              </w:rPr>
              <w:t>发包人名称</w:t>
            </w:r>
          </w:p>
        </w:tc>
        <w:tc>
          <w:tcPr>
            <w:tcW w:w="975" w:type="dxa"/>
            <w:vAlign w:val="center"/>
          </w:tcPr>
          <w:p w14:paraId="6FF2F299">
            <w:pPr>
              <w:ind w:firstLine="400"/>
              <w:jc w:val="center"/>
              <w:rPr>
                <w:color w:val="auto"/>
                <w:sz w:val="20"/>
              </w:rPr>
            </w:pPr>
            <w:r>
              <w:rPr>
                <w:rFonts w:hint="eastAsia" w:ascii="宋体" w:hAnsi="宋体" w:cs="宋体"/>
                <w:color w:val="auto"/>
                <w:sz w:val="20"/>
              </w:rPr>
              <w:t>发包人联系人及电话</w:t>
            </w:r>
          </w:p>
        </w:tc>
        <w:tc>
          <w:tcPr>
            <w:tcW w:w="975" w:type="dxa"/>
            <w:vAlign w:val="center"/>
          </w:tcPr>
          <w:p w14:paraId="371B3C1D">
            <w:pPr>
              <w:ind w:firstLine="400"/>
              <w:jc w:val="center"/>
              <w:rPr>
                <w:color w:val="auto"/>
                <w:sz w:val="20"/>
              </w:rPr>
            </w:pPr>
            <w:r>
              <w:rPr>
                <w:rFonts w:hint="eastAsia" w:ascii="宋体" w:hAnsi="宋体" w:cs="宋体"/>
                <w:color w:val="auto"/>
                <w:sz w:val="20"/>
              </w:rPr>
              <w:t>合同价格</w:t>
            </w:r>
          </w:p>
        </w:tc>
        <w:tc>
          <w:tcPr>
            <w:tcW w:w="975" w:type="dxa"/>
            <w:vAlign w:val="center"/>
          </w:tcPr>
          <w:p w14:paraId="2D27DCF8">
            <w:pPr>
              <w:ind w:firstLine="400"/>
              <w:jc w:val="center"/>
              <w:rPr>
                <w:color w:val="auto"/>
                <w:sz w:val="20"/>
              </w:rPr>
            </w:pPr>
            <w:r>
              <w:rPr>
                <w:rFonts w:hint="eastAsia" w:ascii="宋体" w:hAnsi="宋体" w:cs="宋体"/>
                <w:color w:val="auto"/>
                <w:sz w:val="20"/>
              </w:rPr>
              <w:t>开、竣工日期</w:t>
            </w:r>
          </w:p>
        </w:tc>
        <w:tc>
          <w:tcPr>
            <w:tcW w:w="975" w:type="dxa"/>
            <w:vAlign w:val="center"/>
          </w:tcPr>
          <w:p w14:paraId="731B3673">
            <w:pPr>
              <w:ind w:firstLine="400"/>
              <w:jc w:val="center"/>
              <w:rPr>
                <w:color w:val="auto"/>
                <w:sz w:val="20"/>
              </w:rPr>
            </w:pPr>
            <w:r>
              <w:rPr>
                <w:rFonts w:hint="eastAsia" w:ascii="宋体" w:hAnsi="宋体" w:cs="宋体"/>
                <w:color w:val="auto"/>
                <w:sz w:val="20"/>
              </w:rPr>
              <w:t>工程质量</w:t>
            </w:r>
          </w:p>
        </w:tc>
        <w:tc>
          <w:tcPr>
            <w:tcW w:w="975" w:type="dxa"/>
            <w:vAlign w:val="center"/>
          </w:tcPr>
          <w:p w14:paraId="646D711A">
            <w:pPr>
              <w:ind w:firstLine="400"/>
              <w:jc w:val="center"/>
              <w:rPr>
                <w:color w:val="auto"/>
                <w:sz w:val="20"/>
              </w:rPr>
            </w:pPr>
            <w:r>
              <w:rPr>
                <w:rFonts w:hint="eastAsia" w:ascii="宋体" w:hAnsi="宋体" w:cs="宋体"/>
                <w:color w:val="auto"/>
                <w:sz w:val="20"/>
              </w:rPr>
              <w:t>项目经理</w:t>
            </w:r>
          </w:p>
        </w:tc>
        <w:tc>
          <w:tcPr>
            <w:tcW w:w="975" w:type="dxa"/>
            <w:vAlign w:val="center"/>
          </w:tcPr>
          <w:p w14:paraId="22374DDC">
            <w:pPr>
              <w:ind w:firstLine="400"/>
              <w:jc w:val="center"/>
              <w:rPr>
                <w:color w:val="auto"/>
                <w:sz w:val="20"/>
              </w:rPr>
            </w:pPr>
            <w:r>
              <w:rPr>
                <w:rFonts w:hint="eastAsia" w:ascii="宋体" w:hAnsi="宋体" w:cs="宋体"/>
                <w:color w:val="auto"/>
                <w:sz w:val="20"/>
              </w:rPr>
              <w:t>设计负责人</w:t>
            </w:r>
          </w:p>
        </w:tc>
      </w:tr>
      <w:tr w14:paraId="040DC1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71115EFA">
            <w:pPr>
              <w:ind w:firstLine="381"/>
              <w:rPr>
                <w:b/>
                <w:color w:val="auto"/>
                <w:sz w:val="19"/>
              </w:rPr>
            </w:pPr>
          </w:p>
          <w:p w14:paraId="0869101D">
            <w:pPr>
              <w:ind w:firstLine="394"/>
              <w:rPr>
                <w:color w:val="auto"/>
                <w:sz w:val="20"/>
              </w:rPr>
            </w:pPr>
            <w:r>
              <w:rPr>
                <w:color w:val="auto"/>
                <w:w w:val="99"/>
                <w:sz w:val="20"/>
              </w:rPr>
              <w:t>1</w:t>
            </w:r>
          </w:p>
        </w:tc>
        <w:tc>
          <w:tcPr>
            <w:tcW w:w="976" w:type="dxa"/>
          </w:tcPr>
          <w:p w14:paraId="2AEAD4A4">
            <w:pPr>
              <w:ind w:firstLine="400"/>
              <w:rPr>
                <w:color w:val="auto"/>
                <w:sz w:val="20"/>
              </w:rPr>
            </w:pPr>
          </w:p>
        </w:tc>
        <w:tc>
          <w:tcPr>
            <w:tcW w:w="975" w:type="dxa"/>
          </w:tcPr>
          <w:p w14:paraId="08E3A954">
            <w:pPr>
              <w:ind w:firstLine="400"/>
              <w:rPr>
                <w:color w:val="auto"/>
                <w:sz w:val="20"/>
              </w:rPr>
            </w:pPr>
          </w:p>
        </w:tc>
        <w:tc>
          <w:tcPr>
            <w:tcW w:w="975" w:type="dxa"/>
          </w:tcPr>
          <w:p w14:paraId="5680CA61">
            <w:pPr>
              <w:ind w:firstLine="400"/>
              <w:rPr>
                <w:color w:val="auto"/>
                <w:sz w:val="20"/>
              </w:rPr>
            </w:pPr>
          </w:p>
        </w:tc>
        <w:tc>
          <w:tcPr>
            <w:tcW w:w="975" w:type="dxa"/>
          </w:tcPr>
          <w:p w14:paraId="50C72386">
            <w:pPr>
              <w:ind w:firstLine="400"/>
              <w:rPr>
                <w:color w:val="auto"/>
                <w:sz w:val="20"/>
              </w:rPr>
            </w:pPr>
          </w:p>
        </w:tc>
        <w:tc>
          <w:tcPr>
            <w:tcW w:w="975" w:type="dxa"/>
          </w:tcPr>
          <w:p w14:paraId="324DC77D">
            <w:pPr>
              <w:ind w:firstLine="400"/>
              <w:rPr>
                <w:color w:val="auto"/>
                <w:sz w:val="20"/>
              </w:rPr>
            </w:pPr>
          </w:p>
        </w:tc>
        <w:tc>
          <w:tcPr>
            <w:tcW w:w="975" w:type="dxa"/>
          </w:tcPr>
          <w:p w14:paraId="00F58A68">
            <w:pPr>
              <w:ind w:firstLine="400"/>
              <w:rPr>
                <w:color w:val="auto"/>
                <w:sz w:val="20"/>
              </w:rPr>
            </w:pPr>
          </w:p>
        </w:tc>
        <w:tc>
          <w:tcPr>
            <w:tcW w:w="975" w:type="dxa"/>
          </w:tcPr>
          <w:p w14:paraId="74C2E3E9">
            <w:pPr>
              <w:ind w:firstLine="400"/>
              <w:rPr>
                <w:color w:val="auto"/>
                <w:sz w:val="20"/>
              </w:rPr>
            </w:pPr>
          </w:p>
        </w:tc>
        <w:tc>
          <w:tcPr>
            <w:tcW w:w="975" w:type="dxa"/>
          </w:tcPr>
          <w:p w14:paraId="7C18F04E">
            <w:pPr>
              <w:ind w:firstLine="400"/>
              <w:rPr>
                <w:color w:val="auto"/>
                <w:sz w:val="20"/>
              </w:rPr>
            </w:pPr>
          </w:p>
        </w:tc>
        <w:tc>
          <w:tcPr>
            <w:tcW w:w="975" w:type="dxa"/>
          </w:tcPr>
          <w:p w14:paraId="6F7F9E3C">
            <w:pPr>
              <w:ind w:firstLine="400"/>
              <w:rPr>
                <w:color w:val="auto"/>
                <w:sz w:val="20"/>
              </w:rPr>
            </w:pPr>
          </w:p>
        </w:tc>
      </w:tr>
      <w:tr w14:paraId="5C3AB8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6296AE04">
            <w:pPr>
              <w:ind w:firstLine="381"/>
              <w:rPr>
                <w:b/>
                <w:color w:val="auto"/>
                <w:sz w:val="19"/>
              </w:rPr>
            </w:pPr>
          </w:p>
          <w:p w14:paraId="3B206DFC">
            <w:pPr>
              <w:ind w:firstLine="394"/>
              <w:rPr>
                <w:color w:val="auto"/>
                <w:sz w:val="20"/>
              </w:rPr>
            </w:pPr>
            <w:r>
              <w:rPr>
                <w:color w:val="auto"/>
                <w:w w:val="99"/>
                <w:sz w:val="20"/>
              </w:rPr>
              <w:t>2</w:t>
            </w:r>
          </w:p>
        </w:tc>
        <w:tc>
          <w:tcPr>
            <w:tcW w:w="976" w:type="dxa"/>
          </w:tcPr>
          <w:p w14:paraId="660C0F9F">
            <w:pPr>
              <w:ind w:firstLine="400"/>
              <w:rPr>
                <w:color w:val="auto"/>
                <w:sz w:val="20"/>
              </w:rPr>
            </w:pPr>
          </w:p>
        </w:tc>
        <w:tc>
          <w:tcPr>
            <w:tcW w:w="975" w:type="dxa"/>
          </w:tcPr>
          <w:p w14:paraId="47A5B654">
            <w:pPr>
              <w:ind w:firstLine="400"/>
              <w:rPr>
                <w:color w:val="auto"/>
                <w:sz w:val="20"/>
              </w:rPr>
            </w:pPr>
          </w:p>
        </w:tc>
        <w:tc>
          <w:tcPr>
            <w:tcW w:w="975" w:type="dxa"/>
          </w:tcPr>
          <w:p w14:paraId="556A2409">
            <w:pPr>
              <w:ind w:firstLine="400"/>
              <w:rPr>
                <w:color w:val="auto"/>
                <w:sz w:val="20"/>
              </w:rPr>
            </w:pPr>
          </w:p>
        </w:tc>
        <w:tc>
          <w:tcPr>
            <w:tcW w:w="975" w:type="dxa"/>
          </w:tcPr>
          <w:p w14:paraId="63B623B2">
            <w:pPr>
              <w:ind w:firstLine="400"/>
              <w:rPr>
                <w:color w:val="auto"/>
                <w:sz w:val="20"/>
              </w:rPr>
            </w:pPr>
          </w:p>
        </w:tc>
        <w:tc>
          <w:tcPr>
            <w:tcW w:w="975" w:type="dxa"/>
          </w:tcPr>
          <w:p w14:paraId="1891EED2">
            <w:pPr>
              <w:ind w:firstLine="400"/>
              <w:rPr>
                <w:color w:val="auto"/>
                <w:sz w:val="20"/>
              </w:rPr>
            </w:pPr>
          </w:p>
        </w:tc>
        <w:tc>
          <w:tcPr>
            <w:tcW w:w="975" w:type="dxa"/>
          </w:tcPr>
          <w:p w14:paraId="366193F4">
            <w:pPr>
              <w:ind w:firstLine="400"/>
              <w:rPr>
                <w:color w:val="auto"/>
                <w:sz w:val="20"/>
              </w:rPr>
            </w:pPr>
          </w:p>
        </w:tc>
        <w:tc>
          <w:tcPr>
            <w:tcW w:w="975" w:type="dxa"/>
          </w:tcPr>
          <w:p w14:paraId="3608271C">
            <w:pPr>
              <w:ind w:firstLine="400"/>
              <w:rPr>
                <w:color w:val="auto"/>
                <w:sz w:val="20"/>
              </w:rPr>
            </w:pPr>
          </w:p>
        </w:tc>
        <w:tc>
          <w:tcPr>
            <w:tcW w:w="975" w:type="dxa"/>
          </w:tcPr>
          <w:p w14:paraId="3A7F36F5">
            <w:pPr>
              <w:ind w:firstLine="400"/>
              <w:rPr>
                <w:color w:val="auto"/>
                <w:sz w:val="20"/>
              </w:rPr>
            </w:pPr>
          </w:p>
        </w:tc>
        <w:tc>
          <w:tcPr>
            <w:tcW w:w="975" w:type="dxa"/>
          </w:tcPr>
          <w:p w14:paraId="7D558AD2">
            <w:pPr>
              <w:ind w:firstLine="400"/>
              <w:rPr>
                <w:color w:val="auto"/>
                <w:sz w:val="20"/>
              </w:rPr>
            </w:pPr>
          </w:p>
        </w:tc>
      </w:tr>
      <w:tr w14:paraId="1515C3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49D2C518">
            <w:pPr>
              <w:ind w:firstLine="381"/>
              <w:rPr>
                <w:b/>
                <w:color w:val="auto"/>
                <w:sz w:val="19"/>
              </w:rPr>
            </w:pPr>
          </w:p>
          <w:p w14:paraId="13940E4E">
            <w:pPr>
              <w:ind w:firstLine="394"/>
              <w:rPr>
                <w:color w:val="auto"/>
                <w:sz w:val="20"/>
              </w:rPr>
            </w:pPr>
            <w:r>
              <w:rPr>
                <w:color w:val="auto"/>
                <w:w w:val="99"/>
                <w:sz w:val="20"/>
              </w:rPr>
              <w:t>3</w:t>
            </w:r>
          </w:p>
        </w:tc>
        <w:tc>
          <w:tcPr>
            <w:tcW w:w="976" w:type="dxa"/>
          </w:tcPr>
          <w:p w14:paraId="2F9E491C">
            <w:pPr>
              <w:ind w:firstLine="400"/>
              <w:rPr>
                <w:color w:val="auto"/>
                <w:sz w:val="20"/>
              </w:rPr>
            </w:pPr>
          </w:p>
        </w:tc>
        <w:tc>
          <w:tcPr>
            <w:tcW w:w="975" w:type="dxa"/>
          </w:tcPr>
          <w:p w14:paraId="5DEF9062">
            <w:pPr>
              <w:ind w:firstLine="400"/>
              <w:rPr>
                <w:color w:val="auto"/>
                <w:sz w:val="20"/>
              </w:rPr>
            </w:pPr>
          </w:p>
        </w:tc>
        <w:tc>
          <w:tcPr>
            <w:tcW w:w="975" w:type="dxa"/>
          </w:tcPr>
          <w:p w14:paraId="30C7B58A">
            <w:pPr>
              <w:ind w:firstLine="400"/>
              <w:rPr>
                <w:color w:val="auto"/>
                <w:sz w:val="20"/>
              </w:rPr>
            </w:pPr>
          </w:p>
        </w:tc>
        <w:tc>
          <w:tcPr>
            <w:tcW w:w="975" w:type="dxa"/>
          </w:tcPr>
          <w:p w14:paraId="3933A539">
            <w:pPr>
              <w:ind w:firstLine="400"/>
              <w:rPr>
                <w:color w:val="auto"/>
                <w:sz w:val="20"/>
              </w:rPr>
            </w:pPr>
          </w:p>
        </w:tc>
        <w:tc>
          <w:tcPr>
            <w:tcW w:w="975" w:type="dxa"/>
          </w:tcPr>
          <w:p w14:paraId="7BF1D09E">
            <w:pPr>
              <w:ind w:firstLine="400"/>
              <w:rPr>
                <w:color w:val="auto"/>
                <w:sz w:val="20"/>
              </w:rPr>
            </w:pPr>
          </w:p>
        </w:tc>
        <w:tc>
          <w:tcPr>
            <w:tcW w:w="975" w:type="dxa"/>
          </w:tcPr>
          <w:p w14:paraId="59F966F2">
            <w:pPr>
              <w:ind w:firstLine="400"/>
              <w:rPr>
                <w:color w:val="auto"/>
                <w:sz w:val="20"/>
              </w:rPr>
            </w:pPr>
          </w:p>
        </w:tc>
        <w:tc>
          <w:tcPr>
            <w:tcW w:w="975" w:type="dxa"/>
          </w:tcPr>
          <w:p w14:paraId="3D7916C9">
            <w:pPr>
              <w:ind w:firstLine="400"/>
              <w:rPr>
                <w:color w:val="auto"/>
                <w:sz w:val="20"/>
              </w:rPr>
            </w:pPr>
          </w:p>
        </w:tc>
        <w:tc>
          <w:tcPr>
            <w:tcW w:w="975" w:type="dxa"/>
          </w:tcPr>
          <w:p w14:paraId="7A6DDB1B">
            <w:pPr>
              <w:ind w:firstLine="400"/>
              <w:rPr>
                <w:color w:val="auto"/>
                <w:sz w:val="20"/>
              </w:rPr>
            </w:pPr>
          </w:p>
        </w:tc>
        <w:tc>
          <w:tcPr>
            <w:tcW w:w="975" w:type="dxa"/>
          </w:tcPr>
          <w:p w14:paraId="0DB8E0B1">
            <w:pPr>
              <w:ind w:firstLine="400"/>
              <w:rPr>
                <w:color w:val="auto"/>
                <w:sz w:val="20"/>
              </w:rPr>
            </w:pPr>
          </w:p>
        </w:tc>
      </w:tr>
      <w:tr w14:paraId="497E5E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9" w:hRule="atLeast"/>
        </w:trPr>
        <w:tc>
          <w:tcPr>
            <w:tcW w:w="976" w:type="dxa"/>
          </w:tcPr>
          <w:p w14:paraId="5EF362CC">
            <w:pPr>
              <w:ind w:firstLine="381"/>
              <w:rPr>
                <w:b/>
                <w:color w:val="auto"/>
                <w:sz w:val="19"/>
              </w:rPr>
            </w:pPr>
          </w:p>
          <w:p w14:paraId="09583CCA">
            <w:pPr>
              <w:ind w:firstLine="394"/>
              <w:rPr>
                <w:color w:val="auto"/>
                <w:sz w:val="20"/>
              </w:rPr>
            </w:pPr>
            <w:r>
              <w:rPr>
                <w:color w:val="auto"/>
                <w:w w:val="99"/>
                <w:sz w:val="20"/>
              </w:rPr>
              <w:t>4</w:t>
            </w:r>
          </w:p>
        </w:tc>
        <w:tc>
          <w:tcPr>
            <w:tcW w:w="976" w:type="dxa"/>
          </w:tcPr>
          <w:p w14:paraId="4268A0EC">
            <w:pPr>
              <w:ind w:firstLine="400"/>
              <w:rPr>
                <w:color w:val="auto"/>
                <w:sz w:val="20"/>
              </w:rPr>
            </w:pPr>
          </w:p>
        </w:tc>
        <w:tc>
          <w:tcPr>
            <w:tcW w:w="975" w:type="dxa"/>
          </w:tcPr>
          <w:p w14:paraId="5DB43400">
            <w:pPr>
              <w:ind w:firstLine="400"/>
              <w:rPr>
                <w:color w:val="auto"/>
                <w:sz w:val="20"/>
              </w:rPr>
            </w:pPr>
          </w:p>
        </w:tc>
        <w:tc>
          <w:tcPr>
            <w:tcW w:w="975" w:type="dxa"/>
          </w:tcPr>
          <w:p w14:paraId="6F32CD1F">
            <w:pPr>
              <w:ind w:firstLine="400"/>
              <w:rPr>
                <w:color w:val="auto"/>
                <w:sz w:val="20"/>
              </w:rPr>
            </w:pPr>
          </w:p>
        </w:tc>
        <w:tc>
          <w:tcPr>
            <w:tcW w:w="975" w:type="dxa"/>
          </w:tcPr>
          <w:p w14:paraId="74F3BFF9">
            <w:pPr>
              <w:ind w:firstLine="400"/>
              <w:rPr>
                <w:color w:val="auto"/>
                <w:sz w:val="20"/>
              </w:rPr>
            </w:pPr>
          </w:p>
        </w:tc>
        <w:tc>
          <w:tcPr>
            <w:tcW w:w="975" w:type="dxa"/>
          </w:tcPr>
          <w:p w14:paraId="61285B25">
            <w:pPr>
              <w:ind w:firstLine="400"/>
              <w:rPr>
                <w:color w:val="auto"/>
                <w:sz w:val="20"/>
              </w:rPr>
            </w:pPr>
          </w:p>
        </w:tc>
        <w:tc>
          <w:tcPr>
            <w:tcW w:w="975" w:type="dxa"/>
          </w:tcPr>
          <w:p w14:paraId="5A65B08E">
            <w:pPr>
              <w:ind w:firstLine="400"/>
              <w:rPr>
                <w:color w:val="auto"/>
                <w:sz w:val="20"/>
              </w:rPr>
            </w:pPr>
          </w:p>
        </w:tc>
        <w:tc>
          <w:tcPr>
            <w:tcW w:w="975" w:type="dxa"/>
          </w:tcPr>
          <w:p w14:paraId="2371F1A9">
            <w:pPr>
              <w:ind w:firstLine="400"/>
              <w:rPr>
                <w:color w:val="auto"/>
                <w:sz w:val="20"/>
              </w:rPr>
            </w:pPr>
          </w:p>
        </w:tc>
        <w:tc>
          <w:tcPr>
            <w:tcW w:w="975" w:type="dxa"/>
          </w:tcPr>
          <w:p w14:paraId="130A0A84">
            <w:pPr>
              <w:ind w:firstLine="400"/>
              <w:rPr>
                <w:color w:val="auto"/>
                <w:sz w:val="20"/>
              </w:rPr>
            </w:pPr>
          </w:p>
        </w:tc>
        <w:tc>
          <w:tcPr>
            <w:tcW w:w="975" w:type="dxa"/>
          </w:tcPr>
          <w:p w14:paraId="309454F6">
            <w:pPr>
              <w:ind w:firstLine="400"/>
              <w:rPr>
                <w:color w:val="auto"/>
                <w:sz w:val="20"/>
              </w:rPr>
            </w:pPr>
          </w:p>
        </w:tc>
      </w:tr>
      <w:tr w14:paraId="04ADD6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44160CE3">
            <w:pPr>
              <w:ind w:firstLine="400"/>
              <w:rPr>
                <w:color w:val="auto"/>
                <w:sz w:val="20"/>
              </w:rPr>
            </w:pPr>
          </w:p>
        </w:tc>
        <w:tc>
          <w:tcPr>
            <w:tcW w:w="976" w:type="dxa"/>
          </w:tcPr>
          <w:p w14:paraId="3CEFB2A0">
            <w:pPr>
              <w:ind w:firstLine="400"/>
              <w:rPr>
                <w:color w:val="auto"/>
                <w:sz w:val="20"/>
              </w:rPr>
            </w:pPr>
          </w:p>
        </w:tc>
        <w:tc>
          <w:tcPr>
            <w:tcW w:w="975" w:type="dxa"/>
          </w:tcPr>
          <w:p w14:paraId="605F2646">
            <w:pPr>
              <w:ind w:firstLine="400"/>
              <w:rPr>
                <w:color w:val="auto"/>
                <w:sz w:val="20"/>
              </w:rPr>
            </w:pPr>
          </w:p>
        </w:tc>
        <w:tc>
          <w:tcPr>
            <w:tcW w:w="975" w:type="dxa"/>
          </w:tcPr>
          <w:p w14:paraId="02CC58E0">
            <w:pPr>
              <w:ind w:firstLine="400"/>
              <w:rPr>
                <w:color w:val="auto"/>
                <w:sz w:val="20"/>
              </w:rPr>
            </w:pPr>
          </w:p>
        </w:tc>
        <w:tc>
          <w:tcPr>
            <w:tcW w:w="975" w:type="dxa"/>
          </w:tcPr>
          <w:p w14:paraId="7FA8165D">
            <w:pPr>
              <w:ind w:firstLine="400"/>
              <w:rPr>
                <w:color w:val="auto"/>
                <w:sz w:val="20"/>
              </w:rPr>
            </w:pPr>
          </w:p>
        </w:tc>
        <w:tc>
          <w:tcPr>
            <w:tcW w:w="975" w:type="dxa"/>
          </w:tcPr>
          <w:p w14:paraId="4749F114">
            <w:pPr>
              <w:ind w:firstLine="400"/>
              <w:rPr>
                <w:color w:val="auto"/>
                <w:sz w:val="20"/>
              </w:rPr>
            </w:pPr>
          </w:p>
        </w:tc>
        <w:tc>
          <w:tcPr>
            <w:tcW w:w="975" w:type="dxa"/>
          </w:tcPr>
          <w:p w14:paraId="79ABFF38">
            <w:pPr>
              <w:ind w:firstLine="400"/>
              <w:rPr>
                <w:color w:val="auto"/>
                <w:sz w:val="20"/>
              </w:rPr>
            </w:pPr>
          </w:p>
        </w:tc>
        <w:tc>
          <w:tcPr>
            <w:tcW w:w="975" w:type="dxa"/>
          </w:tcPr>
          <w:p w14:paraId="53D2D063">
            <w:pPr>
              <w:ind w:firstLine="400"/>
              <w:rPr>
                <w:color w:val="auto"/>
                <w:sz w:val="20"/>
              </w:rPr>
            </w:pPr>
          </w:p>
        </w:tc>
        <w:tc>
          <w:tcPr>
            <w:tcW w:w="975" w:type="dxa"/>
          </w:tcPr>
          <w:p w14:paraId="10FC1068">
            <w:pPr>
              <w:ind w:firstLine="400"/>
              <w:rPr>
                <w:color w:val="auto"/>
                <w:sz w:val="20"/>
              </w:rPr>
            </w:pPr>
          </w:p>
        </w:tc>
        <w:tc>
          <w:tcPr>
            <w:tcW w:w="975" w:type="dxa"/>
          </w:tcPr>
          <w:p w14:paraId="064961BB">
            <w:pPr>
              <w:ind w:firstLine="400"/>
              <w:rPr>
                <w:color w:val="auto"/>
                <w:sz w:val="20"/>
              </w:rPr>
            </w:pPr>
          </w:p>
        </w:tc>
      </w:tr>
      <w:tr w14:paraId="5CFEF7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06B9B3A7">
            <w:pPr>
              <w:ind w:firstLine="400"/>
              <w:rPr>
                <w:color w:val="auto"/>
                <w:sz w:val="20"/>
              </w:rPr>
            </w:pPr>
          </w:p>
        </w:tc>
        <w:tc>
          <w:tcPr>
            <w:tcW w:w="976" w:type="dxa"/>
          </w:tcPr>
          <w:p w14:paraId="0664F6AB">
            <w:pPr>
              <w:ind w:firstLine="400"/>
              <w:rPr>
                <w:color w:val="auto"/>
                <w:sz w:val="20"/>
              </w:rPr>
            </w:pPr>
          </w:p>
        </w:tc>
        <w:tc>
          <w:tcPr>
            <w:tcW w:w="975" w:type="dxa"/>
          </w:tcPr>
          <w:p w14:paraId="45D88EEE">
            <w:pPr>
              <w:ind w:firstLine="400"/>
              <w:rPr>
                <w:color w:val="auto"/>
                <w:sz w:val="20"/>
              </w:rPr>
            </w:pPr>
          </w:p>
        </w:tc>
        <w:tc>
          <w:tcPr>
            <w:tcW w:w="975" w:type="dxa"/>
          </w:tcPr>
          <w:p w14:paraId="45E3B835">
            <w:pPr>
              <w:ind w:firstLine="400"/>
              <w:rPr>
                <w:color w:val="auto"/>
                <w:sz w:val="20"/>
              </w:rPr>
            </w:pPr>
          </w:p>
        </w:tc>
        <w:tc>
          <w:tcPr>
            <w:tcW w:w="975" w:type="dxa"/>
          </w:tcPr>
          <w:p w14:paraId="4BD323FC">
            <w:pPr>
              <w:ind w:firstLine="400"/>
              <w:rPr>
                <w:color w:val="auto"/>
                <w:sz w:val="20"/>
              </w:rPr>
            </w:pPr>
          </w:p>
        </w:tc>
        <w:tc>
          <w:tcPr>
            <w:tcW w:w="975" w:type="dxa"/>
          </w:tcPr>
          <w:p w14:paraId="6B149668">
            <w:pPr>
              <w:ind w:firstLine="400"/>
              <w:rPr>
                <w:color w:val="auto"/>
                <w:sz w:val="20"/>
              </w:rPr>
            </w:pPr>
          </w:p>
        </w:tc>
        <w:tc>
          <w:tcPr>
            <w:tcW w:w="975" w:type="dxa"/>
          </w:tcPr>
          <w:p w14:paraId="500A9BA1">
            <w:pPr>
              <w:ind w:firstLine="400"/>
              <w:rPr>
                <w:color w:val="auto"/>
                <w:sz w:val="20"/>
              </w:rPr>
            </w:pPr>
          </w:p>
        </w:tc>
        <w:tc>
          <w:tcPr>
            <w:tcW w:w="975" w:type="dxa"/>
          </w:tcPr>
          <w:p w14:paraId="4AE870D6">
            <w:pPr>
              <w:ind w:firstLine="400"/>
              <w:rPr>
                <w:color w:val="auto"/>
                <w:sz w:val="20"/>
              </w:rPr>
            </w:pPr>
          </w:p>
        </w:tc>
        <w:tc>
          <w:tcPr>
            <w:tcW w:w="975" w:type="dxa"/>
          </w:tcPr>
          <w:p w14:paraId="4B735441">
            <w:pPr>
              <w:ind w:firstLine="400"/>
              <w:rPr>
                <w:color w:val="auto"/>
                <w:sz w:val="20"/>
              </w:rPr>
            </w:pPr>
          </w:p>
        </w:tc>
        <w:tc>
          <w:tcPr>
            <w:tcW w:w="975" w:type="dxa"/>
          </w:tcPr>
          <w:p w14:paraId="672DFE69">
            <w:pPr>
              <w:ind w:firstLine="400"/>
              <w:rPr>
                <w:color w:val="auto"/>
                <w:sz w:val="20"/>
              </w:rPr>
            </w:pPr>
          </w:p>
        </w:tc>
      </w:tr>
      <w:tr w14:paraId="1FE896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trPr>
        <w:tc>
          <w:tcPr>
            <w:tcW w:w="976" w:type="dxa"/>
          </w:tcPr>
          <w:p w14:paraId="07776A49">
            <w:pPr>
              <w:ind w:firstLine="381"/>
              <w:rPr>
                <w:b/>
                <w:color w:val="auto"/>
                <w:sz w:val="19"/>
              </w:rPr>
            </w:pPr>
          </w:p>
          <w:p w14:paraId="7DE4B2EE">
            <w:pPr>
              <w:ind w:firstLine="400"/>
              <w:rPr>
                <w:color w:val="auto"/>
                <w:sz w:val="20"/>
              </w:rPr>
            </w:pPr>
            <w:r>
              <w:rPr>
                <w:color w:val="auto"/>
                <w:sz w:val="20"/>
              </w:rPr>
              <w:t>……</w:t>
            </w:r>
          </w:p>
        </w:tc>
        <w:tc>
          <w:tcPr>
            <w:tcW w:w="976" w:type="dxa"/>
          </w:tcPr>
          <w:p w14:paraId="7417AAA8">
            <w:pPr>
              <w:ind w:firstLine="400"/>
              <w:rPr>
                <w:color w:val="auto"/>
                <w:sz w:val="20"/>
              </w:rPr>
            </w:pPr>
          </w:p>
        </w:tc>
        <w:tc>
          <w:tcPr>
            <w:tcW w:w="975" w:type="dxa"/>
          </w:tcPr>
          <w:p w14:paraId="155EA0B2">
            <w:pPr>
              <w:ind w:firstLine="400"/>
              <w:rPr>
                <w:color w:val="auto"/>
                <w:sz w:val="20"/>
              </w:rPr>
            </w:pPr>
          </w:p>
        </w:tc>
        <w:tc>
          <w:tcPr>
            <w:tcW w:w="975" w:type="dxa"/>
          </w:tcPr>
          <w:p w14:paraId="38A018F2">
            <w:pPr>
              <w:ind w:firstLine="400"/>
              <w:rPr>
                <w:color w:val="auto"/>
                <w:sz w:val="20"/>
              </w:rPr>
            </w:pPr>
          </w:p>
        </w:tc>
        <w:tc>
          <w:tcPr>
            <w:tcW w:w="975" w:type="dxa"/>
          </w:tcPr>
          <w:p w14:paraId="568D9E03">
            <w:pPr>
              <w:ind w:firstLine="400"/>
              <w:rPr>
                <w:color w:val="auto"/>
                <w:sz w:val="20"/>
              </w:rPr>
            </w:pPr>
          </w:p>
        </w:tc>
        <w:tc>
          <w:tcPr>
            <w:tcW w:w="975" w:type="dxa"/>
          </w:tcPr>
          <w:p w14:paraId="0A809B77">
            <w:pPr>
              <w:ind w:firstLine="400"/>
              <w:rPr>
                <w:color w:val="auto"/>
                <w:sz w:val="20"/>
              </w:rPr>
            </w:pPr>
          </w:p>
        </w:tc>
        <w:tc>
          <w:tcPr>
            <w:tcW w:w="975" w:type="dxa"/>
          </w:tcPr>
          <w:p w14:paraId="35C71D9D">
            <w:pPr>
              <w:ind w:firstLine="400"/>
              <w:rPr>
                <w:color w:val="auto"/>
                <w:sz w:val="20"/>
              </w:rPr>
            </w:pPr>
          </w:p>
        </w:tc>
        <w:tc>
          <w:tcPr>
            <w:tcW w:w="975" w:type="dxa"/>
          </w:tcPr>
          <w:p w14:paraId="653A4E00">
            <w:pPr>
              <w:ind w:firstLine="400"/>
              <w:rPr>
                <w:color w:val="auto"/>
                <w:sz w:val="20"/>
              </w:rPr>
            </w:pPr>
          </w:p>
        </w:tc>
        <w:tc>
          <w:tcPr>
            <w:tcW w:w="975" w:type="dxa"/>
          </w:tcPr>
          <w:p w14:paraId="415769C0">
            <w:pPr>
              <w:ind w:firstLine="400"/>
              <w:rPr>
                <w:color w:val="auto"/>
                <w:sz w:val="20"/>
              </w:rPr>
            </w:pPr>
          </w:p>
        </w:tc>
        <w:tc>
          <w:tcPr>
            <w:tcW w:w="975" w:type="dxa"/>
          </w:tcPr>
          <w:p w14:paraId="57C414E3">
            <w:pPr>
              <w:ind w:firstLine="400"/>
              <w:rPr>
                <w:color w:val="auto"/>
                <w:sz w:val="20"/>
              </w:rPr>
            </w:pPr>
          </w:p>
        </w:tc>
      </w:tr>
    </w:tbl>
    <w:p w14:paraId="0513C8DF">
      <w:pPr>
        <w:ind w:firstLine="372"/>
        <w:rPr>
          <w:color w:val="auto"/>
          <w:sz w:val="20"/>
        </w:rPr>
      </w:pPr>
      <w:r>
        <w:rPr>
          <w:color w:val="auto"/>
          <w:spacing w:val="-7"/>
          <w:sz w:val="20"/>
        </w:rPr>
        <w:t>备注：须按照磋商文件要求提交相关材料扫描件</w:t>
      </w:r>
      <w:r>
        <w:rPr>
          <w:color w:val="auto"/>
          <w:sz w:val="20"/>
        </w:rPr>
        <w:t>。</w:t>
      </w:r>
    </w:p>
    <w:p w14:paraId="22AC62A6">
      <w:pPr>
        <w:ind w:firstLine="400"/>
        <w:rPr>
          <w:color w:val="auto"/>
          <w:sz w:val="20"/>
        </w:rPr>
      </w:pPr>
    </w:p>
    <w:p w14:paraId="027CCBED">
      <w:pPr>
        <w:ind w:firstLine="640"/>
        <w:jc w:val="right"/>
        <w:rPr>
          <w:rFonts w:ascii="仿宋_GB2312" w:hAnsi="仿宋"/>
          <w:color w:val="auto"/>
          <w:sz w:val="32"/>
          <w:szCs w:val="32"/>
        </w:rPr>
      </w:pPr>
      <w:r>
        <w:rPr>
          <w:rFonts w:hint="eastAsia" w:ascii="仿宋_GB2312" w:hAnsi="仿宋"/>
          <w:color w:val="auto"/>
          <w:sz w:val="32"/>
          <w:szCs w:val="32"/>
        </w:rPr>
        <w:t>供应商全称（公章）：</w:t>
      </w:r>
    </w:p>
    <w:p w14:paraId="5BB9987B">
      <w:pPr>
        <w:ind w:firstLine="640"/>
        <w:jc w:val="right"/>
        <w:rPr>
          <w:rFonts w:ascii="仿宋_GB2312" w:hAnsi="仿宋"/>
          <w:color w:val="auto"/>
          <w:sz w:val="32"/>
          <w:szCs w:val="32"/>
        </w:rPr>
      </w:pPr>
      <w:r>
        <w:rPr>
          <w:rFonts w:hint="eastAsia" w:ascii="仿宋_GB2312" w:hAnsi="仿宋"/>
          <w:color w:val="auto"/>
          <w:sz w:val="32"/>
          <w:szCs w:val="32"/>
        </w:rPr>
        <w:t>法定代表人签章</w:t>
      </w:r>
      <w:r>
        <w:rPr>
          <w:rFonts w:ascii="仿宋_GB2312" w:hAnsi="仿宋"/>
          <w:color w:val="auto"/>
          <w:sz w:val="32"/>
          <w:szCs w:val="32"/>
        </w:rPr>
        <w:t>：</w:t>
      </w:r>
    </w:p>
    <w:p w14:paraId="464CF9AE">
      <w:pPr>
        <w:ind w:firstLine="560"/>
        <w:jc w:val="right"/>
        <w:rPr>
          <w:rFonts w:ascii="仿宋_GB2312" w:hAnsi="仿宋"/>
          <w:color w:val="auto"/>
          <w:sz w:val="32"/>
          <w:szCs w:val="32"/>
        </w:rPr>
      </w:pPr>
    </w:p>
    <w:p w14:paraId="0EC9A2ED">
      <w:pPr>
        <w:ind w:firstLine="560"/>
        <w:jc w:val="right"/>
        <w:rPr>
          <w:rFonts w:ascii="仿宋_GB2312" w:hAnsi="仿宋"/>
          <w:color w:val="auto"/>
        </w:rPr>
      </w:pPr>
    </w:p>
    <w:p w14:paraId="041A5944">
      <w:pPr>
        <w:ind w:firstLine="600"/>
        <w:jc w:val="right"/>
        <w:rPr>
          <w:rFonts w:ascii="仿宋_GB2312" w:hAnsi="仿宋" w:cs="Arial"/>
          <w:color w:val="auto"/>
          <w:sz w:val="32"/>
          <w:szCs w:val="32"/>
        </w:rPr>
      </w:pPr>
    </w:p>
    <w:p w14:paraId="067CDAAF">
      <w:pPr>
        <w:ind w:firstLine="640"/>
        <w:jc w:val="center"/>
        <w:rPr>
          <w:b/>
          <w:color w:val="auto"/>
        </w:rPr>
      </w:pPr>
      <w:r>
        <w:rPr>
          <w:rFonts w:hint="eastAsia" w:ascii="黑体" w:hAnsi="黑体" w:eastAsia="黑体"/>
          <w:color w:val="auto"/>
          <w:sz w:val="32"/>
          <w:szCs w:val="32"/>
        </w:rPr>
        <w:t>要求采购人提供的配合</w:t>
      </w:r>
    </w:p>
    <w:p w14:paraId="7C8965F7">
      <w:pPr>
        <w:ind w:firstLine="560"/>
        <w:jc w:val="center"/>
        <w:rPr>
          <w:b/>
          <w:color w:val="auto"/>
        </w:rPr>
      </w:pPr>
      <w:r>
        <w:rPr>
          <w:color w:val="auto"/>
        </w:rPr>
        <w:br w:type="page"/>
      </w:r>
      <w:r>
        <w:rPr>
          <w:rFonts w:hint="eastAsia" w:ascii="黑体" w:hAnsi="黑体" w:eastAsia="黑体"/>
          <w:color w:val="auto"/>
          <w:sz w:val="32"/>
          <w:szCs w:val="32"/>
        </w:rPr>
        <w:t>供应商认为需要提供的其他资料（如有）</w:t>
      </w:r>
    </w:p>
    <w:p w14:paraId="39C6181D">
      <w:pPr>
        <w:widowControl/>
        <w:spacing w:line="240" w:lineRule="auto"/>
        <w:ind w:firstLine="0" w:firstLineChars="0"/>
        <w:jc w:val="left"/>
        <w:rPr>
          <w:rFonts w:ascii="黑体" w:hAnsi="黑体" w:eastAsia="黑体"/>
          <w:color w:val="auto"/>
          <w:sz w:val="44"/>
          <w:szCs w:val="44"/>
        </w:rPr>
      </w:pPr>
      <w:r>
        <w:rPr>
          <w:rFonts w:ascii="黑体" w:hAnsi="黑体" w:eastAsia="黑体"/>
          <w:color w:val="auto"/>
          <w:sz w:val="44"/>
          <w:szCs w:val="44"/>
        </w:rPr>
        <w:br w:type="page"/>
      </w:r>
    </w:p>
    <w:p w14:paraId="3143B08A">
      <w:pPr>
        <w:spacing w:after="240"/>
        <w:ind w:firstLine="880"/>
        <w:jc w:val="center"/>
        <w:rPr>
          <w:rFonts w:ascii="黑体" w:hAnsi="黑体" w:eastAsia="黑体"/>
          <w:color w:val="auto"/>
          <w:sz w:val="44"/>
          <w:szCs w:val="44"/>
        </w:rPr>
      </w:pPr>
      <w:r>
        <w:rPr>
          <w:rFonts w:hint="eastAsia" w:ascii="黑体" w:hAnsi="黑体" w:eastAsia="黑体"/>
          <w:color w:val="auto"/>
          <w:sz w:val="44"/>
          <w:szCs w:val="44"/>
        </w:rPr>
        <w:t>技术文件</w:t>
      </w:r>
    </w:p>
    <w:p w14:paraId="49DE422C">
      <w:pPr>
        <w:ind w:firstLine="560"/>
        <w:jc w:val="right"/>
        <w:rPr>
          <w:color w:val="auto"/>
        </w:rPr>
      </w:pPr>
      <w:r>
        <w:rPr>
          <w:color w:val="auto"/>
        </w:rPr>
        <w:br w:type="page"/>
      </w:r>
    </w:p>
    <w:p w14:paraId="1517CBD8">
      <w:pPr>
        <w:ind w:firstLine="640"/>
        <w:jc w:val="center"/>
        <w:rPr>
          <w:rFonts w:ascii="黑体" w:hAnsi="黑体" w:eastAsia="黑体"/>
          <w:color w:val="auto"/>
          <w:sz w:val="32"/>
          <w:szCs w:val="32"/>
        </w:rPr>
      </w:pPr>
      <w:r>
        <w:rPr>
          <w:rFonts w:ascii="黑体" w:hAnsi="黑体" w:eastAsia="黑体"/>
          <w:color w:val="auto"/>
          <w:sz w:val="32"/>
          <w:szCs w:val="32"/>
        </w:rPr>
        <w:t>供应商认为说明的其他内容</w:t>
      </w:r>
    </w:p>
    <w:p w14:paraId="478F3EA5">
      <w:pPr>
        <w:ind w:right="1280" w:firstLine="640"/>
        <w:rPr>
          <w:rFonts w:ascii="仿宋_GB2312" w:hAnsi="宋体"/>
          <w:b/>
          <w:bCs/>
          <w:color w:val="auto"/>
          <w:sz w:val="30"/>
          <w:szCs w:val="30"/>
        </w:rPr>
      </w:pPr>
      <w:r>
        <w:rPr>
          <w:color w:val="auto"/>
          <w:sz w:val="32"/>
          <w:szCs w:val="32"/>
        </w:rPr>
        <w:br w:type="page"/>
      </w:r>
    </w:p>
    <w:p w14:paraId="72DF9BDD">
      <w:pPr>
        <w:ind w:firstLine="560"/>
        <w:rPr>
          <w:color w:val="auto"/>
        </w:rPr>
        <w:sectPr>
          <w:headerReference r:id="rId28" w:type="first"/>
          <w:headerReference r:id="rId26" w:type="default"/>
          <w:footerReference r:id="rId29" w:type="default"/>
          <w:headerReference r:id="rId27" w:type="even"/>
          <w:pgSz w:w="11906" w:h="16838"/>
          <w:pgMar w:top="1440" w:right="1080" w:bottom="1440" w:left="1080" w:header="851" w:footer="992" w:gutter="0"/>
          <w:cols w:space="720" w:num="1"/>
          <w:docGrid w:type="lines" w:linePitch="312" w:charSpace="0"/>
        </w:sectPr>
      </w:pPr>
    </w:p>
    <w:p w14:paraId="5F64CD5B">
      <w:pPr>
        <w:pStyle w:val="43"/>
        <w:spacing w:before="100" w:beforeAutospacing="1" w:after="100" w:afterAutospacing="1" w:line="415" w:lineRule="auto"/>
        <w:ind w:left="1440" w:firstLine="883"/>
        <w:jc w:val="both"/>
        <w:rPr>
          <w:rFonts w:ascii="楷体_GB2312" w:hAnsi="宋体" w:eastAsia="楷体_GB2312" w:cs="宋体"/>
          <w:color w:val="auto"/>
          <w:sz w:val="44"/>
          <w:szCs w:val="44"/>
        </w:rPr>
      </w:pPr>
      <w:r>
        <w:rPr>
          <w:rFonts w:hint="eastAsia" w:ascii="宋体" w:hAnsi="宋体" w:cs="宋体"/>
          <w:color w:val="auto"/>
          <w:sz w:val="44"/>
          <w:szCs w:val="44"/>
        </w:rPr>
        <w:t>第六章</w:t>
      </w:r>
      <w:r>
        <w:rPr>
          <w:rFonts w:hint="eastAsia" w:ascii="楷体_GB2312" w:hAnsi="宋体" w:eastAsia="楷体_GB2312" w:cs="宋体"/>
          <w:color w:val="auto"/>
          <w:sz w:val="44"/>
          <w:szCs w:val="44"/>
        </w:rPr>
        <w:t>政府采购合同（范本）</w:t>
      </w:r>
    </w:p>
    <w:p w14:paraId="0E7EE851">
      <w:pPr>
        <w:ind w:firstLine="560"/>
        <w:rPr>
          <w:color w:val="auto"/>
        </w:rPr>
      </w:pPr>
    </w:p>
    <w:p w14:paraId="49D31277">
      <w:pPr>
        <w:ind w:firstLine="560"/>
        <w:rPr>
          <w:color w:val="auto"/>
        </w:rPr>
        <w:sectPr>
          <w:headerReference r:id="rId31" w:type="first"/>
          <w:footerReference r:id="rId32" w:type="default"/>
          <w:headerReference r:id="rId30" w:type="even"/>
          <w:pgSz w:w="11906" w:h="16838"/>
          <w:pgMar w:top="1440" w:right="1077" w:bottom="1440" w:left="1077" w:header="851" w:footer="992" w:gutter="0"/>
          <w:cols w:space="720" w:num="1"/>
          <w:docGrid w:type="lines" w:linePitch="312" w:charSpace="0"/>
        </w:sectPr>
      </w:pPr>
    </w:p>
    <w:p w14:paraId="1BC36FE2">
      <w:pPr>
        <w:spacing w:line="560" w:lineRule="exact"/>
        <w:ind w:firstLine="720"/>
        <w:jc w:val="center"/>
        <w:rPr>
          <w:rFonts w:ascii="宋体" w:hAnsi="宋体"/>
          <w:color w:val="auto"/>
          <w:sz w:val="36"/>
          <w:szCs w:val="36"/>
        </w:rPr>
      </w:pPr>
    </w:p>
    <w:p w14:paraId="5DD53588">
      <w:pPr>
        <w:spacing w:line="560" w:lineRule="exact"/>
        <w:ind w:firstLine="720"/>
        <w:jc w:val="center"/>
        <w:rPr>
          <w:rFonts w:ascii="宋体" w:hAnsi="宋体"/>
          <w:color w:val="auto"/>
          <w:sz w:val="36"/>
          <w:szCs w:val="36"/>
        </w:rPr>
      </w:pPr>
    </w:p>
    <w:p w14:paraId="3C9C1EB9">
      <w:pPr>
        <w:spacing w:line="560" w:lineRule="exact"/>
        <w:ind w:firstLine="720"/>
        <w:jc w:val="center"/>
        <w:rPr>
          <w:rFonts w:ascii="宋体" w:hAnsi="宋体"/>
          <w:color w:val="auto"/>
          <w:sz w:val="36"/>
          <w:szCs w:val="36"/>
        </w:rPr>
      </w:pPr>
    </w:p>
    <w:p w14:paraId="595AA907">
      <w:pPr>
        <w:spacing w:line="560" w:lineRule="exact"/>
        <w:ind w:firstLine="723"/>
        <w:jc w:val="center"/>
        <w:outlineLvl w:val="1"/>
        <w:rPr>
          <w:rFonts w:ascii="宋体" w:hAnsi="宋体"/>
          <w:b/>
          <w:color w:val="auto"/>
          <w:sz w:val="36"/>
          <w:szCs w:val="36"/>
        </w:rPr>
      </w:pPr>
      <w:r>
        <w:rPr>
          <w:rFonts w:hint="eastAsia" w:ascii="宋体" w:hAnsi="宋体"/>
          <w:b/>
          <w:color w:val="auto"/>
          <w:sz w:val="36"/>
          <w:szCs w:val="36"/>
        </w:rPr>
        <w:t>合同书</w:t>
      </w:r>
    </w:p>
    <w:p w14:paraId="63B7B96A">
      <w:pPr>
        <w:spacing w:line="560" w:lineRule="exact"/>
        <w:ind w:firstLine="720"/>
        <w:jc w:val="center"/>
        <w:rPr>
          <w:rFonts w:ascii="宋体" w:hAnsi="宋体"/>
          <w:color w:val="auto"/>
          <w:sz w:val="36"/>
          <w:szCs w:val="36"/>
        </w:rPr>
      </w:pPr>
    </w:p>
    <w:p w14:paraId="2CF20853">
      <w:pPr>
        <w:spacing w:line="560" w:lineRule="exact"/>
        <w:ind w:firstLine="720"/>
        <w:jc w:val="center"/>
        <w:rPr>
          <w:rFonts w:ascii="宋体" w:hAnsi="宋体"/>
          <w:color w:val="auto"/>
          <w:sz w:val="36"/>
          <w:szCs w:val="36"/>
        </w:rPr>
      </w:pPr>
    </w:p>
    <w:p w14:paraId="16B98A10">
      <w:pPr>
        <w:spacing w:line="560" w:lineRule="exact"/>
        <w:ind w:firstLine="720"/>
        <w:jc w:val="center"/>
        <w:rPr>
          <w:rFonts w:ascii="宋体" w:hAnsi="宋体"/>
          <w:color w:val="auto"/>
          <w:sz w:val="36"/>
          <w:szCs w:val="36"/>
        </w:rPr>
      </w:pPr>
    </w:p>
    <w:p w14:paraId="33D755A8">
      <w:pPr>
        <w:spacing w:line="560" w:lineRule="exact"/>
        <w:ind w:firstLine="720"/>
        <w:jc w:val="center"/>
        <w:rPr>
          <w:rFonts w:ascii="宋体" w:hAnsi="宋体"/>
          <w:color w:val="auto"/>
          <w:sz w:val="36"/>
          <w:szCs w:val="36"/>
        </w:rPr>
      </w:pPr>
    </w:p>
    <w:p w14:paraId="67B5DA74">
      <w:pPr>
        <w:spacing w:line="560" w:lineRule="exact"/>
        <w:ind w:firstLine="720"/>
        <w:jc w:val="center"/>
        <w:rPr>
          <w:rFonts w:ascii="宋体" w:hAnsi="宋体"/>
          <w:color w:val="auto"/>
          <w:sz w:val="36"/>
          <w:szCs w:val="36"/>
        </w:rPr>
      </w:pPr>
    </w:p>
    <w:p w14:paraId="6A07CAA0">
      <w:pPr>
        <w:spacing w:line="560" w:lineRule="exact"/>
        <w:ind w:firstLine="0" w:firstLineChars="0"/>
        <w:jc w:val="left"/>
        <w:rPr>
          <w:rFonts w:ascii="宋体" w:hAnsi="宋体"/>
          <w:b/>
          <w:color w:val="auto"/>
          <w:sz w:val="36"/>
          <w:szCs w:val="36"/>
        </w:rPr>
      </w:pPr>
      <w:r>
        <w:rPr>
          <w:rFonts w:hint="eastAsia" w:ascii="宋体" w:hAnsi="宋体"/>
          <w:b/>
          <w:color w:val="auto"/>
          <w:sz w:val="36"/>
          <w:szCs w:val="36"/>
        </w:rPr>
        <w:t>项目名称:</w:t>
      </w:r>
      <w:r>
        <w:rPr>
          <w:rFonts w:ascii="宋体" w:hAnsi="宋体"/>
          <w:b/>
          <w:color w:val="auto"/>
          <w:sz w:val="36"/>
          <w:szCs w:val="36"/>
        </w:rPr>
        <w:t xml:space="preserve"> 乳山市2024年水库移民扶持基金项目和大中型水库移民后期扶持人口自然变化结余资金项目</w:t>
      </w:r>
    </w:p>
    <w:p w14:paraId="3CB864DA">
      <w:pPr>
        <w:spacing w:line="560" w:lineRule="exact"/>
        <w:ind w:firstLine="723"/>
        <w:jc w:val="left"/>
        <w:rPr>
          <w:rFonts w:ascii="宋体" w:hAnsi="宋体"/>
          <w:b/>
          <w:color w:val="auto"/>
          <w:sz w:val="36"/>
          <w:szCs w:val="36"/>
        </w:rPr>
      </w:pPr>
      <w:r>
        <w:rPr>
          <w:rFonts w:hint="eastAsia" w:ascii="宋体" w:hAnsi="宋体"/>
          <w:b/>
          <w:color w:val="auto"/>
          <w:sz w:val="36"/>
          <w:szCs w:val="36"/>
        </w:rPr>
        <w:t>合同编号:</w:t>
      </w:r>
      <w:r>
        <w:rPr>
          <w:rFonts w:hint="eastAsia" w:ascii="宋体" w:hAnsi="宋体"/>
          <w:b/>
          <w:color w:val="auto"/>
          <w:sz w:val="36"/>
          <w:szCs w:val="36"/>
          <w:lang w:eastAsia="zh-CN"/>
        </w:rPr>
        <w:t>SDGP371083000202402000114</w:t>
      </w:r>
      <w:r>
        <w:rPr>
          <w:rFonts w:ascii="宋体" w:hAnsi="宋体" w:eastAsia="宋体"/>
          <w:b/>
          <w:color w:val="auto"/>
          <w:sz w:val="36"/>
          <w:szCs w:val="36"/>
        </w:rPr>
        <w:t>A</w:t>
      </w:r>
      <w:r>
        <w:rPr>
          <w:rFonts w:hint="eastAsia" w:ascii="宋体" w:hAnsi="宋体"/>
          <w:b/>
          <w:color w:val="auto"/>
          <w:sz w:val="36"/>
          <w:szCs w:val="36"/>
        </w:rPr>
        <w:t>_</w:t>
      </w:r>
      <w:r>
        <w:rPr>
          <w:rFonts w:ascii="宋体" w:hAnsi="宋体"/>
          <w:b/>
          <w:color w:val="auto"/>
          <w:sz w:val="36"/>
          <w:szCs w:val="36"/>
        </w:rPr>
        <w:t>001</w:t>
      </w:r>
    </w:p>
    <w:p w14:paraId="5DD454F7">
      <w:pPr>
        <w:spacing w:line="560" w:lineRule="exact"/>
        <w:ind w:firstLine="723"/>
        <w:jc w:val="left"/>
        <w:rPr>
          <w:rFonts w:ascii="宋体" w:hAnsi="宋体"/>
          <w:b/>
          <w:color w:val="auto"/>
          <w:sz w:val="36"/>
          <w:szCs w:val="36"/>
        </w:rPr>
      </w:pPr>
      <w:r>
        <w:rPr>
          <w:rFonts w:hint="eastAsia" w:ascii="宋体" w:hAnsi="宋体"/>
          <w:b/>
          <w:color w:val="auto"/>
          <w:sz w:val="36"/>
          <w:szCs w:val="36"/>
        </w:rPr>
        <w:t>计划编号:</w:t>
      </w:r>
    </w:p>
    <w:p w14:paraId="660CDEE4">
      <w:pPr>
        <w:spacing w:line="560" w:lineRule="exact"/>
        <w:ind w:firstLine="720"/>
        <w:jc w:val="center"/>
        <w:rPr>
          <w:rFonts w:ascii="宋体" w:hAnsi="宋体"/>
          <w:color w:val="auto"/>
          <w:sz w:val="36"/>
          <w:szCs w:val="36"/>
        </w:rPr>
      </w:pPr>
    </w:p>
    <w:p w14:paraId="7B1BB9CA">
      <w:pPr>
        <w:spacing w:line="560" w:lineRule="exact"/>
        <w:ind w:firstLine="720"/>
        <w:jc w:val="center"/>
        <w:rPr>
          <w:rFonts w:ascii="宋体" w:hAnsi="宋体"/>
          <w:color w:val="auto"/>
          <w:sz w:val="36"/>
          <w:szCs w:val="36"/>
        </w:rPr>
      </w:pPr>
    </w:p>
    <w:p w14:paraId="7903CE36">
      <w:pPr>
        <w:spacing w:line="560" w:lineRule="exact"/>
        <w:ind w:firstLine="720"/>
        <w:jc w:val="center"/>
        <w:rPr>
          <w:rFonts w:ascii="宋体" w:hAnsi="宋体"/>
          <w:color w:val="auto"/>
          <w:sz w:val="36"/>
          <w:szCs w:val="36"/>
        </w:rPr>
      </w:pPr>
    </w:p>
    <w:p w14:paraId="5274E1F5">
      <w:pPr>
        <w:spacing w:line="560" w:lineRule="exact"/>
        <w:ind w:firstLine="723"/>
        <w:rPr>
          <w:rFonts w:ascii="宋体" w:hAnsi="宋体"/>
          <w:b/>
          <w:color w:val="auto"/>
          <w:sz w:val="36"/>
          <w:szCs w:val="36"/>
        </w:rPr>
      </w:pPr>
      <w:r>
        <w:rPr>
          <w:rFonts w:hint="eastAsia" w:ascii="宋体" w:hAnsi="宋体"/>
          <w:b/>
          <w:color w:val="auto"/>
          <w:sz w:val="36"/>
          <w:szCs w:val="36"/>
        </w:rPr>
        <w:t>甲方:</w:t>
      </w:r>
      <w:r>
        <w:rPr>
          <w:rFonts w:ascii="宋体" w:hAnsi="宋体"/>
          <w:b/>
          <w:color w:val="auto"/>
          <w:sz w:val="36"/>
          <w:szCs w:val="36"/>
        </w:rPr>
        <w:t>乳山市水利事务服务中心</w:t>
      </w:r>
    </w:p>
    <w:p w14:paraId="4B9AB3CF">
      <w:pPr>
        <w:spacing w:line="560" w:lineRule="exact"/>
        <w:ind w:firstLine="723"/>
        <w:rPr>
          <w:rFonts w:ascii="宋体" w:hAnsi="宋体"/>
          <w:b/>
          <w:color w:val="auto"/>
          <w:sz w:val="36"/>
          <w:szCs w:val="36"/>
        </w:rPr>
      </w:pPr>
    </w:p>
    <w:p w14:paraId="16E5FFEB">
      <w:pPr>
        <w:spacing w:line="560" w:lineRule="exact"/>
        <w:ind w:firstLine="723"/>
        <w:rPr>
          <w:rFonts w:ascii="宋体" w:hAnsi="宋体"/>
          <w:b/>
          <w:color w:val="auto"/>
          <w:sz w:val="36"/>
          <w:szCs w:val="36"/>
        </w:rPr>
      </w:pPr>
      <w:r>
        <w:rPr>
          <w:rFonts w:hint="eastAsia" w:ascii="宋体" w:hAnsi="宋体"/>
          <w:b/>
          <w:color w:val="auto"/>
          <w:sz w:val="36"/>
          <w:szCs w:val="36"/>
        </w:rPr>
        <w:t>乙方:</w:t>
      </w:r>
    </w:p>
    <w:p w14:paraId="64860FE7">
      <w:pPr>
        <w:tabs>
          <w:tab w:val="left" w:pos="930"/>
          <w:tab w:val="left" w:pos="1980"/>
          <w:tab w:val="left" w:pos="2160"/>
          <w:tab w:val="left" w:pos="2340"/>
          <w:tab w:val="left" w:pos="6400"/>
        </w:tabs>
        <w:spacing w:before="312" w:beforeLines="100" w:after="100" w:afterAutospacing="1"/>
        <w:ind w:left="560" w:leftChars="200" w:firstLine="602"/>
        <w:jc w:val="center"/>
        <w:textAlignment w:val="center"/>
        <w:rPr>
          <w:rFonts w:ascii="仿宋_GB2312"/>
          <w:b/>
          <w:bCs/>
          <w:color w:val="auto"/>
          <w:sz w:val="30"/>
          <w:szCs w:val="30"/>
        </w:rPr>
      </w:pPr>
    </w:p>
    <w:p w14:paraId="38EDEC69">
      <w:pPr>
        <w:spacing w:before="312" w:beforeLines="100" w:line="400" w:lineRule="exact"/>
        <w:ind w:firstLine="1040"/>
        <w:jc w:val="center"/>
        <w:rPr>
          <w:rFonts w:ascii="宋体" w:hAnsi="宋体"/>
          <w:color w:val="auto"/>
          <w:sz w:val="52"/>
          <w:szCs w:val="52"/>
        </w:rPr>
      </w:pPr>
      <w:r>
        <w:rPr>
          <w:rFonts w:ascii="宋体" w:hAnsi="宋体"/>
          <w:color w:val="auto"/>
          <w:sz w:val="52"/>
          <w:szCs w:val="52"/>
        </w:rPr>
        <w:br w:type="page"/>
      </w:r>
    </w:p>
    <w:p w14:paraId="79093068">
      <w:pPr>
        <w:pStyle w:val="87"/>
        <w:spacing w:line="440" w:lineRule="atLeast"/>
        <w:ind w:firstLine="562"/>
        <w:jc w:val="center"/>
        <w:rPr>
          <w:rFonts w:hAnsi="宋体"/>
          <w:color w:val="auto"/>
          <w:sz w:val="28"/>
          <w:szCs w:val="28"/>
        </w:rPr>
      </w:pPr>
      <w:r>
        <w:rPr>
          <w:rFonts w:hint="eastAsia" w:hAnsi="宋体"/>
          <w:color w:val="auto"/>
          <w:sz w:val="28"/>
          <w:szCs w:val="28"/>
        </w:rPr>
        <w:t>合同协议书</w:t>
      </w:r>
    </w:p>
    <w:p w14:paraId="7B9868FE">
      <w:pPr>
        <w:pStyle w:val="87"/>
        <w:spacing w:line="400" w:lineRule="exact"/>
        <w:ind w:firstLine="361"/>
        <w:rPr>
          <w:rFonts w:hAnsi="宋体"/>
          <w:color w:val="auto"/>
          <w:u w:val="single"/>
        </w:rPr>
      </w:pPr>
    </w:p>
    <w:p w14:paraId="118005CE">
      <w:pPr>
        <w:pStyle w:val="87"/>
        <w:spacing w:line="400" w:lineRule="exact"/>
        <w:ind w:firstLine="361"/>
        <w:rPr>
          <w:rFonts w:hAnsi="宋体"/>
          <w:color w:val="auto"/>
        </w:rPr>
      </w:pPr>
      <w:r>
        <w:rPr>
          <w:rFonts w:hint="eastAsia" w:hAnsi="宋体"/>
          <w:color w:val="auto"/>
          <w:u w:val="single"/>
        </w:rPr>
        <w:t xml:space="preserve"> （发包人名称，以下简称“发包人”） </w:t>
      </w:r>
      <w:r>
        <w:rPr>
          <w:rFonts w:hint="eastAsia" w:hAnsi="宋体"/>
          <w:color w:val="auto"/>
        </w:rPr>
        <w:t>为实施</w:t>
      </w:r>
      <w:r>
        <w:rPr>
          <w:rFonts w:hint="eastAsia" w:hAnsi="宋体"/>
          <w:color w:val="auto"/>
          <w:u w:val="single"/>
        </w:rPr>
        <w:t xml:space="preserve">  （项目名称）   </w:t>
      </w:r>
      <w:r>
        <w:rPr>
          <w:rFonts w:hint="eastAsia" w:hAnsi="宋体"/>
          <w:color w:val="auto"/>
        </w:rPr>
        <w:t>，已接受</w:t>
      </w:r>
      <w:r>
        <w:rPr>
          <w:rFonts w:hint="eastAsia" w:hAnsi="宋体"/>
          <w:color w:val="auto"/>
          <w:u w:val="single"/>
        </w:rPr>
        <w:t>（承包人名称，以下简称“承包人”）</w:t>
      </w:r>
      <w:r>
        <w:rPr>
          <w:rFonts w:hint="eastAsia" w:hAnsi="宋体"/>
          <w:color w:val="auto"/>
        </w:rPr>
        <w:t>对该项目</w:t>
      </w:r>
      <w:r>
        <w:rPr>
          <w:rFonts w:hint="eastAsia" w:hAnsi="宋体"/>
          <w:color w:val="auto"/>
          <w:u w:val="single"/>
        </w:rPr>
        <w:t xml:space="preserve">标段   </w:t>
      </w:r>
      <w:r>
        <w:rPr>
          <w:rFonts w:hint="eastAsia" w:hAnsi="宋体"/>
          <w:color w:val="auto"/>
        </w:rPr>
        <w:t>施工的投标，并确定其为中标人。发包人和承包人共同达成如下协议。</w:t>
      </w:r>
    </w:p>
    <w:p w14:paraId="21E64A71">
      <w:pPr>
        <w:spacing w:line="400" w:lineRule="exact"/>
        <w:ind w:firstLine="478" w:firstLineChars="171"/>
        <w:rPr>
          <w:rFonts w:cs="宋体"/>
          <w:color w:val="auto"/>
          <w:szCs w:val="21"/>
        </w:rPr>
      </w:pPr>
      <w:bookmarkStart w:id="0" w:name="_Toc144974828"/>
      <w:bookmarkStart w:id="1" w:name="_Toc152042548"/>
      <w:r>
        <w:rPr>
          <w:rFonts w:hint="eastAsia" w:cs="宋体"/>
          <w:color w:val="auto"/>
          <w:szCs w:val="21"/>
        </w:rPr>
        <w:t>1. 本协议书与下列文件一起构成合同文件：</w:t>
      </w:r>
      <w:bookmarkEnd w:id="0"/>
      <w:bookmarkEnd w:id="1"/>
    </w:p>
    <w:p w14:paraId="17C80996">
      <w:pPr>
        <w:spacing w:line="400" w:lineRule="exact"/>
        <w:ind w:firstLine="957" w:firstLineChars="342"/>
        <w:rPr>
          <w:rFonts w:cs="宋体"/>
          <w:color w:val="auto"/>
          <w:szCs w:val="21"/>
        </w:rPr>
      </w:pPr>
      <w:r>
        <w:rPr>
          <w:rFonts w:hint="eastAsia" w:cs="宋体"/>
          <w:color w:val="auto"/>
          <w:szCs w:val="21"/>
        </w:rPr>
        <w:t>（1）中标通知书；</w:t>
      </w:r>
    </w:p>
    <w:p w14:paraId="40B27B52">
      <w:pPr>
        <w:spacing w:line="400" w:lineRule="exact"/>
        <w:ind w:firstLine="957" w:firstLineChars="342"/>
        <w:rPr>
          <w:rFonts w:cs="宋体"/>
          <w:color w:val="auto"/>
          <w:szCs w:val="21"/>
        </w:rPr>
      </w:pPr>
      <w:r>
        <w:rPr>
          <w:rFonts w:hint="eastAsia" w:cs="宋体"/>
          <w:color w:val="auto"/>
          <w:szCs w:val="21"/>
        </w:rPr>
        <w:t>（2）投标函及投标函附录；</w:t>
      </w:r>
    </w:p>
    <w:p w14:paraId="2E22C90A">
      <w:pPr>
        <w:spacing w:line="400" w:lineRule="exact"/>
        <w:ind w:firstLine="957" w:firstLineChars="342"/>
        <w:rPr>
          <w:rFonts w:cs="宋体"/>
          <w:color w:val="auto"/>
          <w:szCs w:val="21"/>
        </w:rPr>
      </w:pPr>
      <w:r>
        <w:rPr>
          <w:rFonts w:hint="eastAsia" w:cs="宋体"/>
          <w:color w:val="auto"/>
          <w:szCs w:val="21"/>
        </w:rPr>
        <w:t>（3）专用合同条款；</w:t>
      </w:r>
    </w:p>
    <w:p w14:paraId="3C661EC9">
      <w:pPr>
        <w:spacing w:line="400" w:lineRule="exact"/>
        <w:ind w:firstLine="957" w:firstLineChars="342"/>
        <w:rPr>
          <w:rFonts w:cs="宋体"/>
          <w:color w:val="auto"/>
          <w:szCs w:val="21"/>
        </w:rPr>
      </w:pPr>
      <w:r>
        <w:rPr>
          <w:rFonts w:hint="eastAsia" w:cs="宋体"/>
          <w:color w:val="auto"/>
          <w:szCs w:val="21"/>
        </w:rPr>
        <w:t>（4）通用合同条款；</w:t>
      </w:r>
    </w:p>
    <w:p w14:paraId="1417FEE6">
      <w:pPr>
        <w:spacing w:line="400" w:lineRule="exact"/>
        <w:ind w:firstLine="957" w:firstLineChars="342"/>
        <w:rPr>
          <w:rFonts w:cs="宋体"/>
          <w:color w:val="auto"/>
          <w:szCs w:val="21"/>
        </w:rPr>
      </w:pPr>
      <w:r>
        <w:rPr>
          <w:rFonts w:hint="eastAsia" w:cs="宋体"/>
          <w:color w:val="auto"/>
          <w:szCs w:val="21"/>
        </w:rPr>
        <w:t>（5）技术标准和要求；</w:t>
      </w:r>
    </w:p>
    <w:p w14:paraId="25BE582A">
      <w:pPr>
        <w:spacing w:line="400" w:lineRule="exact"/>
        <w:ind w:firstLine="957" w:firstLineChars="342"/>
        <w:rPr>
          <w:rFonts w:cs="宋体"/>
          <w:color w:val="auto"/>
          <w:szCs w:val="21"/>
        </w:rPr>
      </w:pPr>
      <w:r>
        <w:rPr>
          <w:rFonts w:hint="eastAsia" w:cs="宋体"/>
          <w:color w:val="auto"/>
          <w:szCs w:val="21"/>
        </w:rPr>
        <w:t>（6）图纸；</w:t>
      </w:r>
    </w:p>
    <w:p w14:paraId="544C90CF">
      <w:pPr>
        <w:spacing w:line="400" w:lineRule="exact"/>
        <w:ind w:firstLine="957" w:firstLineChars="342"/>
        <w:rPr>
          <w:rFonts w:cs="宋体"/>
          <w:color w:val="auto"/>
          <w:szCs w:val="21"/>
        </w:rPr>
      </w:pPr>
      <w:r>
        <w:rPr>
          <w:rFonts w:hint="eastAsia" w:cs="宋体"/>
          <w:color w:val="auto"/>
          <w:szCs w:val="21"/>
        </w:rPr>
        <w:t>（7）工程量清单；</w:t>
      </w:r>
    </w:p>
    <w:p w14:paraId="301F1DB4">
      <w:pPr>
        <w:spacing w:line="400" w:lineRule="exact"/>
        <w:ind w:firstLine="957" w:firstLineChars="342"/>
        <w:rPr>
          <w:rFonts w:cs="宋体"/>
          <w:color w:val="auto"/>
          <w:szCs w:val="21"/>
        </w:rPr>
      </w:pPr>
      <w:r>
        <w:rPr>
          <w:rFonts w:hint="eastAsia" w:cs="宋体"/>
          <w:color w:val="auto"/>
          <w:szCs w:val="21"/>
        </w:rPr>
        <w:t>（8）其他合同文件。</w:t>
      </w:r>
    </w:p>
    <w:p w14:paraId="176AD1EA">
      <w:pPr>
        <w:spacing w:line="400" w:lineRule="exact"/>
        <w:ind w:firstLine="478" w:firstLineChars="171"/>
        <w:rPr>
          <w:rFonts w:cs="宋体"/>
          <w:color w:val="auto"/>
          <w:szCs w:val="21"/>
        </w:rPr>
      </w:pPr>
      <w:bookmarkStart w:id="2" w:name="_Toc144974829"/>
      <w:bookmarkStart w:id="3" w:name="_Toc152042549"/>
      <w:r>
        <w:rPr>
          <w:rFonts w:hint="eastAsia" w:cs="宋体"/>
          <w:color w:val="auto"/>
          <w:szCs w:val="21"/>
        </w:rPr>
        <w:t>2. 上述文件互相补充和解释，如有不明确或不一致之处，以合同约定次序在先者为准。</w:t>
      </w:r>
      <w:bookmarkEnd w:id="2"/>
      <w:bookmarkEnd w:id="3"/>
    </w:p>
    <w:p w14:paraId="2374D5C1">
      <w:pPr>
        <w:spacing w:line="400" w:lineRule="exact"/>
        <w:ind w:firstLine="478" w:firstLineChars="171"/>
        <w:rPr>
          <w:rFonts w:cs="宋体"/>
          <w:color w:val="auto"/>
          <w:szCs w:val="21"/>
        </w:rPr>
      </w:pPr>
      <w:r>
        <w:rPr>
          <w:rFonts w:hint="eastAsia" w:cs="宋体"/>
          <w:color w:val="auto"/>
          <w:szCs w:val="21"/>
        </w:rPr>
        <w:t>3. 签约合同价：人民币（大写）（¥）。</w:t>
      </w:r>
    </w:p>
    <w:p w14:paraId="27213323">
      <w:pPr>
        <w:spacing w:line="400" w:lineRule="exact"/>
        <w:ind w:firstLine="478" w:firstLineChars="171"/>
        <w:rPr>
          <w:rFonts w:cs="宋体"/>
          <w:color w:val="auto"/>
          <w:szCs w:val="21"/>
        </w:rPr>
      </w:pPr>
      <w:r>
        <w:rPr>
          <w:rFonts w:hint="eastAsia" w:cs="宋体"/>
          <w:color w:val="auto"/>
          <w:szCs w:val="21"/>
        </w:rPr>
        <w:t>4. 合同形式：。</w:t>
      </w:r>
    </w:p>
    <w:p w14:paraId="510F94C8">
      <w:pPr>
        <w:spacing w:line="400" w:lineRule="exact"/>
        <w:ind w:firstLine="478" w:firstLineChars="171"/>
        <w:rPr>
          <w:rFonts w:cs="宋体"/>
          <w:color w:val="auto"/>
          <w:szCs w:val="21"/>
        </w:rPr>
      </w:pPr>
      <w:r>
        <w:rPr>
          <w:rFonts w:hint="eastAsia" w:cs="宋体"/>
          <w:color w:val="auto"/>
          <w:szCs w:val="21"/>
        </w:rPr>
        <w:t>5. 计划开工日期：年月日；</w:t>
      </w:r>
    </w:p>
    <w:p w14:paraId="0D2D4BB4">
      <w:pPr>
        <w:spacing w:line="400" w:lineRule="exact"/>
        <w:ind w:firstLine="840" w:firstLineChars="300"/>
        <w:rPr>
          <w:rFonts w:cs="宋体"/>
          <w:color w:val="auto"/>
          <w:szCs w:val="21"/>
        </w:rPr>
      </w:pPr>
      <w:r>
        <w:rPr>
          <w:rFonts w:hint="eastAsia" w:cs="宋体"/>
          <w:color w:val="auto"/>
          <w:szCs w:val="21"/>
        </w:rPr>
        <w:t>计划竣工日期：年月日；工期：日历天。</w:t>
      </w:r>
    </w:p>
    <w:p w14:paraId="7FBC2C11">
      <w:pPr>
        <w:spacing w:line="400" w:lineRule="exact"/>
        <w:ind w:firstLine="478" w:firstLineChars="171"/>
        <w:rPr>
          <w:rFonts w:cs="宋体"/>
          <w:color w:val="auto"/>
          <w:szCs w:val="21"/>
        </w:rPr>
      </w:pPr>
      <w:r>
        <w:rPr>
          <w:rFonts w:hint="eastAsia" w:cs="宋体"/>
          <w:color w:val="auto"/>
          <w:szCs w:val="21"/>
        </w:rPr>
        <w:t>6. 承包人项目经理：；技术负责人：。</w:t>
      </w:r>
    </w:p>
    <w:p w14:paraId="73A03614">
      <w:pPr>
        <w:spacing w:line="400" w:lineRule="exact"/>
        <w:ind w:firstLine="478" w:firstLineChars="171"/>
        <w:rPr>
          <w:rFonts w:cs="宋体"/>
          <w:color w:val="auto"/>
          <w:szCs w:val="21"/>
        </w:rPr>
      </w:pPr>
      <w:r>
        <w:rPr>
          <w:rFonts w:hint="eastAsia" w:cs="宋体"/>
          <w:color w:val="auto"/>
          <w:szCs w:val="21"/>
        </w:rPr>
        <w:t>7. 工程质量符合标准。</w:t>
      </w:r>
    </w:p>
    <w:p w14:paraId="0AC5B6AA">
      <w:pPr>
        <w:spacing w:line="400" w:lineRule="exact"/>
        <w:ind w:firstLine="478" w:firstLineChars="171"/>
        <w:rPr>
          <w:rFonts w:cs="宋体"/>
          <w:color w:val="auto"/>
          <w:szCs w:val="21"/>
        </w:rPr>
      </w:pPr>
      <w:r>
        <w:rPr>
          <w:rFonts w:hint="eastAsia" w:cs="宋体"/>
          <w:color w:val="auto"/>
          <w:szCs w:val="21"/>
        </w:rPr>
        <w:t>8. 承包人承诺按合同约定承担工程的施工、竣工交付及缺陷修复。</w:t>
      </w:r>
    </w:p>
    <w:p w14:paraId="62EF3F6B">
      <w:pPr>
        <w:spacing w:line="400" w:lineRule="exact"/>
        <w:ind w:firstLine="478" w:firstLineChars="171"/>
        <w:rPr>
          <w:rFonts w:cs="宋体"/>
          <w:color w:val="auto"/>
          <w:szCs w:val="21"/>
        </w:rPr>
      </w:pPr>
      <w:r>
        <w:rPr>
          <w:rFonts w:hint="eastAsia" w:cs="宋体"/>
          <w:color w:val="auto"/>
          <w:szCs w:val="21"/>
        </w:rPr>
        <w:t>9. 发包人承诺按合同约定的条件、时间和方式向承包人支付合同价款。</w:t>
      </w:r>
    </w:p>
    <w:p w14:paraId="3FA099E4">
      <w:pPr>
        <w:spacing w:line="400" w:lineRule="exact"/>
        <w:ind w:firstLine="478" w:firstLineChars="171"/>
        <w:rPr>
          <w:rFonts w:cs="宋体"/>
          <w:color w:val="auto"/>
          <w:szCs w:val="21"/>
        </w:rPr>
      </w:pPr>
      <w:bookmarkStart w:id="4" w:name="_Toc144974830"/>
      <w:bookmarkStart w:id="5" w:name="_Toc152042550"/>
      <w:r>
        <w:rPr>
          <w:rFonts w:hint="eastAsia" w:cs="宋体"/>
          <w:color w:val="auto"/>
          <w:szCs w:val="21"/>
        </w:rPr>
        <w:t>10. 工程量计量</w:t>
      </w:r>
    </w:p>
    <w:p w14:paraId="74FF8738">
      <w:pPr>
        <w:spacing w:line="400" w:lineRule="exact"/>
        <w:ind w:firstLine="478" w:firstLineChars="171"/>
        <w:rPr>
          <w:rFonts w:cs="宋体"/>
          <w:color w:val="auto"/>
          <w:szCs w:val="21"/>
        </w:rPr>
      </w:pPr>
      <w:r>
        <w:rPr>
          <w:rFonts w:hint="eastAsia" w:cs="宋体"/>
          <w:color w:val="auto"/>
          <w:szCs w:val="21"/>
        </w:rPr>
        <w:t>本合同施工工程量：以甲方、乙方、监理单位共同认定的工程量为依据，并报县财政部门审核同意，方可作为施工工程量进入结算。</w:t>
      </w:r>
    </w:p>
    <w:p w14:paraId="57A8B15A">
      <w:pPr>
        <w:spacing w:line="400" w:lineRule="exact"/>
        <w:ind w:firstLine="478" w:firstLineChars="171"/>
        <w:rPr>
          <w:rFonts w:cs="宋体"/>
          <w:color w:val="auto"/>
          <w:szCs w:val="21"/>
        </w:rPr>
      </w:pPr>
      <w:r>
        <w:rPr>
          <w:rFonts w:hint="eastAsia" w:cs="宋体"/>
          <w:color w:val="auto"/>
          <w:szCs w:val="21"/>
        </w:rPr>
        <w:t>乙方超出设计图纸要求增加的工程量经甲方、乙方、监理单位、设计单位共同认定核准后，计入结算。</w:t>
      </w:r>
    </w:p>
    <w:p w14:paraId="68C824A7">
      <w:pPr>
        <w:spacing w:line="400" w:lineRule="exact"/>
        <w:ind w:firstLine="478" w:firstLineChars="171"/>
        <w:rPr>
          <w:rFonts w:cs="宋体"/>
          <w:color w:val="auto"/>
          <w:szCs w:val="21"/>
        </w:rPr>
      </w:pPr>
      <w:r>
        <w:rPr>
          <w:rFonts w:hint="eastAsia" w:cs="宋体"/>
          <w:color w:val="auto"/>
          <w:szCs w:val="21"/>
        </w:rPr>
        <w:t>未经认定及未经核准的工程量、和因自身原因造成返工的工程量，不予计量，不准进入结算。</w:t>
      </w:r>
    </w:p>
    <w:p w14:paraId="00113DDB">
      <w:pPr>
        <w:ind w:firstLine="478" w:firstLineChars="171"/>
        <w:rPr>
          <w:rFonts w:cs="宋体"/>
          <w:color w:val="auto"/>
          <w:szCs w:val="21"/>
        </w:rPr>
      </w:pPr>
      <w:r>
        <w:rPr>
          <w:rFonts w:hint="eastAsia" w:cs="宋体"/>
          <w:color w:val="auto"/>
          <w:szCs w:val="21"/>
        </w:rPr>
        <w:t>11.本协议书一式份，合同双方各执份。</w:t>
      </w:r>
    </w:p>
    <w:p w14:paraId="71BDD535">
      <w:pPr>
        <w:spacing w:line="400" w:lineRule="exact"/>
        <w:ind w:firstLine="478" w:firstLineChars="171"/>
        <w:rPr>
          <w:rFonts w:cs="宋体"/>
          <w:color w:val="auto"/>
          <w:szCs w:val="21"/>
        </w:rPr>
      </w:pPr>
      <w:r>
        <w:rPr>
          <w:rFonts w:hint="eastAsia" w:cs="宋体"/>
          <w:color w:val="auto"/>
          <w:szCs w:val="21"/>
        </w:rPr>
        <w:t>12. 合同未尽事宜，双方另行签订补充协议。补充协议是合同的组成部分。</w:t>
      </w:r>
      <w:bookmarkEnd w:id="4"/>
      <w:bookmarkEnd w:id="5"/>
    </w:p>
    <w:p w14:paraId="1DE9DF32">
      <w:pPr>
        <w:spacing w:line="480" w:lineRule="exact"/>
        <w:ind w:firstLine="560"/>
        <w:rPr>
          <w:rFonts w:cs="宋体"/>
          <w:color w:val="auto"/>
          <w:szCs w:val="21"/>
        </w:rPr>
      </w:pPr>
    </w:p>
    <w:p w14:paraId="1C234F44">
      <w:pPr>
        <w:spacing w:line="480" w:lineRule="exact"/>
        <w:ind w:firstLine="560"/>
        <w:rPr>
          <w:rFonts w:cs="宋体"/>
          <w:color w:val="auto"/>
          <w:szCs w:val="21"/>
        </w:rPr>
      </w:pPr>
    </w:p>
    <w:p w14:paraId="35AE3AD6">
      <w:pPr>
        <w:spacing w:line="480" w:lineRule="exact"/>
        <w:ind w:firstLine="560"/>
        <w:rPr>
          <w:rFonts w:cs="宋体"/>
          <w:color w:val="auto"/>
          <w:szCs w:val="21"/>
        </w:rPr>
      </w:pPr>
    </w:p>
    <w:p w14:paraId="53E9ABBF">
      <w:pPr>
        <w:spacing w:line="480" w:lineRule="exact"/>
        <w:ind w:firstLine="560"/>
        <w:rPr>
          <w:rFonts w:cs="宋体"/>
          <w:color w:val="auto"/>
          <w:szCs w:val="21"/>
        </w:rPr>
      </w:pPr>
      <w:r>
        <w:rPr>
          <w:rFonts w:hint="eastAsia" w:cs="宋体"/>
          <w:color w:val="auto"/>
          <w:szCs w:val="21"/>
        </w:rPr>
        <w:t>甲方：  (盖章)                          乙方：  (盖章)</w:t>
      </w:r>
    </w:p>
    <w:p w14:paraId="177D08A0">
      <w:pPr>
        <w:spacing w:line="480" w:lineRule="exact"/>
        <w:ind w:firstLine="560"/>
        <w:rPr>
          <w:rFonts w:cs="宋体"/>
          <w:color w:val="auto"/>
          <w:szCs w:val="21"/>
        </w:rPr>
      </w:pPr>
    </w:p>
    <w:p w14:paraId="0641BA5E">
      <w:pPr>
        <w:spacing w:line="480" w:lineRule="exact"/>
        <w:ind w:firstLine="560"/>
        <w:rPr>
          <w:rFonts w:cs="宋体"/>
          <w:color w:val="auto"/>
          <w:szCs w:val="21"/>
        </w:rPr>
      </w:pPr>
      <w:r>
        <w:rPr>
          <w:rFonts w:hint="eastAsia" w:cs="宋体"/>
          <w:color w:val="auto"/>
          <w:szCs w:val="21"/>
        </w:rPr>
        <w:t>法定代表人：(签字或盖章)                法定代表人：(签字或盖章)</w:t>
      </w:r>
    </w:p>
    <w:p w14:paraId="0637483E">
      <w:pPr>
        <w:spacing w:line="480" w:lineRule="exact"/>
        <w:ind w:firstLine="560"/>
        <w:rPr>
          <w:rFonts w:cs="宋体"/>
          <w:color w:val="auto"/>
          <w:szCs w:val="21"/>
        </w:rPr>
      </w:pPr>
    </w:p>
    <w:p w14:paraId="4BC3AA17">
      <w:pPr>
        <w:spacing w:line="480" w:lineRule="exact"/>
        <w:ind w:firstLine="560"/>
        <w:rPr>
          <w:rFonts w:cs="宋体"/>
          <w:color w:val="auto"/>
          <w:szCs w:val="21"/>
        </w:rPr>
      </w:pPr>
      <w:r>
        <w:rPr>
          <w:rFonts w:hint="eastAsia" w:cs="宋体"/>
          <w:color w:val="auto"/>
          <w:szCs w:val="21"/>
        </w:rPr>
        <w:t>委托代理人：(签字或盖章)                委托代理人：(签字或盖章)</w:t>
      </w:r>
    </w:p>
    <w:p w14:paraId="4987A33F">
      <w:pPr>
        <w:spacing w:line="480" w:lineRule="exact"/>
        <w:ind w:firstLine="560"/>
        <w:rPr>
          <w:rFonts w:cs="宋体"/>
          <w:color w:val="auto"/>
          <w:szCs w:val="21"/>
        </w:rPr>
      </w:pPr>
    </w:p>
    <w:p w14:paraId="3884336F">
      <w:pPr>
        <w:spacing w:line="480" w:lineRule="exact"/>
        <w:ind w:firstLine="560"/>
        <w:rPr>
          <w:rFonts w:cs="宋体"/>
          <w:color w:val="auto"/>
          <w:szCs w:val="21"/>
        </w:rPr>
      </w:pPr>
      <w:r>
        <w:rPr>
          <w:rFonts w:hint="eastAsia" w:cs="宋体"/>
          <w:color w:val="auto"/>
          <w:szCs w:val="21"/>
        </w:rPr>
        <w:t>开户银行：开户银行：</w:t>
      </w:r>
    </w:p>
    <w:p w14:paraId="43136E4B">
      <w:pPr>
        <w:spacing w:line="480" w:lineRule="exact"/>
        <w:ind w:firstLine="560"/>
        <w:rPr>
          <w:rFonts w:cs="宋体"/>
          <w:color w:val="auto"/>
          <w:szCs w:val="21"/>
        </w:rPr>
      </w:pPr>
    </w:p>
    <w:p w14:paraId="120A1F2C">
      <w:pPr>
        <w:spacing w:line="480" w:lineRule="exact"/>
        <w:ind w:firstLine="560"/>
        <w:rPr>
          <w:rFonts w:cs="宋体"/>
          <w:color w:val="auto"/>
          <w:szCs w:val="21"/>
        </w:rPr>
      </w:pPr>
      <w:r>
        <w:rPr>
          <w:rFonts w:hint="eastAsia" w:cs="宋体"/>
          <w:color w:val="auto"/>
          <w:szCs w:val="21"/>
        </w:rPr>
        <w:t>账号：账号：</w:t>
      </w:r>
    </w:p>
    <w:p w14:paraId="01715332">
      <w:pPr>
        <w:spacing w:line="480" w:lineRule="exact"/>
        <w:ind w:firstLine="560"/>
        <w:rPr>
          <w:rFonts w:cs="宋体"/>
          <w:color w:val="auto"/>
          <w:szCs w:val="21"/>
        </w:rPr>
      </w:pPr>
    </w:p>
    <w:p w14:paraId="57673F91">
      <w:pPr>
        <w:spacing w:line="480" w:lineRule="exact"/>
        <w:ind w:firstLine="560"/>
        <w:rPr>
          <w:rFonts w:cs="宋体"/>
          <w:color w:val="auto"/>
          <w:szCs w:val="21"/>
        </w:rPr>
      </w:pPr>
      <w:r>
        <w:rPr>
          <w:rFonts w:hint="eastAsia" w:cs="宋体"/>
          <w:color w:val="auto"/>
          <w:szCs w:val="21"/>
        </w:rPr>
        <w:t>电话：电话：</w:t>
      </w:r>
    </w:p>
    <w:p w14:paraId="614E9A95">
      <w:pPr>
        <w:spacing w:line="480" w:lineRule="exact"/>
        <w:ind w:firstLine="560"/>
        <w:rPr>
          <w:rFonts w:cs="宋体"/>
          <w:color w:val="auto"/>
          <w:szCs w:val="21"/>
        </w:rPr>
      </w:pPr>
    </w:p>
    <w:p w14:paraId="6B034E79">
      <w:pPr>
        <w:spacing w:line="480" w:lineRule="exact"/>
        <w:ind w:firstLine="560"/>
        <w:rPr>
          <w:rFonts w:cs="宋体"/>
          <w:color w:val="auto"/>
        </w:rPr>
      </w:pPr>
      <w:r>
        <w:rPr>
          <w:rFonts w:hint="eastAsia" w:cs="宋体"/>
          <w:color w:val="auto"/>
          <w:szCs w:val="21"/>
        </w:rPr>
        <w:t>年月日年月日</w:t>
      </w:r>
    </w:p>
    <w:p w14:paraId="0354AEFF">
      <w:pPr>
        <w:spacing w:before="312" w:beforeLines="100" w:line="400" w:lineRule="exact"/>
        <w:ind w:firstLine="1040"/>
        <w:jc w:val="center"/>
        <w:rPr>
          <w:rFonts w:ascii="宋体" w:hAnsi="宋体"/>
          <w:color w:val="auto"/>
          <w:sz w:val="52"/>
          <w:szCs w:val="52"/>
        </w:rPr>
      </w:pPr>
    </w:p>
    <w:p w14:paraId="08D306E4">
      <w:pPr>
        <w:spacing w:before="312" w:beforeLines="100" w:line="400" w:lineRule="exact"/>
        <w:ind w:firstLine="1040"/>
        <w:jc w:val="center"/>
        <w:rPr>
          <w:rFonts w:ascii="宋体" w:hAnsi="宋体"/>
          <w:color w:val="auto"/>
          <w:sz w:val="52"/>
          <w:szCs w:val="52"/>
        </w:rPr>
      </w:pPr>
    </w:p>
    <w:p w14:paraId="27CECF9F">
      <w:pPr>
        <w:spacing w:before="312" w:beforeLines="100" w:line="400" w:lineRule="exact"/>
        <w:ind w:firstLine="1040"/>
        <w:jc w:val="center"/>
        <w:rPr>
          <w:rFonts w:ascii="宋体" w:hAnsi="宋体"/>
          <w:color w:val="auto"/>
          <w:sz w:val="52"/>
          <w:szCs w:val="52"/>
        </w:rPr>
      </w:pPr>
    </w:p>
    <w:p w14:paraId="161F3CC3">
      <w:pPr>
        <w:widowControl/>
        <w:spacing w:line="240" w:lineRule="auto"/>
        <w:ind w:firstLine="0" w:firstLineChars="0"/>
        <w:jc w:val="left"/>
        <w:rPr>
          <w:rFonts w:cs="宋体"/>
          <w:color w:val="auto"/>
        </w:rPr>
      </w:pPr>
      <w:r>
        <w:rPr>
          <w:rFonts w:cs="宋体"/>
          <w:color w:val="auto"/>
        </w:rPr>
        <w:br w:type="page"/>
      </w:r>
    </w:p>
    <w:p w14:paraId="781EE6F0">
      <w:pPr>
        <w:spacing w:before="312" w:beforeLines="100" w:line="400" w:lineRule="exact"/>
        <w:ind w:firstLine="560"/>
        <w:jc w:val="center"/>
        <w:rPr>
          <w:rFonts w:cs="宋体"/>
          <w:color w:val="auto"/>
        </w:rPr>
      </w:pPr>
      <w:r>
        <w:rPr>
          <w:rFonts w:hint="eastAsia" w:cs="宋体"/>
          <w:color w:val="auto"/>
        </w:rPr>
        <w:t>第一节通用合同条款</w:t>
      </w:r>
    </w:p>
    <w:p w14:paraId="4F89C3EF">
      <w:pPr>
        <w:pStyle w:val="180"/>
        <w:spacing w:before="100" w:after="100" w:line="400" w:lineRule="exact"/>
        <w:ind w:firstLine="643"/>
        <w:jc w:val="both"/>
        <w:rPr>
          <w:rFonts w:hAnsi="宋体" w:cs="宋体"/>
          <w:b/>
          <w:color w:val="auto"/>
          <w:sz w:val="32"/>
          <w:szCs w:val="32"/>
        </w:rPr>
      </w:pPr>
      <w:bookmarkStart w:id="6" w:name="_Toc187845993"/>
      <w:bookmarkStart w:id="7" w:name="_Toc510197603"/>
      <w:bookmarkStart w:id="8" w:name="_Toc340222896"/>
      <w:bookmarkStart w:id="9" w:name="_Toc450123359"/>
      <w:bookmarkStart w:id="10" w:name="_Toc260649021"/>
      <w:bookmarkStart w:id="11" w:name="_Toc3863"/>
      <w:bookmarkStart w:id="12" w:name="_Toc255470258"/>
      <w:bookmarkStart w:id="13" w:name="_Toc274500889"/>
      <w:bookmarkStart w:id="14" w:name="_Toc215561201"/>
      <w:bookmarkStart w:id="15" w:name="_Toc209862323"/>
      <w:bookmarkStart w:id="16" w:name="_Toc306293157"/>
      <w:bookmarkStart w:id="17" w:name="_Toc257202826"/>
      <w:bookmarkStart w:id="18" w:name="_Toc436309586"/>
      <w:bookmarkStart w:id="19" w:name="_Toc270517135"/>
      <w:bookmarkStart w:id="20" w:name="_Toc249848943"/>
      <w:bookmarkStart w:id="21" w:name="_Toc340436786"/>
      <w:bookmarkStart w:id="22" w:name="_Toc476231292"/>
      <w:bookmarkStart w:id="23" w:name="_Toc389226388"/>
      <w:bookmarkStart w:id="24" w:name="_Toc477164653"/>
      <w:bookmarkStart w:id="25" w:name="_Toc436998779"/>
      <w:bookmarkStart w:id="26" w:name="_Toc208734401"/>
      <w:bookmarkStart w:id="27" w:name="_Toc206830014"/>
      <w:bookmarkStart w:id="28" w:name="_Toc445105528"/>
      <w:bookmarkStart w:id="29" w:name="_Toc305763047"/>
      <w:bookmarkStart w:id="30" w:name="_Toc460581171"/>
      <w:bookmarkStart w:id="31" w:name="_Toc504565680"/>
      <w:bookmarkStart w:id="32" w:name="_Toc222804517"/>
      <w:bookmarkStart w:id="33" w:name="_Toc219172330"/>
      <w:bookmarkStart w:id="34" w:name="_Toc504565793"/>
      <w:bookmarkStart w:id="35" w:name="_Toc452986493"/>
      <w:bookmarkStart w:id="36" w:name="_Toc510197465"/>
      <w:bookmarkStart w:id="37" w:name="_Toc436309938"/>
      <w:bookmarkStart w:id="38" w:name="_Toc215805044"/>
      <w:bookmarkStart w:id="39" w:name="_Toc260229966"/>
      <w:bookmarkStart w:id="40" w:name="_Toc351898538"/>
      <w:bookmarkStart w:id="41" w:name="_Toc342046307"/>
      <w:bookmarkStart w:id="42" w:name="_Toc248294414"/>
      <w:bookmarkStart w:id="43" w:name="_Toc6916"/>
      <w:bookmarkStart w:id="44" w:name="_Toc187475833"/>
      <w:bookmarkStart w:id="45" w:name="_Toc338778033"/>
      <w:bookmarkStart w:id="46" w:name="_Toc245110731"/>
      <w:bookmarkStart w:id="47" w:name="_Toc450123125"/>
      <w:bookmarkStart w:id="48" w:name="_Toc215556183"/>
      <w:bookmarkStart w:id="49" w:name="_Toc254774402"/>
      <w:bookmarkStart w:id="50" w:name="_Toc255741922"/>
      <w:bookmarkStart w:id="51" w:name="_Toc436133229"/>
      <w:bookmarkStart w:id="52" w:name="_Toc453768091"/>
      <w:bookmarkStart w:id="53" w:name="_Toc214355664"/>
      <w:bookmarkStart w:id="54" w:name="_Toc260230293"/>
      <w:bookmarkStart w:id="55" w:name="_Toc371937185"/>
      <w:bookmarkStart w:id="56" w:name="_Toc255470035"/>
      <w:bookmarkStart w:id="57" w:name="_Toc449111919"/>
      <w:bookmarkStart w:id="58" w:name="_Toc439772692"/>
      <w:bookmarkStart w:id="59" w:name="_Toc458599269"/>
      <w:bookmarkStart w:id="60" w:name="_Toc195864488"/>
      <w:bookmarkStart w:id="61" w:name="_Toc350857420"/>
      <w:bookmarkStart w:id="62" w:name="_Toc388633668"/>
      <w:bookmarkStart w:id="63" w:name="_Toc368145477"/>
      <w:bookmarkStart w:id="64" w:name="_Toc227658491"/>
      <w:bookmarkStart w:id="65" w:name="_Toc211175325"/>
      <w:r>
        <w:rPr>
          <w:rFonts w:hint="eastAsia" w:hAnsi="宋体" w:cs="宋体"/>
          <w:b/>
          <w:color w:val="auto"/>
          <w:sz w:val="32"/>
          <w:szCs w:val="32"/>
        </w:rPr>
        <w:t>1. 一般约定</w:t>
      </w:r>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14:paraId="76C35D30">
      <w:pPr>
        <w:pStyle w:val="180"/>
        <w:spacing w:after="0" w:line="400" w:lineRule="exact"/>
        <w:ind w:firstLine="562"/>
        <w:jc w:val="both"/>
        <w:rPr>
          <w:rFonts w:hAnsi="宋体" w:cs="宋体"/>
          <w:b/>
          <w:color w:val="auto"/>
        </w:rPr>
      </w:pPr>
      <w:r>
        <w:rPr>
          <w:rFonts w:hint="eastAsia" w:hAnsi="宋体" w:cs="宋体"/>
          <w:b/>
          <w:color w:val="auto"/>
        </w:rPr>
        <w:t>1.1 词语定义</w:t>
      </w:r>
    </w:p>
    <w:p w14:paraId="7F98FE60">
      <w:pPr>
        <w:pStyle w:val="180"/>
        <w:spacing w:after="0" w:line="400" w:lineRule="exact"/>
        <w:ind w:firstLine="540" w:firstLineChars="225"/>
        <w:jc w:val="both"/>
        <w:rPr>
          <w:rFonts w:hAnsi="宋体" w:cs="宋体"/>
          <w:color w:val="auto"/>
        </w:rPr>
      </w:pPr>
      <w:r>
        <w:rPr>
          <w:rFonts w:hint="eastAsia" w:hAnsi="宋体" w:cs="宋体"/>
          <w:color w:val="auto"/>
        </w:rPr>
        <w:t>通用合同条款、专用合同条款中的下列词语应具有本款所赋予的含义。</w:t>
      </w:r>
    </w:p>
    <w:p w14:paraId="4ACFD37F">
      <w:pPr>
        <w:pStyle w:val="199"/>
        <w:spacing w:line="400" w:lineRule="exact"/>
        <w:ind w:firstLine="542" w:firstLineChars="225"/>
        <w:jc w:val="both"/>
        <w:rPr>
          <w:rFonts w:hAnsi="宋体" w:cs="宋体"/>
          <w:b/>
          <w:color w:val="auto"/>
        </w:rPr>
      </w:pPr>
      <w:r>
        <w:rPr>
          <w:rFonts w:hint="eastAsia" w:hAnsi="宋体" w:cs="宋体"/>
          <w:b/>
          <w:color w:val="auto"/>
        </w:rPr>
        <w:t>1.1.1 合同</w:t>
      </w:r>
    </w:p>
    <w:p w14:paraId="3B22B09D">
      <w:pPr>
        <w:pStyle w:val="87"/>
        <w:spacing w:line="400" w:lineRule="exact"/>
        <w:ind w:firstLine="720" w:firstLineChars="300"/>
        <w:jc w:val="both"/>
        <w:rPr>
          <w:rFonts w:hAnsi="宋体"/>
          <w:color w:val="auto"/>
        </w:rPr>
      </w:pPr>
      <w:r>
        <w:rPr>
          <w:rFonts w:hint="eastAsia" w:hAnsi="宋体"/>
          <w:color w:val="auto"/>
        </w:rPr>
        <w:t>1.1.1.1 合同文件（或称合同）：指合同协议书、中标通知书、投标函及投标函附录、专用合同条款、通用合同条款、技术标准和要求、图纸、工程量清单，以及其他合同文件。</w:t>
      </w:r>
    </w:p>
    <w:p w14:paraId="1A0B6BCA">
      <w:pPr>
        <w:pStyle w:val="87"/>
        <w:spacing w:line="400" w:lineRule="exact"/>
        <w:ind w:firstLine="720" w:firstLineChars="300"/>
        <w:jc w:val="both"/>
        <w:rPr>
          <w:rFonts w:hAnsi="宋体"/>
          <w:color w:val="auto"/>
        </w:rPr>
      </w:pPr>
      <w:r>
        <w:rPr>
          <w:rFonts w:hint="eastAsia" w:hAnsi="宋体"/>
          <w:color w:val="auto"/>
        </w:rPr>
        <w:t>1.1.1.2 合同协议书：指第1.5 款所指的合同协议书。</w:t>
      </w:r>
    </w:p>
    <w:p w14:paraId="079B9965">
      <w:pPr>
        <w:pStyle w:val="87"/>
        <w:spacing w:line="400" w:lineRule="exact"/>
        <w:ind w:firstLine="720" w:firstLineChars="300"/>
        <w:jc w:val="both"/>
        <w:rPr>
          <w:rFonts w:hAnsi="宋体"/>
          <w:color w:val="auto"/>
        </w:rPr>
      </w:pPr>
      <w:r>
        <w:rPr>
          <w:rFonts w:hint="eastAsia" w:hAnsi="宋体"/>
          <w:color w:val="auto"/>
        </w:rPr>
        <w:t>1.1.1.3 中标通知书：指发包人通知承包人中标的函件。</w:t>
      </w:r>
    </w:p>
    <w:p w14:paraId="53012810">
      <w:pPr>
        <w:pStyle w:val="87"/>
        <w:spacing w:line="400" w:lineRule="exact"/>
        <w:ind w:firstLine="720" w:firstLineChars="300"/>
        <w:jc w:val="both"/>
        <w:rPr>
          <w:rFonts w:hAnsi="宋体"/>
          <w:color w:val="auto"/>
        </w:rPr>
      </w:pPr>
      <w:r>
        <w:rPr>
          <w:rFonts w:hint="eastAsia" w:hAnsi="宋体"/>
          <w:color w:val="auto"/>
        </w:rPr>
        <w:t>1.1.1.4 投标函：指构成合同文件组成部分的由承包人填写并签署的投标函。</w:t>
      </w:r>
    </w:p>
    <w:p w14:paraId="18676905">
      <w:pPr>
        <w:pStyle w:val="87"/>
        <w:spacing w:line="400" w:lineRule="exact"/>
        <w:ind w:firstLine="720" w:firstLineChars="300"/>
        <w:jc w:val="both"/>
        <w:rPr>
          <w:rFonts w:hAnsi="宋体"/>
          <w:color w:val="auto"/>
        </w:rPr>
      </w:pPr>
      <w:r>
        <w:rPr>
          <w:rFonts w:hint="eastAsia" w:hAnsi="宋体"/>
          <w:color w:val="auto"/>
        </w:rPr>
        <w:t>1.1.1.5 投标函附录：指附在投标函后构成合同文件的投标函附录。</w:t>
      </w:r>
    </w:p>
    <w:p w14:paraId="20FACDE0">
      <w:pPr>
        <w:pStyle w:val="87"/>
        <w:spacing w:line="400" w:lineRule="exact"/>
        <w:ind w:firstLine="720" w:firstLineChars="300"/>
        <w:jc w:val="both"/>
        <w:rPr>
          <w:rFonts w:hAnsi="宋体"/>
          <w:color w:val="auto"/>
        </w:rPr>
      </w:pPr>
      <w:r>
        <w:rPr>
          <w:rFonts w:hint="eastAsia" w:hAnsi="宋体"/>
          <w:color w:val="auto"/>
        </w:rPr>
        <w:t>1.1.1.6 技术标准和要求：指构成合同文件组成部分的名为技术标准和要求（合同技术条款）的文件，包括合同双方当事人约定对其所作的修改或补充。</w:t>
      </w:r>
    </w:p>
    <w:p w14:paraId="46C1009D">
      <w:pPr>
        <w:pStyle w:val="87"/>
        <w:spacing w:line="400" w:lineRule="exact"/>
        <w:ind w:firstLine="720" w:firstLineChars="300"/>
        <w:jc w:val="both"/>
        <w:rPr>
          <w:rFonts w:hAnsi="宋体"/>
          <w:color w:val="auto"/>
        </w:rPr>
      </w:pPr>
      <w:r>
        <w:rPr>
          <w:rFonts w:hint="eastAsia" w:hAnsi="宋体"/>
          <w:color w:val="auto"/>
        </w:rPr>
        <w:t>1.1.1.7 图纸：指列入合同的招标图纸、投标图纸和发包人按合同约定向承包人提供的施工图纸和其它图纸（包括配套说明和有关资料）。列入合同的招标图纸已成为合同文件的一部分，具有合同效力，主要用于在履行合同中作为衡量变更的依据，但不能直接用于施工。经发包人确认进入合同的投标图纸亦成为合同文件的一部分，用于在履行合同中检验承包人是否按其投标时承诺的条件进行施工的依据，亦不能直接用于施工。</w:t>
      </w:r>
    </w:p>
    <w:p w14:paraId="7A64AAB0">
      <w:pPr>
        <w:pStyle w:val="87"/>
        <w:spacing w:line="400" w:lineRule="exact"/>
        <w:ind w:firstLine="720" w:firstLineChars="300"/>
        <w:jc w:val="both"/>
        <w:rPr>
          <w:rFonts w:hAnsi="宋体"/>
          <w:color w:val="auto"/>
        </w:rPr>
      </w:pPr>
      <w:r>
        <w:rPr>
          <w:rFonts w:hint="eastAsia" w:hAnsi="宋体"/>
          <w:color w:val="auto"/>
        </w:rPr>
        <w:t>1.1.1.8工程量清单：指构成合同文件组成部分的由承包人按照规定的格式和要求填写并标明价格的工程量清单。</w:t>
      </w:r>
    </w:p>
    <w:p w14:paraId="4574E4B9">
      <w:pPr>
        <w:pStyle w:val="87"/>
        <w:spacing w:line="400" w:lineRule="exact"/>
        <w:ind w:firstLine="720" w:firstLineChars="300"/>
        <w:jc w:val="both"/>
        <w:rPr>
          <w:rFonts w:hAnsi="宋体"/>
          <w:color w:val="auto"/>
        </w:rPr>
      </w:pPr>
      <w:r>
        <w:rPr>
          <w:rFonts w:hint="eastAsia" w:hAnsi="宋体"/>
          <w:color w:val="auto"/>
        </w:rPr>
        <w:t>1.1.1.9 其他合同文件：指经合同双方当事人确认构成合同文件的其他文件。</w:t>
      </w:r>
    </w:p>
    <w:p w14:paraId="67C2B841">
      <w:pPr>
        <w:pStyle w:val="199"/>
        <w:spacing w:line="400" w:lineRule="exact"/>
        <w:ind w:firstLine="542" w:firstLineChars="225"/>
        <w:jc w:val="both"/>
        <w:rPr>
          <w:rFonts w:hAnsi="宋体" w:cs="宋体"/>
          <w:b/>
          <w:color w:val="auto"/>
        </w:rPr>
      </w:pPr>
      <w:r>
        <w:rPr>
          <w:rFonts w:hint="eastAsia" w:hAnsi="宋体" w:cs="宋体"/>
          <w:b/>
          <w:color w:val="auto"/>
        </w:rPr>
        <w:t>1.1.2 合同当事人和人员</w:t>
      </w:r>
    </w:p>
    <w:p w14:paraId="2A33E8FE">
      <w:pPr>
        <w:pStyle w:val="87"/>
        <w:spacing w:line="400" w:lineRule="exact"/>
        <w:ind w:firstLine="720" w:firstLineChars="300"/>
        <w:jc w:val="both"/>
        <w:rPr>
          <w:rFonts w:hAnsi="宋体"/>
          <w:color w:val="auto"/>
        </w:rPr>
      </w:pPr>
      <w:r>
        <w:rPr>
          <w:rFonts w:hint="eastAsia" w:hAnsi="宋体"/>
          <w:color w:val="auto"/>
        </w:rPr>
        <w:t>1.1.2.1 合同当事人:指发包人和（或）承包人。</w:t>
      </w:r>
    </w:p>
    <w:p w14:paraId="1D9D0503">
      <w:pPr>
        <w:pStyle w:val="87"/>
        <w:spacing w:line="400" w:lineRule="exact"/>
        <w:ind w:firstLine="720" w:firstLineChars="300"/>
        <w:jc w:val="both"/>
        <w:rPr>
          <w:rFonts w:hAnsi="宋体"/>
          <w:color w:val="auto"/>
        </w:rPr>
      </w:pPr>
      <w:r>
        <w:rPr>
          <w:rFonts w:hint="eastAsia" w:hAnsi="宋体"/>
          <w:color w:val="auto"/>
        </w:rPr>
        <w:t>1.1.2.2 发包人：指专用合同条款中指明并与承包人在合同协议书中签字的当事人。</w:t>
      </w:r>
    </w:p>
    <w:p w14:paraId="1EB1FD22">
      <w:pPr>
        <w:pStyle w:val="87"/>
        <w:spacing w:line="400" w:lineRule="exact"/>
        <w:ind w:firstLine="720" w:firstLineChars="300"/>
        <w:jc w:val="both"/>
        <w:rPr>
          <w:rFonts w:hAnsi="宋体"/>
          <w:color w:val="auto"/>
        </w:rPr>
      </w:pPr>
      <w:r>
        <w:rPr>
          <w:rFonts w:hint="eastAsia" w:hAnsi="宋体"/>
          <w:color w:val="auto"/>
        </w:rPr>
        <w:t>1.1.2.3 承包人：指专用合同条款中指明并与发包人在合同协议书中签字的当事人。</w:t>
      </w:r>
    </w:p>
    <w:p w14:paraId="74251105">
      <w:pPr>
        <w:pStyle w:val="87"/>
        <w:spacing w:line="400" w:lineRule="exact"/>
        <w:ind w:firstLine="720" w:firstLineChars="300"/>
        <w:jc w:val="both"/>
        <w:rPr>
          <w:rFonts w:hAnsi="宋体"/>
          <w:color w:val="auto"/>
        </w:rPr>
      </w:pPr>
      <w:r>
        <w:rPr>
          <w:rFonts w:hint="eastAsia" w:hAnsi="宋体"/>
          <w:color w:val="auto"/>
        </w:rPr>
        <w:t>1.1.2.4 承包人项目经理：指承包人派驻施工场地的全权负责人。</w:t>
      </w:r>
    </w:p>
    <w:p w14:paraId="75E04B73">
      <w:pPr>
        <w:pStyle w:val="87"/>
        <w:spacing w:line="400" w:lineRule="exact"/>
        <w:ind w:firstLine="720" w:firstLineChars="300"/>
        <w:jc w:val="both"/>
        <w:rPr>
          <w:rFonts w:hAnsi="宋体"/>
          <w:color w:val="auto"/>
        </w:rPr>
      </w:pPr>
      <w:r>
        <w:rPr>
          <w:rFonts w:hint="eastAsia" w:hAnsi="宋体"/>
          <w:color w:val="auto"/>
        </w:rPr>
        <w:t>1.1.2.5 分包人：指专用合同条款中指明的，从承包人处分包合同中某一部分工程，并与其签订分包合同的分包人。</w:t>
      </w:r>
    </w:p>
    <w:p w14:paraId="146A7DED">
      <w:pPr>
        <w:pStyle w:val="87"/>
        <w:spacing w:line="400" w:lineRule="exact"/>
        <w:ind w:firstLine="720" w:firstLineChars="300"/>
        <w:jc w:val="both"/>
        <w:rPr>
          <w:rFonts w:hAnsi="宋体"/>
          <w:color w:val="auto"/>
        </w:rPr>
      </w:pPr>
      <w:r>
        <w:rPr>
          <w:rFonts w:hint="eastAsia" w:hAnsi="宋体"/>
          <w:color w:val="auto"/>
        </w:rPr>
        <w:t>1.1.2.6 监理人：指在专用合同条款中指明的，受发包人委托对合同履行实施管理的法人或其他组织。</w:t>
      </w:r>
    </w:p>
    <w:p w14:paraId="518B2801">
      <w:pPr>
        <w:pStyle w:val="87"/>
        <w:spacing w:line="400" w:lineRule="exact"/>
        <w:ind w:firstLine="720" w:firstLineChars="300"/>
        <w:jc w:val="both"/>
        <w:rPr>
          <w:rFonts w:hAnsi="宋体"/>
          <w:color w:val="auto"/>
        </w:rPr>
      </w:pPr>
      <w:r>
        <w:rPr>
          <w:rFonts w:hint="eastAsia" w:hAnsi="宋体"/>
          <w:color w:val="auto"/>
        </w:rPr>
        <w:t>1.1.2.7 总监理工程师（总监）：指由监理人委派常驻施工场地对合同履行实施管理的全权负责人。</w:t>
      </w:r>
    </w:p>
    <w:p w14:paraId="42CA264C">
      <w:pPr>
        <w:pStyle w:val="199"/>
        <w:spacing w:line="400" w:lineRule="exact"/>
        <w:ind w:firstLine="542" w:firstLineChars="225"/>
        <w:jc w:val="both"/>
        <w:rPr>
          <w:rFonts w:hAnsi="宋体" w:cs="宋体"/>
          <w:b/>
          <w:color w:val="auto"/>
        </w:rPr>
      </w:pPr>
      <w:r>
        <w:rPr>
          <w:rFonts w:hint="eastAsia" w:hAnsi="宋体" w:cs="宋体"/>
          <w:b/>
          <w:color w:val="auto"/>
        </w:rPr>
        <w:t>1.1.3 工程和设备</w:t>
      </w:r>
    </w:p>
    <w:p w14:paraId="481DFFE9">
      <w:pPr>
        <w:pStyle w:val="87"/>
        <w:spacing w:line="400" w:lineRule="exact"/>
        <w:ind w:firstLine="720" w:firstLineChars="300"/>
        <w:jc w:val="both"/>
        <w:rPr>
          <w:rFonts w:hAnsi="宋体"/>
          <w:color w:val="auto"/>
        </w:rPr>
      </w:pPr>
      <w:r>
        <w:rPr>
          <w:rFonts w:hint="eastAsia" w:hAnsi="宋体"/>
          <w:color w:val="auto"/>
        </w:rPr>
        <w:t>1.1.3.1 工程：指永久工程和（或）临时工程。</w:t>
      </w:r>
    </w:p>
    <w:p w14:paraId="4D31D2BB">
      <w:pPr>
        <w:pStyle w:val="87"/>
        <w:spacing w:line="400" w:lineRule="exact"/>
        <w:ind w:firstLine="720" w:firstLineChars="300"/>
        <w:jc w:val="both"/>
        <w:rPr>
          <w:rFonts w:hAnsi="宋体"/>
          <w:color w:val="auto"/>
        </w:rPr>
      </w:pPr>
      <w:r>
        <w:rPr>
          <w:rFonts w:hint="eastAsia" w:hAnsi="宋体"/>
          <w:color w:val="auto"/>
        </w:rPr>
        <w:t>1.1.3.2 永久工程：指按合同约定建造并移交给发包人的工程，包括工程设备。</w:t>
      </w:r>
    </w:p>
    <w:p w14:paraId="62060264">
      <w:pPr>
        <w:pStyle w:val="87"/>
        <w:spacing w:line="400" w:lineRule="exact"/>
        <w:ind w:firstLine="720" w:firstLineChars="300"/>
        <w:jc w:val="both"/>
        <w:rPr>
          <w:rFonts w:hAnsi="宋体"/>
          <w:color w:val="auto"/>
        </w:rPr>
      </w:pPr>
      <w:r>
        <w:rPr>
          <w:rFonts w:hint="eastAsia" w:hAnsi="宋体"/>
          <w:color w:val="auto"/>
        </w:rPr>
        <w:t>1.1.3.3 临时工程：指为完成合同约定的永久工程所修建的各类临时性工程，不包括施工设备。</w:t>
      </w:r>
    </w:p>
    <w:p w14:paraId="668829A7">
      <w:pPr>
        <w:pStyle w:val="87"/>
        <w:spacing w:line="400" w:lineRule="exact"/>
        <w:ind w:firstLine="720" w:firstLineChars="300"/>
        <w:jc w:val="both"/>
        <w:rPr>
          <w:rFonts w:hAnsi="宋体"/>
          <w:color w:val="auto"/>
        </w:rPr>
      </w:pPr>
      <w:r>
        <w:rPr>
          <w:rFonts w:hint="eastAsia" w:hAnsi="宋体"/>
          <w:color w:val="auto"/>
        </w:rPr>
        <w:t>1.1.3.4 单位工程：指专用合同条款中指明特定范围的永久工程。</w:t>
      </w:r>
    </w:p>
    <w:p w14:paraId="5AE52D37">
      <w:pPr>
        <w:pStyle w:val="87"/>
        <w:spacing w:line="400" w:lineRule="exact"/>
        <w:ind w:firstLine="720" w:firstLineChars="300"/>
        <w:jc w:val="both"/>
        <w:rPr>
          <w:rFonts w:hAnsi="宋体"/>
          <w:color w:val="auto"/>
        </w:rPr>
      </w:pPr>
      <w:r>
        <w:rPr>
          <w:rFonts w:hint="eastAsia" w:hAnsi="宋体"/>
          <w:color w:val="auto"/>
        </w:rPr>
        <w:t>1.1.3.5 工程设备：指构成或计划构成永久工程一部分的机电设备、金属结构设备、仪器装置及其他类似的设备和装置。</w:t>
      </w:r>
    </w:p>
    <w:p w14:paraId="5C923D29">
      <w:pPr>
        <w:pStyle w:val="87"/>
        <w:spacing w:line="400" w:lineRule="exact"/>
        <w:ind w:firstLine="720" w:firstLineChars="300"/>
        <w:jc w:val="both"/>
        <w:rPr>
          <w:rFonts w:hAnsi="宋体"/>
          <w:color w:val="auto"/>
        </w:rPr>
      </w:pPr>
      <w:r>
        <w:rPr>
          <w:rFonts w:hint="eastAsia" w:hAnsi="宋体"/>
          <w:color w:val="auto"/>
        </w:rPr>
        <w:t>1.1.3.6 施工设备：指为完成合同约定的各项工作所需的设备、器具和其他物品，不包括临时工程和材料。</w:t>
      </w:r>
    </w:p>
    <w:p w14:paraId="6AB74450">
      <w:pPr>
        <w:pStyle w:val="87"/>
        <w:spacing w:line="400" w:lineRule="exact"/>
        <w:ind w:firstLine="720" w:firstLineChars="300"/>
        <w:jc w:val="both"/>
        <w:rPr>
          <w:rFonts w:hAnsi="宋体"/>
          <w:color w:val="auto"/>
        </w:rPr>
      </w:pPr>
      <w:r>
        <w:rPr>
          <w:rFonts w:hint="eastAsia" w:hAnsi="宋体"/>
          <w:color w:val="auto"/>
        </w:rPr>
        <w:t>1.1.3.7 临时设施：指为完成合同约定的各项工作所服务的临时性生产和生活设施。</w:t>
      </w:r>
    </w:p>
    <w:p w14:paraId="69D04D49">
      <w:pPr>
        <w:pStyle w:val="87"/>
        <w:spacing w:line="400" w:lineRule="exact"/>
        <w:ind w:firstLine="720" w:firstLineChars="300"/>
        <w:jc w:val="both"/>
        <w:rPr>
          <w:rFonts w:hAnsi="宋体"/>
          <w:color w:val="auto"/>
        </w:rPr>
      </w:pPr>
      <w:r>
        <w:rPr>
          <w:rFonts w:hint="eastAsia" w:hAnsi="宋体"/>
          <w:color w:val="auto"/>
        </w:rPr>
        <w:t>1.1.3.8 承包人设备：指承包人自带的施工设备。</w:t>
      </w:r>
    </w:p>
    <w:p w14:paraId="334AC4ED">
      <w:pPr>
        <w:pStyle w:val="87"/>
        <w:spacing w:line="400" w:lineRule="exact"/>
        <w:ind w:firstLine="720" w:firstLineChars="300"/>
        <w:jc w:val="both"/>
        <w:rPr>
          <w:rFonts w:hAnsi="宋体"/>
          <w:color w:val="auto"/>
        </w:rPr>
      </w:pPr>
      <w:r>
        <w:rPr>
          <w:rFonts w:hint="eastAsia" w:hAnsi="宋体"/>
          <w:color w:val="auto"/>
        </w:rPr>
        <w:t>1.1.3.9 施工场地（或称工地、现场）：指用于合同工程施工的场所，以及在合同中指定作为施工场地组成部分的其他场所，包括永久占地和临时占地。</w:t>
      </w:r>
    </w:p>
    <w:p w14:paraId="2F23CE68">
      <w:pPr>
        <w:pStyle w:val="87"/>
        <w:spacing w:line="400" w:lineRule="exact"/>
        <w:ind w:firstLine="720" w:firstLineChars="300"/>
        <w:jc w:val="both"/>
        <w:rPr>
          <w:rFonts w:hAnsi="宋体"/>
          <w:color w:val="auto"/>
        </w:rPr>
      </w:pPr>
      <w:r>
        <w:rPr>
          <w:rFonts w:hint="eastAsia" w:hAnsi="宋体"/>
          <w:color w:val="auto"/>
        </w:rPr>
        <w:t>1.1.3.10 永久占地：指发包人为建设合同工程需永久征用的场地。</w:t>
      </w:r>
    </w:p>
    <w:p w14:paraId="19A27FCD">
      <w:pPr>
        <w:pStyle w:val="87"/>
        <w:spacing w:line="400" w:lineRule="exact"/>
        <w:ind w:firstLine="720" w:firstLineChars="300"/>
        <w:jc w:val="both"/>
        <w:rPr>
          <w:rFonts w:hAnsi="宋体"/>
          <w:color w:val="auto"/>
        </w:rPr>
      </w:pPr>
      <w:r>
        <w:rPr>
          <w:rFonts w:hint="eastAsia" w:hAnsi="宋体"/>
          <w:color w:val="auto"/>
        </w:rPr>
        <w:t>1.1.3.11 临时占地：指发包人为建设合同工程临时征用，承包人在完工后须按本合同要求退还的场地。</w:t>
      </w:r>
    </w:p>
    <w:p w14:paraId="1A011BAB">
      <w:pPr>
        <w:pStyle w:val="199"/>
        <w:spacing w:line="400" w:lineRule="exact"/>
        <w:ind w:firstLine="542" w:firstLineChars="225"/>
        <w:jc w:val="both"/>
        <w:rPr>
          <w:rFonts w:hAnsi="宋体" w:cs="宋体"/>
          <w:b/>
          <w:color w:val="auto"/>
        </w:rPr>
      </w:pPr>
      <w:r>
        <w:rPr>
          <w:rFonts w:hint="eastAsia" w:hAnsi="宋体" w:cs="宋体"/>
          <w:b/>
          <w:color w:val="auto"/>
        </w:rPr>
        <w:t>1.1.4 日期</w:t>
      </w:r>
    </w:p>
    <w:p w14:paraId="10A7842D">
      <w:pPr>
        <w:pStyle w:val="87"/>
        <w:spacing w:line="400" w:lineRule="exact"/>
        <w:ind w:firstLine="720" w:firstLineChars="300"/>
        <w:jc w:val="both"/>
        <w:rPr>
          <w:rFonts w:hAnsi="宋体"/>
          <w:color w:val="auto"/>
        </w:rPr>
      </w:pPr>
      <w:r>
        <w:rPr>
          <w:rFonts w:hint="eastAsia" w:hAnsi="宋体"/>
          <w:color w:val="auto"/>
        </w:rPr>
        <w:t>1.1.4.1 开工通知：指监理人按第11.1款通知承包人开工的函件。</w:t>
      </w:r>
    </w:p>
    <w:p w14:paraId="63C96E09">
      <w:pPr>
        <w:pStyle w:val="87"/>
        <w:spacing w:line="400" w:lineRule="exact"/>
        <w:ind w:firstLine="720" w:firstLineChars="300"/>
        <w:jc w:val="both"/>
        <w:rPr>
          <w:rFonts w:hAnsi="宋体"/>
          <w:color w:val="auto"/>
        </w:rPr>
      </w:pPr>
      <w:r>
        <w:rPr>
          <w:rFonts w:hint="eastAsia" w:hAnsi="宋体"/>
          <w:color w:val="auto"/>
        </w:rPr>
        <w:t>1.1.4.2 开工日期：指监理人按第11.1款发出的开工通知中写明的开工日期。</w:t>
      </w:r>
    </w:p>
    <w:p w14:paraId="63C7A897">
      <w:pPr>
        <w:pStyle w:val="87"/>
        <w:spacing w:line="400" w:lineRule="exact"/>
        <w:ind w:firstLine="720" w:firstLineChars="300"/>
        <w:jc w:val="both"/>
        <w:rPr>
          <w:rFonts w:hAnsi="宋体"/>
          <w:color w:val="auto"/>
        </w:rPr>
      </w:pPr>
      <w:r>
        <w:rPr>
          <w:rFonts w:hint="eastAsia" w:hAnsi="宋体"/>
          <w:color w:val="auto"/>
        </w:rPr>
        <w:t>1.1.4.3 工期：指承包人在投标函中承诺的完成合同工程所需的期限，包括按第11.3款、第11.4款和第11.6款约定所作的变更。</w:t>
      </w:r>
    </w:p>
    <w:p w14:paraId="18FD22F3">
      <w:pPr>
        <w:pStyle w:val="87"/>
        <w:spacing w:line="400" w:lineRule="exact"/>
        <w:ind w:firstLine="720" w:firstLineChars="300"/>
        <w:jc w:val="both"/>
        <w:rPr>
          <w:rFonts w:hAnsi="宋体"/>
          <w:color w:val="auto"/>
        </w:rPr>
      </w:pPr>
      <w:r>
        <w:rPr>
          <w:rFonts w:hint="eastAsia" w:hAnsi="宋体"/>
          <w:color w:val="auto"/>
        </w:rPr>
        <w:t>1.1.4.4 竣工日期：即合同工程完工日期，指第1.1.4.3目约定工期届满时的日期。实际竣工日期以合同工程完工证书中写明的日期为准。</w:t>
      </w:r>
    </w:p>
    <w:p w14:paraId="51E76A83">
      <w:pPr>
        <w:pStyle w:val="87"/>
        <w:spacing w:line="400" w:lineRule="exact"/>
        <w:ind w:firstLine="720" w:firstLineChars="300"/>
        <w:jc w:val="both"/>
        <w:rPr>
          <w:rFonts w:hAnsi="宋体"/>
          <w:color w:val="auto"/>
        </w:rPr>
      </w:pPr>
      <w:r>
        <w:rPr>
          <w:rFonts w:hint="eastAsia" w:hAnsi="宋体"/>
          <w:color w:val="auto"/>
        </w:rPr>
        <w:t>1.1.4.5 缺陷责任期：即工程质量保修期，指履行第19.2款约定的缺陷责任的期限，包括根据第19.3款约定所作的延长，具体期限由专用合同条款约定。</w:t>
      </w:r>
    </w:p>
    <w:p w14:paraId="6762FF1F">
      <w:pPr>
        <w:pStyle w:val="87"/>
        <w:spacing w:line="400" w:lineRule="exact"/>
        <w:ind w:firstLine="720" w:firstLineChars="300"/>
        <w:jc w:val="both"/>
        <w:rPr>
          <w:rFonts w:hAnsi="宋体"/>
          <w:color w:val="auto"/>
        </w:rPr>
      </w:pPr>
      <w:r>
        <w:rPr>
          <w:rFonts w:hint="eastAsia" w:hAnsi="宋体"/>
          <w:color w:val="auto"/>
        </w:rPr>
        <w:t>1.1.4.6 基准日期：指投标截止时间前28天的日期。</w:t>
      </w:r>
    </w:p>
    <w:p w14:paraId="35F0E46A">
      <w:pPr>
        <w:pStyle w:val="87"/>
        <w:spacing w:line="400" w:lineRule="exact"/>
        <w:ind w:firstLine="720" w:firstLineChars="300"/>
        <w:jc w:val="both"/>
        <w:rPr>
          <w:rFonts w:hAnsi="宋体"/>
          <w:color w:val="auto"/>
        </w:rPr>
      </w:pPr>
      <w:r>
        <w:rPr>
          <w:rFonts w:hint="eastAsia" w:hAnsi="宋体"/>
          <w:color w:val="auto"/>
        </w:rPr>
        <w:t>1.1.4.7 天：除特别指明外，指日历天。合同中按天计算时间的，开始当天不计入，从次日开始计算。期限最后一天的截止时间为当天24:00。</w:t>
      </w:r>
    </w:p>
    <w:p w14:paraId="1A161D29">
      <w:pPr>
        <w:pStyle w:val="199"/>
        <w:spacing w:line="400" w:lineRule="exact"/>
        <w:ind w:firstLine="542" w:firstLineChars="225"/>
        <w:jc w:val="both"/>
        <w:rPr>
          <w:rFonts w:hAnsi="宋体" w:cs="宋体"/>
          <w:b/>
          <w:color w:val="auto"/>
        </w:rPr>
      </w:pPr>
      <w:r>
        <w:rPr>
          <w:rFonts w:hint="eastAsia" w:hAnsi="宋体" w:cs="宋体"/>
          <w:b/>
          <w:color w:val="auto"/>
        </w:rPr>
        <w:t>1.1.5 合同价格和费用</w:t>
      </w:r>
    </w:p>
    <w:p w14:paraId="28002C9E">
      <w:pPr>
        <w:pStyle w:val="87"/>
        <w:spacing w:line="400" w:lineRule="exact"/>
        <w:ind w:firstLine="720" w:firstLineChars="300"/>
        <w:jc w:val="both"/>
        <w:rPr>
          <w:rFonts w:hAnsi="宋体"/>
          <w:color w:val="auto"/>
        </w:rPr>
      </w:pPr>
      <w:r>
        <w:rPr>
          <w:rFonts w:hint="eastAsia" w:hAnsi="宋体"/>
          <w:color w:val="auto"/>
        </w:rPr>
        <w:t>1.1.5.1 签约合同价：指签定合同时合同协议书中写明的，包括了暂列金额、暂估价的合同总金额。</w:t>
      </w:r>
    </w:p>
    <w:p w14:paraId="359CCA71">
      <w:pPr>
        <w:pStyle w:val="87"/>
        <w:spacing w:line="400" w:lineRule="exact"/>
        <w:ind w:firstLine="720" w:firstLineChars="300"/>
        <w:jc w:val="both"/>
        <w:rPr>
          <w:rFonts w:hAnsi="宋体"/>
          <w:color w:val="auto"/>
        </w:rPr>
      </w:pPr>
      <w:r>
        <w:rPr>
          <w:rFonts w:hint="eastAsia" w:hAnsi="宋体"/>
          <w:color w:val="auto"/>
        </w:rPr>
        <w:t>1.1.5.2 合同价格：指承包人按合同约定完成了包括缺陷责任期内的全部承包工作后，发包人应付给承包人的金额，包括在履行合同过程中按合同约定进行的变更和调整。</w:t>
      </w:r>
    </w:p>
    <w:p w14:paraId="7998173A">
      <w:pPr>
        <w:pStyle w:val="87"/>
        <w:spacing w:line="400" w:lineRule="exact"/>
        <w:ind w:firstLine="720" w:firstLineChars="300"/>
        <w:jc w:val="both"/>
        <w:rPr>
          <w:rFonts w:hAnsi="宋体"/>
          <w:color w:val="auto"/>
        </w:rPr>
      </w:pPr>
      <w:r>
        <w:rPr>
          <w:rFonts w:hint="eastAsia" w:hAnsi="宋体"/>
          <w:color w:val="auto"/>
        </w:rPr>
        <w:t>1.1.5.3 费用：指为履行合同所发生的或将要发生的所有合理开支，包括管理费和应分摊的其他费用，但不包括利润。</w:t>
      </w:r>
    </w:p>
    <w:p w14:paraId="6B3B20C6">
      <w:pPr>
        <w:pStyle w:val="87"/>
        <w:spacing w:line="400" w:lineRule="exact"/>
        <w:ind w:firstLine="720" w:firstLineChars="300"/>
        <w:jc w:val="both"/>
        <w:rPr>
          <w:rFonts w:hAnsi="宋体"/>
          <w:color w:val="auto"/>
        </w:rPr>
      </w:pPr>
      <w:r>
        <w:rPr>
          <w:rFonts w:hint="eastAsia" w:hAnsi="宋体"/>
          <w:color w:val="auto"/>
        </w:rPr>
        <w:t>1.1.5.4 暂列金额：指已标价工程量清单中所列的暂列金额，用于在签订协议书时尚未确定或不可预见变更的施工及其所需材料、工程设备、服务等的金额，包括以计日工方式支付的金额。</w:t>
      </w:r>
    </w:p>
    <w:p w14:paraId="576027C2">
      <w:pPr>
        <w:pStyle w:val="87"/>
        <w:spacing w:line="400" w:lineRule="exact"/>
        <w:ind w:firstLine="720" w:firstLineChars="300"/>
        <w:jc w:val="both"/>
        <w:rPr>
          <w:rFonts w:hAnsi="宋体"/>
          <w:color w:val="auto"/>
        </w:rPr>
      </w:pPr>
      <w:r>
        <w:rPr>
          <w:rFonts w:hint="eastAsia" w:hAnsi="宋体"/>
          <w:color w:val="auto"/>
        </w:rPr>
        <w:t>1.1.5.5 暂估价：指发包人在工程量清单中给定的用于支付必然发生但暂时不能确定价格的材料、设备以及专业工程的金额。</w:t>
      </w:r>
    </w:p>
    <w:p w14:paraId="65C28010">
      <w:pPr>
        <w:pStyle w:val="87"/>
        <w:spacing w:line="400" w:lineRule="exact"/>
        <w:ind w:firstLine="720" w:firstLineChars="300"/>
        <w:jc w:val="both"/>
        <w:rPr>
          <w:rFonts w:hAnsi="宋体"/>
          <w:color w:val="auto"/>
        </w:rPr>
      </w:pPr>
      <w:r>
        <w:rPr>
          <w:rFonts w:hint="eastAsia" w:hAnsi="宋体"/>
          <w:color w:val="auto"/>
        </w:rPr>
        <w:t>1.1.5.6 计日工：指对零星工作采取的一种计价方式，按合同中的计日工子目及其单价计价付款。</w:t>
      </w:r>
    </w:p>
    <w:p w14:paraId="6B836E1C">
      <w:pPr>
        <w:pStyle w:val="87"/>
        <w:spacing w:line="400" w:lineRule="exact"/>
        <w:ind w:firstLine="720" w:firstLineChars="300"/>
        <w:jc w:val="both"/>
        <w:rPr>
          <w:rFonts w:hAnsi="宋体"/>
          <w:color w:val="auto"/>
        </w:rPr>
      </w:pPr>
      <w:r>
        <w:rPr>
          <w:rFonts w:hint="eastAsia" w:hAnsi="宋体"/>
          <w:color w:val="auto"/>
        </w:rPr>
        <w:t>1.1.5.7 质量保证金（或称保留金）：指按第17.4.1项约定用于保证在缺陷责任期内履行缺陷修复义务的金额。</w:t>
      </w:r>
    </w:p>
    <w:p w14:paraId="49991DE9">
      <w:pPr>
        <w:pStyle w:val="199"/>
        <w:spacing w:line="400" w:lineRule="exact"/>
        <w:ind w:firstLine="542" w:firstLineChars="225"/>
        <w:jc w:val="both"/>
        <w:rPr>
          <w:rFonts w:hAnsi="宋体" w:cs="宋体"/>
          <w:b/>
          <w:color w:val="auto"/>
        </w:rPr>
      </w:pPr>
      <w:r>
        <w:rPr>
          <w:rFonts w:hint="eastAsia" w:hAnsi="宋体" w:cs="宋体"/>
          <w:b/>
          <w:color w:val="auto"/>
        </w:rPr>
        <w:t>1.1.6 其他</w:t>
      </w:r>
    </w:p>
    <w:p w14:paraId="1070CA00">
      <w:pPr>
        <w:pStyle w:val="87"/>
        <w:spacing w:line="400" w:lineRule="exact"/>
        <w:ind w:firstLine="720" w:firstLineChars="300"/>
        <w:jc w:val="both"/>
        <w:rPr>
          <w:rFonts w:hAnsi="宋体"/>
          <w:color w:val="auto"/>
        </w:rPr>
      </w:pPr>
      <w:r>
        <w:rPr>
          <w:rFonts w:hint="eastAsia" w:hAnsi="宋体"/>
          <w:color w:val="auto"/>
        </w:rPr>
        <w:t>1.1.6.1 书面形式：指合同文件、信函、电报、传真等可以有形地表现所载内容的形式。</w:t>
      </w:r>
    </w:p>
    <w:p w14:paraId="05A53C92">
      <w:pPr>
        <w:pStyle w:val="180"/>
        <w:spacing w:after="0" w:line="400" w:lineRule="exact"/>
        <w:ind w:firstLine="562"/>
        <w:jc w:val="both"/>
        <w:rPr>
          <w:rFonts w:hAnsi="宋体" w:cs="宋体"/>
          <w:b/>
          <w:color w:val="auto"/>
        </w:rPr>
      </w:pPr>
      <w:r>
        <w:rPr>
          <w:rFonts w:hint="eastAsia" w:hAnsi="宋体" w:cs="宋体"/>
          <w:b/>
          <w:color w:val="auto"/>
        </w:rPr>
        <w:t>1.2 语言文字</w:t>
      </w:r>
    </w:p>
    <w:p w14:paraId="56C60D97">
      <w:pPr>
        <w:pStyle w:val="175"/>
        <w:spacing w:after="0" w:line="400" w:lineRule="exact"/>
        <w:ind w:firstLine="540" w:firstLineChars="225"/>
        <w:jc w:val="both"/>
        <w:rPr>
          <w:rFonts w:hAnsi="宋体" w:cs="宋体"/>
          <w:color w:val="auto"/>
        </w:rPr>
      </w:pPr>
      <w:r>
        <w:rPr>
          <w:rFonts w:hint="eastAsia" w:hAnsi="宋体" w:cs="宋体"/>
          <w:color w:val="auto"/>
        </w:rPr>
        <w:t>除专用术语外，合同使用的语言文字为中文。必要时专用术语应附有中文注释。</w:t>
      </w:r>
    </w:p>
    <w:p w14:paraId="302CFB7A">
      <w:pPr>
        <w:pStyle w:val="180"/>
        <w:spacing w:after="0" w:line="400" w:lineRule="exact"/>
        <w:ind w:firstLine="562"/>
        <w:jc w:val="both"/>
        <w:rPr>
          <w:rFonts w:hAnsi="宋体" w:cs="宋体"/>
          <w:b/>
          <w:color w:val="auto"/>
        </w:rPr>
      </w:pPr>
      <w:r>
        <w:rPr>
          <w:rFonts w:hint="eastAsia" w:hAnsi="宋体" w:cs="宋体"/>
          <w:b/>
          <w:color w:val="auto"/>
        </w:rPr>
        <w:t>1.3 法律</w:t>
      </w:r>
    </w:p>
    <w:p w14:paraId="2EBAB5AD">
      <w:pPr>
        <w:pStyle w:val="175"/>
        <w:spacing w:after="0" w:line="400" w:lineRule="exact"/>
        <w:ind w:right="100" w:firstLine="361"/>
        <w:jc w:val="both"/>
        <w:rPr>
          <w:rFonts w:hAnsi="宋体" w:cs="宋体"/>
          <w:color w:val="auto"/>
        </w:rPr>
      </w:pPr>
      <w:r>
        <w:rPr>
          <w:rFonts w:hint="eastAsia" w:hAnsi="宋体" w:cs="宋体"/>
          <w:color w:val="auto"/>
        </w:rPr>
        <w:t>适用于合同的法律包括中华人民共和国法律、行政法规、部门规章，以及工程所在地的地方法规、自治条例、单行条例和地方政府规章。</w:t>
      </w:r>
    </w:p>
    <w:p w14:paraId="4645AF59">
      <w:pPr>
        <w:pStyle w:val="180"/>
        <w:spacing w:after="0" w:line="400" w:lineRule="exact"/>
        <w:ind w:firstLine="562"/>
        <w:jc w:val="both"/>
        <w:rPr>
          <w:rFonts w:hAnsi="宋体" w:cs="宋体"/>
          <w:b/>
          <w:color w:val="auto"/>
        </w:rPr>
      </w:pPr>
      <w:r>
        <w:rPr>
          <w:rFonts w:hint="eastAsia" w:hAnsi="宋体" w:cs="宋体"/>
          <w:b/>
          <w:color w:val="auto"/>
        </w:rPr>
        <w:t>1.4 合同文件的优先顺序</w:t>
      </w:r>
    </w:p>
    <w:p w14:paraId="3F1D4E68">
      <w:pPr>
        <w:pStyle w:val="184"/>
        <w:spacing w:line="400" w:lineRule="exact"/>
        <w:ind w:right="100" w:firstLine="560"/>
        <w:jc w:val="both"/>
        <w:rPr>
          <w:rFonts w:hAnsi="宋体" w:cs="宋体"/>
          <w:color w:val="auto"/>
        </w:rPr>
      </w:pPr>
      <w:r>
        <w:rPr>
          <w:rFonts w:hint="eastAsia" w:hAnsi="宋体" w:cs="宋体"/>
          <w:color w:val="auto"/>
        </w:rPr>
        <w:t>组成合同的各项文件应互相解释，互为说明。除专用合同条款另有约定外，解释合同文件的优先顺序如下：</w:t>
      </w:r>
    </w:p>
    <w:p w14:paraId="132DDA02">
      <w:pPr>
        <w:pStyle w:val="87"/>
        <w:spacing w:line="400" w:lineRule="exact"/>
        <w:ind w:firstLine="616" w:firstLineChars="257"/>
        <w:jc w:val="both"/>
        <w:rPr>
          <w:rFonts w:hAnsi="宋体"/>
          <w:color w:val="auto"/>
        </w:rPr>
      </w:pPr>
      <w:r>
        <w:rPr>
          <w:rFonts w:hint="eastAsia" w:hAnsi="宋体"/>
          <w:color w:val="auto"/>
        </w:rPr>
        <w:t>（1）合同协议书；</w:t>
      </w:r>
    </w:p>
    <w:p w14:paraId="339BE314">
      <w:pPr>
        <w:pStyle w:val="87"/>
        <w:spacing w:line="400" w:lineRule="exact"/>
        <w:ind w:firstLine="616" w:firstLineChars="257"/>
        <w:jc w:val="both"/>
        <w:rPr>
          <w:rFonts w:hAnsi="宋体"/>
          <w:color w:val="auto"/>
        </w:rPr>
      </w:pPr>
      <w:r>
        <w:rPr>
          <w:rFonts w:hint="eastAsia" w:hAnsi="宋体"/>
          <w:color w:val="auto"/>
        </w:rPr>
        <w:t>（2）中标通知书；</w:t>
      </w:r>
    </w:p>
    <w:p w14:paraId="291C497A">
      <w:pPr>
        <w:pStyle w:val="87"/>
        <w:spacing w:line="400" w:lineRule="exact"/>
        <w:ind w:firstLine="616" w:firstLineChars="257"/>
        <w:jc w:val="both"/>
        <w:rPr>
          <w:rFonts w:hAnsi="宋体"/>
          <w:color w:val="auto"/>
        </w:rPr>
      </w:pPr>
      <w:r>
        <w:rPr>
          <w:rFonts w:hint="eastAsia" w:hAnsi="宋体"/>
          <w:color w:val="auto"/>
        </w:rPr>
        <w:t>（3）投标函及投标函附录；</w:t>
      </w:r>
    </w:p>
    <w:p w14:paraId="7BD6BBC4">
      <w:pPr>
        <w:pStyle w:val="87"/>
        <w:spacing w:line="400" w:lineRule="exact"/>
        <w:ind w:firstLine="616" w:firstLineChars="257"/>
        <w:jc w:val="both"/>
        <w:rPr>
          <w:rFonts w:hAnsi="宋体"/>
          <w:color w:val="auto"/>
        </w:rPr>
      </w:pPr>
      <w:r>
        <w:rPr>
          <w:rFonts w:hint="eastAsia" w:hAnsi="宋体"/>
          <w:color w:val="auto"/>
        </w:rPr>
        <w:t>（4）专用合同条款；</w:t>
      </w:r>
    </w:p>
    <w:p w14:paraId="6CFCBC38">
      <w:pPr>
        <w:pStyle w:val="87"/>
        <w:spacing w:line="400" w:lineRule="exact"/>
        <w:ind w:firstLine="616" w:firstLineChars="257"/>
        <w:jc w:val="both"/>
        <w:rPr>
          <w:rFonts w:hAnsi="宋体"/>
          <w:color w:val="auto"/>
        </w:rPr>
      </w:pPr>
      <w:r>
        <w:rPr>
          <w:rFonts w:hint="eastAsia" w:hAnsi="宋体"/>
          <w:color w:val="auto"/>
        </w:rPr>
        <w:t>（5）通用合同条款；</w:t>
      </w:r>
    </w:p>
    <w:p w14:paraId="21E7213D">
      <w:pPr>
        <w:pStyle w:val="87"/>
        <w:spacing w:line="400" w:lineRule="exact"/>
        <w:ind w:firstLine="616" w:firstLineChars="257"/>
        <w:jc w:val="both"/>
        <w:rPr>
          <w:rFonts w:hAnsi="宋体"/>
          <w:color w:val="auto"/>
        </w:rPr>
      </w:pPr>
      <w:r>
        <w:rPr>
          <w:rFonts w:hint="eastAsia" w:hAnsi="宋体"/>
          <w:color w:val="auto"/>
        </w:rPr>
        <w:t>（6）技术标准和要求；</w:t>
      </w:r>
    </w:p>
    <w:p w14:paraId="187F6110">
      <w:pPr>
        <w:pStyle w:val="87"/>
        <w:spacing w:line="400" w:lineRule="exact"/>
        <w:ind w:firstLine="616" w:firstLineChars="257"/>
        <w:jc w:val="both"/>
        <w:rPr>
          <w:rFonts w:hAnsi="宋体"/>
          <w:color w:val="auto"/>
        </w:rPr>
      </w:pPr>
      <w:r>
        <w:rPr>
          <w:rFonts w:hint="eastAsia" w:hAnsi="宋体"/>
          <w:color w:val="auto"/>
        </w:rPr>
        <w:t>（7）图纸；</w:t>
      </w:r>
    </w:p>
    <w:p w14:paraId="10F84ADF">
      <w:pPr>
        <w:pStyle w:val="87"/>
        <w:spacing w:line="400" w:lineRule="exact"/>
        <w:ind w:firstLine="616" w:firstLineChars="257"/>
        <w:jc w:val="both"/>
        <w:rPr>
          <w:rFonts w:hAnsi="宋体"/>
          <w:color w:val="auto"/>
        </w:rPr>
      </w:pPr>
      <w:r>
        <w:rPr>
          <w:rFonts w:hint="eastAsia" w:hAnsi="宋体"/>
          <w:color w:val="auto"/>
        </w:rPr>
        <w:t>（8）工程量清单；</w:t>
      </w:r>
    </w:p>
    <w:p w14:paraId="592DABB8">
      <w:pPr>
        <w:pStyle w:val="87"/>
        <w:spacing w:line="400" w:lineRule="exact"/>
        <w:ind w:firstLine="616" w:firstLineChars="257"/>
        <w:jc w:val="both"/>
        <w:rPr>
          <w:rFonts w:hAnsi="宋体"/>
          <w:color w:val="auto"/>
        </w:rPr>
      </w:pPr>
      <w:r>
        <w:rPr>
          <w:rFonts w:hint="eastAsia" w:hAnsi="宋体"/>
          <w:color w:val="auto"/>
        </w:rPr>
        <w:t>（9）其他合同文件。</w:t>
      </w:r>
    </w:p>
    <w:p w14:paraId="7C15193B">
      <w:pPr>
        <w:pStyle w:val="180"/>
        <w:spacing w:after="0" w:line="400" w:lineRule="exact"/>
        <w:ind w:firstLine="562"/>
        <w:jc w:val="both"/>
        <w:rPr>
          <w:rFonts w:hAnsi="宋体" w:cs="宋体"/>
          <w:b/>
          <w:color w:val="auto"/>
        </w:rPr>
      </w:pPr>
      <w:r>
        <w:rPr>
          <w:rFonts w:hint="eastAsia" w:hAnsi="宋体" w:cs="宋体"/>
          <w:b/>
          <w:color w:val="auto"/>
        </w:rPr>
        <w:t>1.5 合同协议书</w:t>
      </w:r>
    </w:p>
    <w:p w14:paraId="1962D005">
      <w:pPr>
        <w:pStyle w:val="175"/>
        <w:spacing w:after="0" w:line="400" w:lineRule="exact"/>
        <w:ind w:firstLine="361"/>
        <w:jc w:val="both"/>
        <w:rPr>
          <w:rFonts w:hAnsi="宋体" w:cs="宋体"/>
          <w:color w:val="auto"/>
        </w:rPr>
      </w:pPr>
      <w:r>
        <w:rPr>
          <w:rFonts w:hint="eastAsia" w:hAnsi="宋体" w:cs="宋体"/>
          <w:color w:val="auto"/>
        </w:rPr>
        <w:t>承包人按中标通知书规定的时间与发包人签订合同协议书。除法律另有规定或合同另有约定外，发包人和承包人的法定代表人或其委托代理人在合同协议书上签字并盖单位公章后，合同生效。</w:t>
      </w:r>
    </w:p>
    <w:p w14:paraId="1EA857A9">
      <w:pPr>
        <w:pStyle w:val="180"/>
        <w:spacing w:after="0" w:line="400" w:lineRule="exact"/>
        <w:ind w:firstLine="562"/>
        <w:jc w:val="both"/>
        <w:rPr>
          <w:rFonts w:hAnsi="宋体" w:cs="宋体"/>
          <w:b/>
          <w:color w:val="auto"/>
        </w:rPr>
      </w:pPr>
      <w:r>
        <w:rPr>
          <w:rFonts w:hint="eastAsia" w:hAnsi="宋体" w:cs="宋体"/>
          <w:b/>
          <w:color w:val="auto"/>
        </w:rPr>
        <w:t>1.6 图纸和承包人文件</w:t>
      </w:r>
    </w:p>
    <w:p w14:paraId="0F019E85">
      <w:pPr>
        <w:pStyle w:val="199"/>
        <w:spacing w:line="400" w:lineRule="exact"/>
        <w:ind w:firstLine="542" w:firstLineChars="225"/>
        <w:jc w:val="both"/>
        <w:rPr>
          <w:rFonts w:hAnsi="宋体" w:cs="宋体"/>
          <w:b/>
          <w:color w:val="auto"/>
        </w:rPr>
      </w:pPr>
      <w:r>
        <w:rPr>
          <w:rFonts w:hint="eastAsia" w:hAnsi="宋体" w:cs="宋体"/>
          <w:b/>
          <w:color w:val="auto"/>
        </w:rPr>
        <w:t>1.6.1 图纸的提供</w:t>
      </w:r>
    </w:p>
    <w:p w14:paraId="5EFC2162">
      <w:pPr>
        <w:pStyle w:val="188"/>
        <w:spacing w:line="400" w:lineRule="exact"/>
        <w:ind w:right="100" w:firstLine="560"/>
        <w:jc w:val="both"/>
        <w:rPr>
          <w:rFonts w:hAnsi="宋体" w:cs="宋体"/>
          <w:color w:val="auto"/>
        </w:rPr>
      </w:pPr>
      <w:r>
        <w:rPr>
          <w:rFonts w:hint="eastAsia" w:hAnsi="宋体" w:cs="宋体"/>
          <w:color w:val="auto"/>
        </w:rPr>
        <w:t>发包人应按技术标准和要求（合同技术条款）约定的期限和数量将施工图纸以及其它图纸（包括配套说明和有关资料）提供给承包人。由于发包人未按时提供图纸造成工期延误的，按第11.3款的约定办理。</w:t>
      </w:r>
    </w:p>
    <w:p w14:paraId="22719EDB">
      <w:pPr>
        <w:pStyle w:val="199"/>
        <w:spacing w:line="400" w:lineRule="exact"/>
        <w:ind w:firstLine="542" w:firstLineChars="225"/>
        <w:jc w:val="both"/>
        <w:rPr>
          <w:rFonts w:hAnsi="宋体" w:cs="宋体"/>
          <w:b/>
          <w:color w:val="auto"/>
        </w:rPr>
      </w:pPr>
      <w:r>
        <w:rPr>
          <w:rFonts w:hint="eastAsia" w:hAnsi="宋体" w:cs="宋体"/>
          <w:b/>
          <w:color w:val="auto"/>
        </w:rPr>
        <w:t>1.6.2 承包人提供的文件</w:t>
      </w:r>
    </w:p>
    <w:p w14:paraId="5BB2B678">
      <w:pPr>
        <w:pStyle w:val="188"/>
        <w:spacing w:line="400" w:lineRule="exact"/>
        <w:ind w:right="100" w:firstLine="560"/>
        <w:jc w:val="both"/>
        <w:rPr>
          <w:rFonts w:hAnsi="宋体" w:cs="宋体"/>
          <w:color w:val="auto"/>
        </w:rPr>
      </w:pPr>
      <w:r>
        <w:rPr>
          <w:rFonts w:hint="eastAsia" w:hAnsi="宋体" w:cs="宋体"/>
          <w:color w:val="auto"/>
        </w:rPr>
        <w:t>承包人提供的文件应按技术标准和要求(合同技术条款)约定的期限和数量提供给监理人。监理人应按技术标准和要求(合同技术条款)约定的期限批复承包人。</w:t>
      </w:r>
    </w:p>
    <w:p w14:paraId="6A27BD56">
      <w:pPr>
        <w:pStyle w:val="199"/>
        <w:spacing w:line="400" w:lineRule="exact"/>
        <w:ind w:firstLine="542" w:firstLineChars="225"/>
        <w:jc w:val="both"/>
        <w:rPr>
          <w:rFonts w:hAnsi="宋体" w:cs="宋体"/>
          <w:b/>
          <w:color w:val="auto"/>
        </w:rPr>
      </w:pPr>
      <w:r>
        <w:rPr>
          <w:rFonts w:hint="eastAsia" w:hAnsi="宋体" w:cs="宋体"/>
          <w:b/>
          <w:color w:val="auto"/>
        </w:rPr>
        <w:t>1.6.3 图纸的修改</w:t>
      </w:r>
    </w:p>
    <w:p w14:paraId="47907AFC">
      <w:pPr>
        <w:pStyle w:val="188"/>
        <w:spacing w:line="400" w:lineRule="exact"/>
        <w:ind w:right="100" w:firstLine="560"/>
        <w:jc w:val="both"/>
        <w:rPr>
          <w:rFonts w:hAnsi="宋体" w:cs="宋体"/>
          <w:color w:val="auto"/>
        </w:rPr>
      </w:pPr>
      <w:r>
        <w:rPr>
          <w:rFonts w:hint="eastAsia" w:hAnsi="宋体" w:cs="宋体"/>
          <w:color w:val="auto"/>
        </w:rPr>
        <w:t>设计人需要对已发给承包人的施工图纸进行修改时，监理人应在技术标准和要求(合同技术条款)约定的期限内签发施工图纸的修改图给承包人。承包人应按技术标准和要求(合同技术条款)的约定编制一份承包人实施计划提交监理人批准后执行。</w:t>
      </w:r>
    </w:p>
    <w:p w14:paraId="74E6549D">
      <w:pPr>
        <w:pStyle w:val="199"/>
        <w:spacing w:line="400" w:lineRule="exact"/>
        <w:ind w:firstLine="542" w:firstLineChars="225"/>
        <w:jc w:val="both"/>
        <w:rPr>
          <w:rFonts w:hAnsi="宋体" w:cs="宋体"/>
          <w:b/>
          <w:color w:val="auto"/>
        </w:rPr>
      </w:pPr>
      <w:r>
        <w:rPr>
          <w:rFonts w:hint="eastAsia" w:hAnsi="宋体" w:cs="宋体"/>
          <w:b/>
          <w:color w:val="auto"/>
        </w:rPr>
        <w:t>1.6.4 图纸的错误</w:t>
      </w:r>
    </w:p>
    <w:p w14:paraId="64301666">
      <w:pPr>
        <w:pStyle w:val="187"/>
        <w:spacing w:line="400" w:lineRule="exact"/>
        <w:ind w:left="420" w:firstLine="560"/>
        <w:jc w:val="both"/>
        <w:rPr>
          <w:rFonts w:hAnsi="宋体" w:cs="宋体"/>
          <w:color w:val="auto"/>
        </w:rPr>
      </w:pPr>
      <w:r>
        <w:rPr>
          <w:rFonts w:hint="eastAsia" w:hAnsi="宋体" w:cs="宋体"/>
          <w:color w:val="auto"/>
        </w:rPr>
        <w:t>承包人发现发包人提供的图纸存在明显错误或疏忽，应及时通知监理人。</w:t>
      </w:r>
    </w:p>
    <w:p w14:paraId="409D436D">
      <w:pPr>
        <w:pStyle w:val="199"/>
        <w:spacing w:line="400" w:lineRule="exact"/>
        <w:ind w:firstLine="542" w:firstLineChars="225"/>
        <w:jc w:val="both"/>
        <w:rPr>
          <w:rFonts w:hAnsi="宋体" w:cs="宋体"/>
          <w:b/>
          <w:color w:val="auto"/>
        </w:rPr>
      </w:pPr>
      <w:r>
        <w:rPr>
          <w:rFonts w:hint="eastAsia" w:hAnsi="宋体" w:cs="宋体"/>
          <w:b/>
          <w:color w:val="auto"/>
        </w:rPr>
        <w:t>1.6.5 图纸和承包人文件的保管</w:t>
      </w:r>
    </w:p>
    <w:p w14:paraId="41C7C9CD">
      <w:pPr>
        <w:pStyle w:val="175"/>
        <w:spacing w:after="0" w:line="400" w:lineRule="exact"/>
        <w:ind w:right="100" w:firstLine="361"/>
        <w:jc w:val="both"/>
        <w:rPr>
          <w:rFonts w:hAnsi="宋体" w:cs="宋体"/>
          <w:color w:val="auto"/>
        </w:rPr>
      </w:pPr>
      <w:r>
        <w:rPr>
          <w:rFonts w:hint="eastAsia" w:hAnsi="宋体" w:cs="宋体"/>
          <w:color w:val="auto"/>
        </w:rPr>
        <w:t>监理人和承包人均应在施工场地各保存一套完整的包含第1.6.1项、第1.6.2项、第1.6.3项约定内容的图纸和承包人文件。</w:t>
      </w:r>
    </w:p>
    <w:p w14:paraId="7DADC0CE">
      <w:pPr>
        <w:pStyle w:val="180"/>
        <w:spacing w:after="0" w:line="400" w:lineRule="exact"/>
        <w:ind w:firstLine="562"/>
        <w:jc w:val="both"/>
        <w:rPr>
          <w:rFonts w:hAnsi="宋体" w:cs="宋体"/>
          <w:b/>
          <w:color w:val="auto"/>
        </w:rPr>
      </w:pPr>
      <w:r>
        <w:rPr>
          <w:rFonts w:hint="eastAsia" w:hAnsi="宋体" w:cs="宋体"/>
          <w:b/>
          <w:color w:val="auto"/>
        </w:rPr>
        <w:t>1.7 联络</w:t>
      </w:r>
    </w:p>
    <w:p w14:paraId="556DE113">
      <w:pPr>
        <w:pStyle w:val="87"/>
        <w:spacing w:line="400" w:lineRule="exact"/>
        <w:ind w:firstLine="540" w:firstLineChars="225"/>
        <w:jc w:val="both"/>
        <w:rPr>
          <w:rFonts w:hAnsi="宋体"/>
          <w:color w:val="auto"/>
        </w:rPr>
      </w:pPr>
      <w:r>
        <w:rPr>
          <w:rFonts w:hint="eastAsia" w:hAnsi="宋体"/>
          <w:color w:val="auto"/>
        </w:rPr>
        <w:t>1.7.1 与合同有关的通知、批准、证明、证书、指示、要求、请求、同意、意见、确定和决定等，均应采用书面形式。</w:t>
      </w:r>
    </w:p>
    <w:p w14:paraId="2FF90635">
      <w:pPr>
        <w:pStyle w:val="87"/>
        <w:spacing w:line="400" w:lineRule="exact"/>
        <w:ind w:firstLine="540" w:firstLineChars="225"/>
        <w:jc w:val="both"/>
        <w:rPr>
          <w:rFonts w:hAnsi="宋体"/>
          <w:color w:val="auto"/>
        </w:rPr>
      </w:pPr>
      <w:r>
        <w:rPr>
          <w:rFonts w:hint="eastAsia" w:hAnsi="宋体"/>
          <w:color w:val="auto"/>
        </w:rPr>
        <w:t>1.7.2 第1.7.1项中的通知、批准、证明、证书、指示、要求、请求、同意、意见、确定和决定等来往函件，均应在合同约定的期限内送达指定地点和接收人，并办理签收手续。来往函件的送达期限在技术标准和要求(合同技术条款)中约定，送达地点在专用合同条款中约定。</w:t>
      </w:r>
    </w:p>
    <w:p w14:paraId="54892CAF">
      <w:pPr>
        <w:pStyle w:val="87"/>
        <w:spacing w:line="400" w:lineRule="exact"/>
        <w:ind w:firstLine="540" w:firstLineChars="225"/>
        <w:jc w:val="both"/>
        <w:rPr>
          <w:rFonts w:hAnsi="宋体"/>
          <w:color w:val="auto"/>
        </w:rPr>
      </w:pPr>
      <w:r>
        <w:rPr>
          <w:rFonts w:hint="eastAsia" w:hAnsi="宋体"/>
          <w:color w:val="auto"/>
        </w:rPr>
        <w:t>1.7.3 来往函件均应按合同约定的期限及时发出和答复，不得无故扣压和拖延，亦不得拒收。否则，由此造成的后果由责任方负责。</w:t>
      </w:r>
    </w:p>
    <w:p w14:paraId="5F0BFCA7">
      <w:pPr>
        <w:pStyle w:val="180"/>
        <w:spacing w:after="0" w:line="400" w:lineRule="exact"/>
        <w:ind w:firstLine="562"/>
        <w:jc w:val="both"/>
        <w:rPr>
          <w:rFonts w:hAnsi="宋体" w:cs="宋体"/>
          <w:b/>
          <w:color w:val="auto"/>
        </w:rPr>
      </w:pPr>
      <w:r>
        <w:rPr>
          <w:rFonts w:hint="eastAsia" w:hAnsi="宋体" w:cs="宋体"/>
          <w:b/>
          <w:color w:val="auto"/>
        </w:rPr>
        <w:t>1.8 转让</w:t>
      </w:r>
    </w:p>
    <w:p w14:paraId="503966D5">
      <w:pPr>
        <w:pStyle w:val="175"/>
        <w:spacing w:after="0" w:line="400" w:lineRule="exact"/>
        <w:ind w:right="100" w:firstLine="361"/>
        <w:jc w:val="both"/>
        <w:rPr>
          <w:rFonts w:hAnsi="宋体" w:cs="宋体"/>
          <w:color w:val="auto"/>
        </w:rPr>
      </w:pPr>
      <w:r>
        <w:rPr>
          <w:rFonts w:hint="eastAsia" w:hAnsi="宋体" w:cs="宋体"/>
          <w:color w:val="auto"/>
        </w:rPr>
        <w:t>除合同另有约定外，未经对方当事人同意，一方当事人不得将合同权利全部或部分转让给第三人，也不得全部或部分转移合同义务。</w:t>
      </w:r>
    </w:p>
    <w:p w14:paraId="6DE550C6">
      <w:pPr>
        <w:pStyle w:val="180"/>
        <w:spacing w:after="0" w:line="400" w:lineRule="exact"/>
        <w:ind w:firstLine="562"/>
        <w:jc w:val="both"/>
        <w:rPr>
          <w:rFonts w:hAnsi="宋体" w:cs="宋体"/>
          <w:b/>
          <w:color w:val="auto"/>
        </w:rPr>
      </w:pPr>
      <w:r>
        <w:rPr>
          <w:rFonts w:hint="eastAsia" w:hAnsi="宋体" w:cs="宋体"/>
          <w:b/>
          <w:color w:val="auto"/>
        </w:rPr>
        <w:t>1.9 严禁贿赂</w:t>
      </w:r>
    </w:p>
    <w:p w14:paraId="062B17FB">
      <w:pPr>
        <w:pStyle w:val="175"/>
        <w:spacing w:after="0" w:line="400" w:lineRule="exact"/>
        <w:ind w:right="100" w:firstLine="361"/>
        <w:jc w:val="both"/>
        <w:rPr>
          <w:rFonts w:hAnsi="宋体" w:cs="宋体"/>
          <w:color w:val="auto"/>
        </w:rPr>
      </w:pPr>
      <w:r>
        <w:rPr>
          <w:rFonts w:hint="eastAsia" w:hAnsi="宋体" w:cs="宋体"/>
          <w:color w:val="auto"/>
        </w:rPr>
        <w:t>合同双方当事人不得以贿赂或变相贿赂的方式，谋取不当利益或损害对方权益。因贿赂造成对方损失的，行为人应赔偿损失，并承担相应的法律责任。</w:t>
      </w:r>
    </w:p>
    <w:p w14:paraId="6ABF6C0A">
      <w:pPr>
        <w:pStyle w:val="180"/>
        <w:spacing w:after="0" w:line="400" w:lineRule="exact"/>
        <w:ind w:firstLine="562"/>
        <w:jc w:val="both"/>
        <w:rPr>
          <w:rFonts w:hAnsi="宋体" w:cs="宋体"/>
          <w:b/>
          <w:color w:val="auto"/>
        </w:rPr>
      </w:pPr>
      <w:r>
        <w:rPr>
          <w:rFonts w:hint="eastAsia" w:hAnsi="宋体" w:cs="宋体"/>
          <w:b/>
          <w:color w:val="auto"/>
        </w:rPr>
        <w:t>1.10 化石、文物</w:t>
      </w:r>
    </w:p>
    <w:p w14:paraId="3A4D51E1">
      <w:pPr>
        <w:pStyle w:val="87"/>
        <w:spacing w:line="400" w:lineRule="exact"/>
        <w:ind w:firstLine="540" w:firstLineChars="225"/>
        <w:jc w:val="both"/>
        <w:rPr>
          <w:rFonts w:hAnsi="宋体"/>
          <w:color w:val="auto"/>
        </w:rPr>
      </w:pPr>
      <w:r>
        <w:rPr>
          <w:rFonts w:hint="eastAsia" w:hAnsi="宋体"/>
          <w:color w:val="auto"/>
        </w:rPr>
        <w:t>1.10.1 在施工场地发掘的所有文物、古迹以及具有地质研究或考古价值的其他遗迹、化石、钱币或物品属于国家所有。一旦发现上述文物，承包人应采取有效合理的保护措施，防止任何人员移动或损坏上述物品，并立即报告当地文物行政部门，同时通知监理人。发包人、监理人和承包人应按文物行政部门要求采取妥善保护措施，由此导致费用增加和（或）工期延误由发包人承担。</w:t>
      </w:r>
    </w:p>
    <w:p w14:paraId="6CB7DDE9">
      <w:pPr>
        <w:pStyle w:val="87"/>
        <w:spacing w:line="400" w:lineRule="exact"/>
        <w:ind w:firstLine="540" w:firstLineChars="225"/>
        <w:jc w:val="both"/>
        <w:rPr>
          <w:rFonts w:hAnsi="宋体"/>
          <w:color w:val="auto"/>
        </w:rPr>
      </w:pPr>
      <w:r>
        <w:rPr>
          <w:rFonts w:hint="eastAsia" w:hAnsi="宋体"/>
          <w:color w:val="auto"/>
        </w:rPr>
        <w:t>1.10.2 承包人发现文物后不及时报告或隐瞒不报，致使文物丢失或损坏的，应赔偿损失，并承担相应的法律责任。</w:t>
      </w:r>
    </w:p>
    <w:p w14:paraId="678A8AEE">
      <w:pPr>
        <w:pStyle w:val="180"/>
        <w:spacing w:after="0" w:line="400" w:lineRule="exact"/>
        <w:ind w:firstLine="562"/>
        <w:jc w:val="both"/>
        <w:rPr>
          <w:rFonts w:hAnsi="宋体" w:cs="宋体"/>
          <w:b/>
          <w:color w:val="auto"/>
        </w:rPr>
      </w:pPr>
      <w:r>
        <w:rPr>
          <w:rFonts w:hint="eastAsia" w:hAnsi="宋体" w:cs="宋体"/>
          <w:b/>
          <w:color w:val="auto"/>
        </w:rPr>
        <w:t>1.11 专利技术</w:t>
      </w:r>
    </w:p>
    <w:p w14:paraId="61E8CFF7">
      <w:pPr>
        <w:pStyle w:val="87"/>
        <w:spacing w:line="400" w:lineRule="exact"/>
        <w:ind w:firstLine="540" w:firstLineChars="225"/>
        <w:jc w:val="both"/>
        <w:rPr>
          <w:rFonts w:hAnsi="宋体"/>
          <w:color w:val="auto"/>
        </w:rPr>
      </w:pPr>
      <w:r>
        <w:rPr>
          <w:rFonts w:hint="eastAsia" w:hAnsi="宋体"/>
          <w:color w:val="auto"/>
        </w:rPr>
        <w:t>1.11.1 承包人在使用任何材料、承包人设备、工程设备或采用施工工艺时，因侵犯专利权或其他知识产权所引起的责任，由承包人承担，但由于遵照发包人提供的设计或技术标准和要求引起的除外。</w:t>
      </w:r>
    </w:p>
    <w:p w14:paraId="5900235D">
      <w:pPr>
        <w:pStyle w:val="87"/>
        <w:spacing w:line="400" w:lineRule="exact"/>
        <w:ind w:firstLine="540" w:firstLineChars="225"/>
        <w:jc w:val="both"/>
        <w:rPr>
          <w:rFonts w:hAnsi="宋体"/>
          <w:color w:val="auto"/>
        </w:rPr>
      </w:pPr>
      <w:r>
        <w:rPr>
          <w:rFonts w:hint="eastAsia" w:hAnsi="宋体"/>
          <w:color w:val="auto"/>
        </w:rPr>
        <w:t>1.11.2 承包人在投标文件中采用专利技术的，专利技术的使用费包含在投标报价内。</w:t>
      </w:r>
    </w:p>
    <w:p w14:paraId="18E17675">
      <w:pPr>
        <w:pStyle w:val="87"/>
        <w:spacing w:line="400" w:lineRule="exact"/>
        <w:ind w:firstLine="540" w:firstLineChars="225"/>
        <w:jc w:val="both"/>
        <w:rPr>
          <w:rFonts w:hAnsi="宋体"/>
          <w:color w:val="auto"/>
        </w:rPr>
      </w:pPr>
      <w:r>
        <w:rPr>
          <w:rFonts w:hint="eastAsia" w:hAnsi="宋体"/>
          <w:color w:val="auto"/>
        </w:rPr>
        <w:t>1.11.3 承包人的技术秘密和声明需要保密的资料和信息，发包人和监理人不得为合同以外的目的泄露给他人。</w:t>
      </w:r>
    </w:p>
    <w:p w14:paraId="384C9FD0">
      <w:pPr>
        <w:pStyle w:val="87"/>
        <w:spacing w:line="400" w:lineRule="exact"/>
        <w:ind w:firstLine="540" w:firstLineChars="225"/>
        <w:jc w:val="both"/>
        <w:rPr>
          <w:rFonts w:hAnsi="宋体"/>
          <w:color w:val="auto"/>
        </w:rPr>
      </w:pPr>
      <w:r>
        <w:rPr>
          <w:rFonts w:hint="eastAsia" w:hAnsi="宋体"/>
          <w:color w:val="auto"/>
        </w:rPr>
        <w:t>1.ll.4 合同实施过程中，发包人要求承包人采用专利技术的，发包人应办理相应的使用手续，承包人应按发包人约定的条件使用，并承担使用专利技术的相关试验工作，所需费用由发包人承担。</w:t>
      </w:r>
    </w:p>
    <w:p w14:paraId="3C0BD5B8">
      <w:pPr>
        <w:pStyle w:val="180"/>
        <w:spacing w:after="0" w:line="400" w:lineRule="exact"/>
        <w:ind w:firstLine="562"/>
        <w:jc w:val="both"/>
        <w:rPr>
          <w:rFonts w:hAnsi="宋体" w:cs="宋体"/>
          <w:b/>
          <w:color w:val="auto"/>
        </w:rPr>
      </w:pPr>
      <w:r>
        <w:rPr>
          <w:rFonts w:hint="eastAsia" w:hAnsi="宋体" w:cs="宋体"/>
          <w:b/>
          <w:color w:val="auto"/>
        </w:rPr>
        <w:t>1.12 图纸和文件的保密</w:t>
      </w:r>
    </w:p>
    <w:p w14:paraId="4837B478">
      <w:pPr>
        <w:pStyle w:val="87"/>
        <w:spacing w:line="400" w:lineRule="exact"/>
        <w:ind w:firstLine="540" w:firstLineChars="225"/>
        <w:jc w:val="both"/>
        <w:rPr>
          <w:rFonts w:hAnsi="宋体"/>
          <w:color w:val="auto"/>
        </w:rPr>
      </w:pPr>
      <w:r>
        <w:rPr>
          <w:rFonts w:hint="eastAsia" w:hAnsi="宋体"/>
          <w:color w:val="auto"/>
        </w:rPr>
        <w:t>1.12.1 发包人提供的图纸和文件，未经发包人同意，承包人不得为合同以外的目的泄露给他人或公开发表与引用。</w:t>
      </w:r>
    </w:p>
    <w:p w14:paraId="04AAA56A">
      <w:pPr>
        <w:pStyle w:val="87"/>
        <w:spacing w:line="400" w:lineRule="exact"/>
        <w:ind w:firstLine="540" w:firstLineChars="225"/>
        <w:jc w:val="both"/>
        <w:rPr>
          <w:rFonts w:hAnsi="宋体"/>
          <w:color w:val="auto"/>
        </w:rPr>
      </w:pPr>
      <w:r>
        <w:rPr>
          <w:rFonts w:hint="eastAsia" w:hAnsi="宋体"/>
          <w:color w:val="auto"/>
        </w:rPr>
        <w:t>1.12.2 承包人提供的文件，未经承包人同意，发包人和监理人不得为合同以外的目的泄露给他人或公开发表与引用。</w:t>
      </w:r>
    </w:p>
    <w:p w14:paraId="6354CD2C">
      <w:pPr>
        <w:pStyle w:val="180"/>
        <w:spacing w:before="100" w:after="100" w:line="400" w:lineRule="exact"/>
        <w:ind w:firstLine="643"/>
        <w:jc w:val="both"/>
        <w:rPr>
          <w:rFonts w:hAnsi="宋体" w:cs="宋体"/>
          <w:b/>
          <w:color w:val="auto"/>
          <w:sz w:val="32"/>
          <w:szCs w:val="32"/>
        </w:rPr>
      </w:pPr>
      <w:bookmarkStart w:id="66" w:name="_Toc249848944"/>
      <w:bookmarkStart w:id="67" w:name="_Toc215561202"/>
      <w:bookmarkStart w:id="68" w:name="_Toc351898539"/>
      <w:bookmarkStart w:id="69" w:name="_Toc436309939"/>
      <w:bookmarkStart w:id="70" w:name="_Toc255470259"/>
      <w:bookmarkStart w:id="71" w:name="_Toc14028"/>
      <w:bookmarkStart w:id="72" w:name="_Toc206830015"/>
      <w:bookmarkStart w:id="73" w:name="_Toc504565681"/>
      <w:bookmarkStart w:id="74" w:name="_Toc209862324"/>
      <w:bookmarkStart w:id="75" w:name="_Toc338778034"/>
      <w:bookmarkStart w:id="76" w:name="_Toc208734402"/>
      <w:bookmarkStart w:id="77" w:name="_Toc215805045"/>
      <w:bookmarkStart w:id="78" w:name="_Toc214355665"/>
      <w:bookmarkStart w:id="79" w:name="_Toc436133230"/>
      <w:bookmarkStart w:id="80" w:name="_Toc260230294"/>
      <w:bookmarkStart w:id="81" w:name="_Toc248294415"/>
      <w:bookmarkStart w:id="82" w:name="_Toc389226389"/>
      <w:bookmarkStart w:id="83" w:name="_Toc219172331"/>
      <w:bookmarkStart w:id="84" w:name="_Toc215556184"/>
      <w:bookmarkStart w:id="85" w:name="_Toc245110732"/>
      <w:bookmarkStart w:id="86" w:name="_Toc460581172"/>
      <w:bookmarkStart w:id="87" w:name="_Toc274500890"/>
      <w:bookmarkStart w:id="88" w:name="_Toc222804518"/>
      <w:bookmarkStart w:id="89" w:name="_Toc340222897"/>
      <w:bookmarkStart w:id="90" w:name="_Toc350857421"/>
      <w:bookmarkStart w:id="91" w:name="_Toc436309587"/>
      <w:bookmarkStart w:id="92" w:name="_Toc187475834"/>
      <w:bookmarkStart w:id="93" w:name="_Toc458599270"/>
      <w:bookmarkStart w:id="94" w:name="_Toc340436787"/>
      <w:bookmarkStart w:id="95" w:name="_Toc342046308"/>
      <w:bookmarkStart w:id="96" w:name="_Toc449111920"/>
      <w:bookmarkStart w:id="97" w:name="_Toc25643"/>
      <w:bookmarkStart w:id="98" w:name="_Toc187845994"/>
      <w:bookmarkStart w:id="99" w:name="_Toc255741923"/>
      <w:bookmarkStart w:id="100" w:name="_Toc227658492"/>
      <w:bookmarkStart w:id="101" w:name="_Toc388633669"/>
      <w:bookmarkStart w:id="102" w:name="_Toc510197466"/>
      <w:bookmarkStart w:id="103" w:name="_Toc504565794"/>
      <w:bookmarkStart w:id="104" w:name="_Toc306293158"/>
      <w:bookmarkStart w:id="105" w:name="_Toc510197604"/>
      <w:bookmarkStart w:id="106" w:name="_Toc476231293"/>
      <w:bookmarkStart w:id="107" w:name="_Toc436998780"/>
      <w:bookmarkStart w:id="108" w:name="_Toc371937186"/>
      <w:bookmarkStart w:id="109" w:name="_Toc453768092"/>
      <w:bookmarkStart w:id="110" w:name="_Toc439772693"/>
      <w:bookmarkStart w:id="111" w:name="_Toc260229967"/>
      <w:bookmarkStart w:id="112" w:name="_Toc450123360"/>
      <w:bookmarkStart w:id="113" w:name="_Toc450123126"/>
      <w:bookmarkStart w:id="114" w:name="_Toc195864489"/>
      <w:bookmarkStart w:id="115" w:name="_Toc211175326"/>
      <w:bookmarkStart w:id="116" w:name="_Toc255470036"/>
      <w:bookmarkStart w:id="117" w:name="_Toc368145478"/>
      <w:bookmarkStart w:id="118" w:name="_Toc254774403"/>
      <w:bookmarkStart w:id="119" w:name="_Toc445105529"/>
      <w:bookmarkStart w:id="120" w:name="_Toc305763048"/>
      <w:bookmarkStart w:id="121" w:name="_Toc477164654"/>
      <w:bookmarkStart w:id="122" w:name="_Toc452986494"/>
      <w:bookmarkStart w:id="123" w:name="_Toc270517136"/>
      <w:bookmarkStart w:id="124" w:name="_Toc260649022"/>
      <w:bookmarkStart w:id="125" w:name="_Toc257202827"/>
      <w:r>
        <w:rPr>
          <w:rFonts w:hint="eastAsia" w:hAnsi="宋体" w:cs="宋体"/>
          <w:b/>
          <w:color w:val="auto"/>
          <w:sz w:val="32"/>
          <w:szCs w:val="32"/>
        </w:rPr>
        <w:t>2. 发包人义务</w:t>
      </w:r>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78E62CB3">
      <w:pPr>
        <w:pStyle w:val="180"/>
        <w:spacing w:after="0" w:line="400" w:lineRule="exact"/>
        <w:ind w:firstLine="562"/>
        <w:jc w:val="both"/>
        <w:rPr>
          <w:rFonts w:hAnsi="宋体" w:cs="宋体"/>
          <w:b/>
          <w:color w:val="auto"/>
        </w:rPr>
      </w:pPr>
      <w:r>
        <w:rPr>
          <w:rFonts w:hint="eastAsia" w:hAnsi="宋体" w:cs="宋体"/>
          <w:b/>
          <w:color w:val="auto"/>
        </w:rPr>
        <w:t>2.1 遵守法律</w:t>
      </w:r>
    </w:p>
    <w:p w14:paraId="1265B6E6">
      <w:pPr>
        <w:pStyle w:val="87"/>
        <w:spacing w:line="400" w:lineRule="exact"/>
        <w:ind w:firstLine="540" w:firstLineChars="225"/>
        <w:jc w:val="both"/>
        <w:rPr>
          <w:rFonts w:hAnsi="宋体"/>
          <w:color w:val="auto"/>
        </w:rPr>
      </w:pPr>
      <w:r>
        <w:rPr>
          <w:rFonts w:hint="eastAsia" w:hAnsi="宋体"/>
          <w:color w:val="auto"/>
        </w:rPr>
        <w:t>发包人在履行合同过程中应遵守法律，并保证承包人免于承担因发包人违反法律而引起的任何责任。</w:t>
      </w:r>
    </w:p>
    <w:p w14:paraId="4012C9EC">
      <w:pPr>
        <w:pStyle w:val="180"/>
        <w:spacing w:after="0" w:line="400" w:lineRule="exact"/>
        <w:ind w:firstLine="562"/>
        <w:jc w:val="both"/>
        <w:rPr>
          <w:rFonts w:hAnsi="宋体" w:cs="宋体"/>
          <w:b/>
          <w:color w:val="auto"/>
        </w:rPr>
      </w:pPr>
      <w:r>
        <w:rPr>
          <w:rFonts w:hint="eastAsia" w:hAnsi="宋体" w:cs="宋体"/>
          <w:b/>
          <w:color w:val="auto"/>
        </w:rPr>
        <w:t>2.2 发出开工通知</w:t>
      </w:r>
    </w:p>
    <w:p w14:paraId="34C09C2D">
      <w:pPr>
        <w:pStyle w:val="87"/>
        <w:spacing w:line="400" w:lineRule="exact"/>
        <w:ind w:firstLine="540" w:firstLineChars="225"/>
        <w:jc w:val="both"/>
        <w:rPr>
          <w:rFonts w:hAnsi="宋体"/>
          <w:color w:val="auto"/>
        </w:rPr>
      </w:pPr>
      <w:r>
        <w:rPr>
          <w:rFonts w:hint="eastAsia" w:hAnsi="宋体"/>
          <w:color w:val="auto"/>
        </w:rPr>
        <w:t>发包人应委托监理人按第11.1款的约定向承包人发出开工通知。</w:t>
      </w:r>
    </w:p>
    <w:p w14:paraId="3AA5477F">
      <w:pPr>
        <w:pStyle w:val="180"/>
        <w:spacing w:after="0" w:line="400" w:lineRule="exact"/>
        <w:ind w:firstLine="562"/>
        <w:jc w:val="both"/>
        <w:rPr>
          <w:rFonts w:hAnsi="宋体" w:cs="宋体"/>
          <w:b/>
          <w:color w:val="auto"/>
        </w:rPr>
      </w:pPr>
      <w:r>
        <w:rPr>
          <w:rFonts w:hint="eastAsia" w:hAnsi="宋体" w:cs="宋体"/>
          <w:b/>
          <w:color w:val="auto"/>
        </w:rPr>
        <w:t>2.3 提供施工场地</w:t>
      </w:r>
    </w:p>
    <w:p w14:paraId="453A8705">
      <w:pPr>
        <w:pStyle w:val="25"/>
        <w:spacing w:line="400" w:lineRule="exact"/>
        <w:ind w:firstLine="630" w:firstLineChars="225"/>
        <w:rPr>
          <w:rFonts w:hAnsi="宋体" w:cs="宋体"/>
          <w:color w:val="auto"/>
        </w:rPr>
      </w:pPr>
      <w:r>
        <w:rPr>
          <w:rFonts w:hint="eastAsia" w:hAnsi="宋体" w:cs="宋体"/>
          <w:color w:val="auto"/>
        </w:rPr>
        <w:t>2.3.1 发包人应在合同双方签订合同协议书后的14天内，将本合同工程的施工场地范围图提交给承包人。发包人提供的施工场地范围图应标明场地范围内永久占地与临时占地的范围和界限，以及指明提供给承包人用于施工场地布置的范围和界限及其有关资料。</w:t>
      </w:r>
    </w:p>
    <w:p w14:paraId="1DF6EF70">
      <w:pPr>
        <w:pStyle w:val="25"/>
        <w:spacing w:line="400" w:lineRule="exact"/>
        <w:ind w:firstLine="560"/>
        <w:rPr>
          <w:rFonts w:hAnsi="宋体" w:cs="宋体"/>
          <w:color w:val="auto"/>
        </w:rPr>
      </w:pPr>
      <w:r>
        <w:rPr>
          <w:rFonts w:hint="eastAsia" w:hAnsi="宋体" w:cs="宋体"/>
          <w:color w:val="auto"/>
        </w:rPr>
        <w:t xml:space="preserve">    2.3.2 发包人提供的施工用地范围在专用合同条款中约定。</w:t>
      </w:r>
    </w:p>
    <w:p w14:paraId="79EC8642">
      <w:pPr>
        <w:pStyle w:val="87"/>
        <w:spacing w:line="400" w:lineRule="exact"/>
        <w:ind w:firstLine="540" w:firstLineChars="225"/>
        <w:jc w:val="both"/>
        <w:rPr>
          <w:rFonts w:hAnsi="宋体"/>
          <w:color w:val="auto"/>
        </w:rPr>
      </w:pPr>
      <w:r>
        <w:rPr>
          <w:rFonts w:hint="eastAsia" w:hAnsi="宋体"/>
          <w:color w:val="auto"/>
        </w:rPr>
        <w:t>2.3.3 除专用合同条款另有约定外，发包人应按技术标准和要求(合同技术条款)的约定，向承包人提供施工场地内的工程地质图纸和报告，以及地下障碍物图纸等施工场地有关资料，并保证资料的真实、准确、完整。</w:t>
      </w:r>
    </w:p>
    <w:p w14:paraId="34EFB603">
      <w:pPr>
        <w:pStyle w:val="180"/>
        <w:spacing w:after="0" w:line="400" w:lineRule="exact"/>
        <w:ind w:firstLine="562"/>
        <w:jc w:val="both"/>
        <w:rPr>
          <w:rFonts w:hAnsi="宋体" w:cs="宋体"/>
          <w:b/>
          <w:color w:val="auto"/>
        </w:rPr>
      </w:pPr>
      <w:r>
        <w:rPr>
          <w:rFonts w:hint="eastAsia" w:hAnsi="宋体" w:cs="宋体"/>
          <w:b/>
          <w:color w:val="auto"/>
        </w:rPr>
        <w:t>2.4 协助承包人办理证件和批件</w:t>
      </w:r>
    </w:p>
    <w:p w14:paraId="02E9B58B">
      <w:pPr>
        <w:pStyle w:val="175"/>
        <w:spacing w:after="0" w:line="400" w:lineRule="exact"/>
        <w:ind w:left="420" w:firstLine="361"/>
        <w:jc w:val="both"/>
        <w:rPr>
          <w:rFonts w:hAnsi="宋体" w:cs="宋体"/>
          <w:color w:val="auto"/>
        </w:rPr>
      </w:pPr>
      <w:r>
        <w:rPr>
          <w:rFonts w:hint="eastAsia" w:hAnsi="宋体" w:cs="宋体"/>
          <w:color w:val="auto"/>
        </w:rPr>
        <w:t>发包人应协助承包人办理法律规定的有关施工证件和批件。</w:t>
      </w:r>
    </w:p>
    <w:p w14:paraId="357CBA57">
      <w:pPr>
        <w:pStyle w:val="180"/>
        <w:spacing w:after="0" w:line="400" w:lineRule="exact"/>
        <w:ind w:firstLine="562"/>
        <w:jc w:val="both"/>
        <w:rPr>
          <w:rFonts w:hAnsi="宋体" w:cs="宋体"/>
          <w:b/>
          <w:color w:val="auto"/>
        </w:rPr>
      </w:pPr>
      <w:r>
        <w:rPr>
          <w:rFonts w:hint="eastAsia" w:hAnsi="宋体" w:cs="宋体"/>
          <w:b/>
          <w:color w:val="auto"/>
        </w:rPr>
        <w:t>2.5 组织设计交底</w:t>
      </w:r>
    </w:p>
    <w:p w14:paraId="063F2A50">
      <w:pPr>
        <w:pStyle w:val="87"/>
        <w:spacing w:line="400" w:lineRule="exact"/>
        <w:ind w:firstLine="540" w:firstLineChars="225"/>
        <w:jc w:val="both"/>
        <w:rPr>
          <w:rFonts w:hAnsi="宋体"/>
          <w:color w:val="auto"/>
        </w:rPr>
      </w:pPr>
      <w:r>
        <w:rPr>
          <w:rFonts w:hint="eastAsia" w:hAnsi="宋体"/>
          <w:color w:val="auto"/>
        </w:rPr>
        <w:t>发包人应根据合同进度计划，组织设计单位向承包人进行设计交底。</w:t>
      </w:r>
    </w:p>
    <w:p w14:paraId="687B40A7">
      <w:pPr>
        <w:pStyle w:val="180"/>
        <w:spacing w:after="0" w:line="400" w:lineRule="exact"/>
        <w:ind w:firstLine="562"/>
        <w:jc w:val="both"/>
        <w:rPr>
          <w:rFonts w:hAnsi="宋体" w:cs="宋体"/>
          <w:b/>
          <w:color w:val="auto"/>
        </w:rPr>
      </w:pPr>
      <w:r>
        <w:rPr>
          <w:rFonts w:hint="eastAsia" w:hAnsi="宋体" w:cs="宋体"/>
          <w:b/>
          <w:color w:val="auto"/>
        </w:rPr>
        <w:t>2.6 支付合同价款</w:t>
      </w:r>
    </w:p>
    <w:p w14:paraId="31E5036B">
      <w:pPr>
        <w:pStyle w:val="87"/>
        <w:spacing w:line="400" w:lineRule="exact"/>
        <w:ind w:firstLine="540" w:firstLineChars="225"/>
        <w:jc w:val="both"/>
        <w:rPr>
          <w:rFonts w:hAnsi="宋体"/>
          <w:color w:val="auto"/>
        </w:rPr>
      </w:pPr>
      <w:r>
        <w:rPr>
          <w:rFonts w:hint="eastAsia" w:hAnsi="宋体"/>
          <w:color w:val="auto"/>
        </w:rPr>
        <w:t>发包人应按合同约定向承包人及时支付合同价款。</w:t>
      </w:r>
    </w:p>
    <w:p w14:paraId="12C41650">
      <w:pPr>
        <w:pStyle w:val="180"/>
        <w:spacing w:after="0" w:line="400" w:lineRule="exact"/>
        <w:ind w:firstLine="562"/>
        <w:jc w:val="both"/>
        <w:rPr>
          <w:rFonts w:hAnsi="宋体" w:cs="宋体"/>
          <w:b/>
          <w:color w:val="auto"/>
        </w:rPr>
      </w:pPr>
      <w:r>
        <w:rPr>
          <w:rFonts w:hint="eastAsia" w:hAnsi="宋体" w:cs="宋体"/>
          <w:b/>
          <w:color w:val="auto"/>
        </w:rPr>
        <w:t>2.7 组织竣工验收（组织法人验收）</w:t>
      </w:r>
    </w:p>
    <w:p w14:paraId="4118E511">
      <w:pPr>
        <w:pStyle w:val="87"/>
        <w:spacing w:line="400" w:lineRule="exact"/>
        <w:ind w:firstLine="540" w:firstLineChars="225"/>
        <w:jc w:val="both"/>
        <w:rPr>
          <w:rFonts w:hAnsi="宋体"/>
          <w:color w:val="auto"/>
        </w:rPr>
      </w:pPr>
      <w:r>
        <w:rPr>
          <w:rFonts w:hint="eastAsia" w:hAnsi="宋体"/>
          <w:color w:val="auto"/>
        </w:rPr>
        <w:t>发包人应按合同约定及时组织法人验收。</w:t>
      </w:r>
    </w:p>
    <w:p w14:paraId="0B056ABE">
      <w:pPr>
        <w:pStyle w:val="180"/>
        <w:spacing w:after="0" w:line="400" w:lineRule="exact"/>
        <w:ind w:firstLine="562"/>
        <w:jc w:val="both"/>
        <w:rPr>
          <w:rFonts w:hAnsi="宋体" w:cs="宋体"/>
          <w:b/>
          <w:color w:val="auto"/>
        </w:rPr>
      </w:pPr>
      <w:r>
        <w:rPr>
          <w:rFonts w:hint="eastAsia" w:hAnsi="宋体" w:cs="宋体"/>
          <w:b/>
          <w:color w:val="auto"/>
        </w:rPr>
        <w:t>2.8 其他义务</w:t>
      </w:r>
    </w:p>
    <w:p w14:paraId="23DE86B8">
      <w:pPr>
        <w:pStyle w:val="87"/>
        <w:spacing w:line="400" w:lineRule="exact"/>
        <w:ind w:firstLine="540" w:firstLineChars="225"/>
        <w:jc w:val="both"/>
        <w:rPr>
          <w:rFonts w:hAnsi="宋体"/>
          <w:color w:val="auto"/>
        </w:rPr>
      </w:pPr>
      <w:r>
        <w:rPr>
          <w:rFonts w:hint="eastAsia" w:hAnsi="宋体"/>
          <w:color w:val="auto"/>
        </w:rPr>
        <w:t>其他义务在专用合同条款中补充约定。</w:t>
      </w:r>
    </w:p>
    <w:p w14:paraId="52F4CEC6">
      <w:pPr>
        <w:pStyle w:val="180"/>
        <w:spacing w:before="100" w:after="100" w:line="400" w:lineRule="exact"/>
        <w:ind w:firstLine="643"/>
        <w:jc w:val="both"/>
        <w:rPr>
          <w:rFonts w:hAnsi="宋体" w:cs="宋体"/>
          <w:b/>
          <w:color w:val="auto"/>
          <w:sz w:val="32"/>
          <w:szCs w:val="32"/>
        </w:rPr>
      </w:pPr>
      <w:bookmarkStart w:id="126" w:name="_Toc389226390"/>
      <w:bookmarkStart w:id="127" w:name="_Toc260229968"/>
      <w:bookmarkStart w:id="128" w:name="_Toc214355666"/>
      <w:bookmarkStart w:id="129" w:name="_Toc260230295"/>
      <w:bookmarkStart w:id="130" w:name="_Toc215805046"/>
      <w:bookmarkStart w:id="131" w:name="_Toc453768093"/>
      <w:bookmarkStart w:id="132" w:name="_Toc388633670"/>
      <w:bookmarkStart w:id="133" w:name="_Toc257202828"/>
      <w:bookmarkStart w:id="134" w:name="_Toc436998781"/>
      <w:bookmarkStart w:id="135" w:name="_Toc504565682"/>
      <w:bookmarkStart w:id="136" w:name="_Toc371937187"/>
      <w:bookmarkStart w:id="137" w:name="_Toc436133231"/>
      <w:bookmarkStart w:id="138" w:name="_Toc211175327"/>
      <w:bookmarkStart w:id="139" w:name="_Toc208734403"/>
      <w:bookmarkStart w:id="140" w:name="_Toc477164655"/>
      <w:bookmarkStart w:id="141" w:name="_Toc249848945"/>
      <w:bookmarkStart w:id="142" w:name="_Toc187845995"/>
      <w:bookmarkStart w:id="143" w:name="_Toc255741924"/>
      <w:bookmarkStart w:id="144" w:name="_Toc254774404"/>
      <w:bookmarkStart w:id="145" w:name="_Toc215556185"/>
      <w:bookmarkStart w:id="146" w:name="_Toc340222898"/>
      <w:bookmarkStart w:id="147" w:name="_Toc306293159"/>
      <w:bookmarkStart w:id="148" w:name="_Toc255470260"/>
      <w:bookmarkStart w:id="149" w:name="_Toc351898540"/>
      <w:bookmarkStart w:id="150" w:name="_Toc248294416"/>
      <w:bookmarkStart w:id="151" w:name="_Toc452986495"/>
      <w:bookmarkStart w:id="152" w:name="_Toc368145479"/>
      <w:bookmarkStart w:id="153" w:name="_Toc476231294"/>
      <w:bookmarkStart w:id="154" w:name="_Toc340436788"/>
      <w:bookmarkStart w:id="155" w:name="_Toc227658493"/>
      <w:bookmarkStart w:id="156" w:name="_Toc209862325"/>
      <w:bookmarkStart w:id="157" w:name="_Toc504565795"/>
      <w:bookmarkStart w:id="158" w:name="_Toc510197605"/>
      <w:bookmarkStart w:id="159" w:name="_Toc338778035"/>
      <w:bookmarkStart w:id="160" w:name="_Toc215561203"/>
      <w:bookmarkStart w:id="161" w:name="_Toc219172332"/>
      <w:bookmarkStart w:id="162" w:name="_Toc439772694"/>
      <w:bookmarkStart w:id="163" w:name="_Toc222804519"/>
      <w:bookmarkStart w:id="164" w:name="_Toc206830016"/>
      <w:bookmarkStart w:id="165" w:name="_Toc458599271"/>
      <w:bookmarkStart w:id="166" w:name="_Toc436309940"/>
      <w:bookmarkStart w:id="167" w:name="_Toc3036"/>
      <w:bookmarkStart w:id="168" w:name="_Toc449111921"/>
      <w:bookmarkStart w:id="169" w:name="_Toc445105530"/>
      <w:bookmarkStart w:id="170" w:name="_Toc436309588"/>
      <w:bookmarkStart w:id="171" w:name="_Toc450123127"/>
      <w:bookmarkStart w:id="172" w:name="_Toc260649023"/>
      <w:bookmarkStart w:id="173" w:name="_Toc450123361"/>
      <w:bookmarkStart w:id="174" w:name="_Toc342046309"/>
      <w:bookmarkStart w:id="175" w:name="_Toc460581173"/>
      <w:bookmarkStart w:id="176" w:name="_Toc274500891"/>
      <w:bookmarkStart w:id="177" w:name="_Toc187475835"/>
      <w:bookmarkStart w:id="178" w:name="_Toc195864490"/>
      <w:bookmarkStart w:id="179" w:name="_Toc245110733"/>
      <w:bookmarkStart w:id="180" w:name="_Toc305763049"/>
      <w:bookmarkStart w:id="181" w:name="_Toc510197467"/>
      <w:bookmarkStart w:id="182" w:name="_Toc270517137"/>
      <w:bookmarkStart w:id="183" w:name="_Toc350857422"/>
      <w:bookmarkStart w:id="184" w:name="_Toc255470037"/>
      <w:bookmarkStart w:id="185" w:name="_Toc12808"/>
      <w:r>
        <w:rPr>
          <w:rFonts w:hint="eastAsia" w:hAnsi="宋体" w:cs="宋体"/>
          <w:b/>
          <w:color w:val="auto"/>
          <w:sz w:val="32"/>
          <w:szCs w:val="32"/>
        </w:rPr>
        <w:t>3. 监理人</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p>
    <w:p w14:paraId="6E705CC9">
      <w:pPr>
        <w:pStyle w:val="180"/>
        <w:spacing w:after="0" w:line="400" w:lineRule="exact"/>
        <w:ind w:firstLine="562"/>
        <w:jc w:val="both"/>
        <w:rPr>
          <w:rFonts w:hAnsi="宋体" w:cs="宋体"/>
          <w:b/>
          <w:color w:val="auto"/>
        </w:rPr>
      </w:pPr>
      <w:r>
        <w:rPr>
          <w:rFonts w:hint="eastAsia" w:hAnsi="宋体" w:cs="宋体"/>
          <w:b/>
          <w:color w:val="auto"/>
        </w:rPr>
        <w:t>3.1 监理人的职责和权力</w:t>
      </w:r>
    </w:p>
    <w:p w14:paraId="03B0E369">
      <w:pPr>
        <w:pStyle w:val="87"/>
        <w:spacing w:line="400" w:lineRule="exact"/>
        <w:ind w:firstLine="540" w:firstLineChars="225"/>
        <w:jc w:val="both"/>
        <w:rPr>
          <w:rFonts w:hAnsi="宋体"/>
          <w:color w:val="auto"/>
        </w:rPr>
      </w:pPr>
      <w:r>
        <w:rPr>
          <w:rFonts w:hint="eastAsia" w:hAnsi="宋体"/>
          <w:color w:val="auto"/>
        </w:rPr>
        <w:t>3.1.1监理人受发包人的委托，享有合同约定的权力。监理人的权力范围在专用合同条款中明确。当监理人认为出现了危及生命、工程或毗邻财产等安全的紧急事件时，在不免除合同约定的承包人责任的情况下，监理人可以指示承包人实施为消除或减少这种危险所必须进行的工作，即使没有发包人的事先批准，承包人也应立即遵照执行。监理人应按第15条的约定增加相应的费用，并通知承包人。</w:t>
      </w:r>
    </w:p>
    <w:p w14:paraId="3D6D7113">
      <w:pPr>
        <w:pStyle w:val="87"/>
        <w:spacing w:line="400" w:lineRule="exact"/>
        <w:ind w:firstLine="540" w:firstLineChars="225"/>
        <w:jc w:val="both"/>
        <w:rPr>
          <w:rFonts w:hAnsi="宋体"/>
          <w:color w:val="auto"/>
        </w:rPr>
      </w:pPr>
      <w:r>
        <w:rPr>
          <w:rFonts w:hint="eastAsia" w:hAnsi="宋体"/>
          <w:color w:val="auto"/>
        </w:rPr>
        <w:t>3.1.2 监理人发出的任何指示应视为已得到发包人的批准，但监理人无权免除或变更合同约定的发包人和承包人的权利、义务和责任。</w:t>
      </w:r>
    </w:p>
    <w:p w14:paraId="6CA7C180">
      <w:pPr>
        <w:pStyle w:val="87"/>
        <w:spacing w:line="400" w:lineRule="exact"/>
        <w:ind w:firstLine="540" w:firstLineChars="225"/>
        <w:jc w:val="both"/>
        <w:rPr>
          <w:rFonts w:hAnsi="宋体"/>
          <w:color w:val="auto"/>
        </w:rPr>
      </w:pPr>
      <w:r>
        <w:rPr>
          <w:rFonts w:hint="eastAsia" w:hAnsi="宋体"/>
          <w:color w:val="auto"/>
        </w:rPr>
        <w:t>3.1.3 合同约定应由承包人承担的义务和责任，不因监理人对承包人提交文件的审查或批准，对工程、材料和设备的检查和检验，以及为实施监理作出的指示等职务行为而减轻或解除。</w:t>
      </w:r>
    </w:p>
    <w:p w14:paraId="2E81B013">
      <w:pPr>
        <w:pStyle w:val="180"/>
        <w:spacing w:after="0" w:line="400" w:lineRule="exact"/>
        <w:ind w:firstLine="562"/>
        <w:jc w:val="both"/>
        <w:rPr>
          <w:rFonts w:hAnsi="宋体" w:cs="宋体"/>
          <w:b/>
          <w:color w:val="auto"/>
        </w:rPr>
      </w:pPr>
      <w:r>
        <w:rPr>
          <w:rFonts w:hint="eastAsia" w:hAnsi="宋体" w:cs="宋体"/>
          <w:b/>
          <w:color w:val="auto"/>
        </w:rPr>
        <w:t>3.2 总监理工程师</w:t>
      </w:r>
    </w:p>
    <w:p w14:paraId="48033E5F">
      <w:pPr>
        <w:pStyle w:val="87"/>
        <w:spacing w:line="400" w:lineRule="exact"/>
        <w:ind w:firstLine="540" w:firstLineChars="225"/>
        <w:jc w:val="both"/>
        <w:rPr>
          <w:rFonts w:hAnsi="宋体"/>
          <w:color w:val="auto"/>
        </w:rPr>
      </w:pPr>
      <w:r>
        <w:rPr>
          <w:rFonts w:hint="eastAsia" w:hAnsi="宋体"/>
          <w:color w:val="auto"/>
        </w:rPr>
        <w:t>发包人应在发出开工通知前将总监理工程师的任命通知承包人。总监理工程师更换时，应在调离14天前通知承包人。总监理工程师短期离开施工场地的，应委派代表代行其职责，并通知承包人。</w:t>
      </w:r>
    </w:p>
    <w:p w14:paraId="280D7E70">
      <w:pPr>
        <w:pStyle w:val="180"/>
        <w:spacing w:after="0" w:line="400" w:lineRule="exact"/>
        <w:ind w:firstLine="562"/>
        <w:jc w:val="both"/>
        <w:rPr>
          <w:rFonts w:hAnsi="宋体" w:cs="宋体"/>
          <w:b/>
          <w:color w:val="auto"/>
        </w:rPr>
      </w:pPr>
      <w:r>
        <w:rPr>
          <w:rFonts w:hint="eastAsia" w:hAnsi="宋体" w:cs="宋体"/>
          <w:b/>
          <w:color w:val="auto"/>
        </w:rPr>
        <w:t>3.3 监理人员</w:t>
      </w:r>
    </w:p>
    <w:p w14:paraId="125D9B7B">
      <w:pPr>
        <w:pStyle w:val="87"/>
        <w:spacing w:line="400" w:lineRule="exact"/>
        <w:ind w:firstLine="540" w:firstLineChars="225"/>
        <w:jc w:val="both"/>
        <w:rPr>
          <w:rFonts w:hAnsi="宋体"/>
          <w:color w:val="auto"/>
        </w:rPr>
      </w:pPr>
      <w:r>
        <w:rPr>
          <w:rFonts w:hint="eastAsia" w:hAnsi="宋体"/>
          <w:color w:val="auto"/>
        </w:rPr>
        <w:t>3.3.1 总监理工程师可以授权其他监理人员负责执行其指派的一项或多项监理工作。总监理工程师应将被授权监理人员的姓名及其授权范围通知承包人。被授权的监理人员在授权范围内发出的指示视为已得到总监理工程师的同意，与总监理工程师发出的指示具有同等效力。总监理工程师撤销某项授权时，应将撤销授权的决定及时通知承包人。</w:t>
      </w:r>
    </w:p>
    <w:p w14:paraId="788C7964">
      <w:pPr>
        <w:pStyle w:val="87"/>
        <w:spacing w:line="400" w:lineRule="exact"/>
        <w:ind w:firstLine="540" w:firstLineChars="225"/>
        <w:jc w:val="both"/>
        <w:rPr>
          <w:rFonts w:hAnsi="宋体"/>
          <w:color w:val="auto"/>
        </w:rPr>
      </w:pPr>
      <w:r>
        <w:rPr>
          <w:rFonts w:hint="eastAsia" w:hAnsi="宋体"/>
          <w:color w:val="auto"/>
        </w:rPr>
        <w:t>3.3.2 监理人员对承包人的任何工作、工程或其采用的材料和工程设备未在约定的或合理的期限内提出否定意见的，视为已获批准，但不影响监理人在以后拒绝该项工作、工程、材料或工程设备的权利。</w:t>
      </w:r>
    </w:p>
    <w:p w14:paraId="43CAFB92">
      <w:pPr>
        <w:pStyle w:val="87"/>
        <w:spacing w:line="400" w:lineRule="exact"/>
        <w:ind w:firstLine="540" w:firstLineChars="225"/>
        <w:jc w:val="both"/>
        <w:rPr>
          <w:rFonts w:hAnsi="宋体"/>
          <w:color w:val="auto"/>
        </w:rPr>
      </w:pPr>
      <w:r>
        <w:rPr>
          <w:rFonts w:hint="eastAsia" w:hAnsi="宋体"/>
          <w:color w:val="auto"/>
        </w:rPr>
        <w:t>3.3.3 承包人对总监理工程师授权的监理人员发出的指示有疑问的，可向总监理工程师提出书面异议，总监理工程师应在48 小时内对该指示予以确认、更改或撤销。</w:t>
      </w:r>
    </w:p>
    <w:p w14:paraId="0D57C581">
      <w:pPr>
        <w:pStyle w:val="87"/>
        <w:spacing w:line="400" w:lineRule="exact"/>
        <w:ind w:firstLine="540" w:firstLineChars="225"/>
        <w:jc w:val="both"/>
        <w:rPr>
          <w:rFonts w:hAnsi="宋体"/>
          <w:color w:val="auto"/>
        </w:rPr>
      </w:pPr>
      <w:r>
        <w:rPr>
          <w:rFonts w:hint="eastAsia" w:hAnsi="宋体"/>
          <w:color w:val="auto"/>
        </w:rPr>
        <w:t>3.3.4 除专用合同条款另有约定外，总监理工程师不应将第3.5 款约定应由总监理工程师作出确定的权力授权或委托给其他监理人员。</w:t>
      </w:r>
    </w:p>
    <w:p w14:paraId="0BE9102C">
      <w:pPr>
        <w:pStyle w:val="180"/>
        <w:spacing w:after="0" w:line="400" w:lineRule="exact"/>
        <w:ind w:firstLine="562"/>
        <w:jc w:val="both"/>
        <w:rPr>
          <w:rFonts w:hAnsi="宋体" w:cs="宋体"/>
          <w:b/>
          <w:color w:val="auto"/>
        </w:rPr>
      </w:pPr>
      <w:r>
        <w:rPr>
          <w:rFonts w:hint="eastAsia" w:hAnsi="宋体" w:cs="宋体"/>
          <w:b/>
          <w:color w:val="auto"/>
        </w:rPr>
        <w:t>3.4 监理人的指示</w:t>
      </w:r>
    </w:p>
    <w:p w14:paraId="089D2E4D">
      <w:pPr>
        <w:pStyle w:val="87"/>
        <w:spacing w:line="400" w:lineRule="exact"/>
        <w:ind w:firstLine="540" w:firstLineChars="225"/>
        <w:jc w:val="both"/>
        <w:rPr>
          <w:rFonts w:hAnsi="宋体"/>
          <w:color w:val="auto"/>
        </w:rPr>
      </w:pPr>
      <w:r>
        <w:rPr>
          <w:rFonts w:hint="eastAsia" w:hAnsi="宋体"/>
          <w:color w:val="auto"/>
        </w:rPr>
        <w:t>3.4.1 监理人应按第3.1 款的约定向承包人发出指示，监理人的指示应盖有监理人授权的施工场地机构章，并由总监理工程师或总监理工程师按第3.3.1 项约定授权的监理人员签字。</w:t>
      </w:r>
    </w:p>
    <w:p w14:paraId="7B7C6E89">
      <w:pPr>
        <w:pStyle w:val="87"/>
        <w:spacing w:line="400" w:lineRule="exact"/>
        <w:ind w:firstLine="540" w:firstLineChars="225"/>
        <w:jc w:val="both"/>
        <w:rPr>
          <w:rFonts w:hAnsi="宋体"/>
          <w:color w:val="auto"/>
        </w:rPr>
      </w:pPr>
      <w:r>
        <w:rPr>
          <w:rFonts w:hint="eastAsia" w:hAnsi="宋体"/>
          <w:color w:val="auto"/>
        </w:rPr>
        <w:t>3.4.2 承包人收到监理人按第3.4.1 项作出的指示后应遵照执行。指示构成变更的，应按第15 条处理。</w:t>
      </w:r>
    </w:p>
    <w:p w14:paraId="4B96F871">
      <w:pPr>
        <w:pStyle w:val="87"/>
        <w:spacing w:line="400" w:lineRule="exact"/>
        <w:ind w:firstLine="540" w:firstLineChars="225"/>
        <w:jc w:val="both"/>
        <w:rPr>
          <w:rFonts w:hAnsi="宋体"/>
          <w:color w:val="auto"/>
        </w:rPr>
      </w:pPr>
      <w:r>
        <w:rPr>
          <w:rFonts w:hint="eastAsia" w:hAnsi="宋体"/>
          <w:color w:val="auto"/>
        </w:rPr>
        <w:t>3.4.3 在紧急情况下，总监理工程师或被授权的监理人员可以当场签发临时书面指示，承包人应遵照执行。承包人应在收到上述临时书面指示后24 小时内，向监理人发出书面确认函。监理人在收到书面确认函后24 小时内未予答复的，该书面确认函应被视为监理人的正式指示。</w:t>
      </w:r>
    </w:p>
    <w:p w14:paraId="2B6F6824">
      <w:pPr>
        <w:pStyle w:val="87"/>
        <w:spacing w:line="400" w:lineRule="exact"/>
        <w:ind w:firstLine="540" w:firstLineChars="225"/>
        <w:jc w:val="both"/>
        <w:rPr>
          <w:rFonts w:hAnsi="宋体"/>
          <w:color w:val="auto"/>
        </w:rPr>
      </w:pPr>
      <w:r>
        <w:rPr>
          <w:rFonts w:hint="eastAsia" w:hAnsi="宋体"/>
          <w:color w:val="auto"/>
        </w:rPr>
        <w:t>3.4.4 除合同另有约定外，承包人只从总监理工程师或按第3.3.1 项被授权的监理人员处取得指示。</w:t>
      </w:r>
    </w:p>
    <w:p w14:paraId="76731C58">
      <w:pPr>
        <w:pStyle w:val="87"/>
        <w:spacing w:line="400" w:lineRule="exact"/>
        <w:ind w:firstLine="540" w:firstLineChars="225"/>
        <w:jc w:val="both"/>
        <w:rPr>
          <w:rFonts w:hAnsi="宋体"/>
          <w:color w:val="auto"/>
        </w:rPr>
      </w:pPr>
      <w:r>
        <w:rPr>
          <w:rFonts w:hint="eastAsia" w:hAnsi="宋体"/>
          <w:color w:val="auto"/>
        </w:rPr>
        <w:t>3.4.5 由于监理人未能按合同约定发出指示、指示延误或指示错误而导致承包人费用增加和（或）工期延误的，由发包人承担赔偿责任。</w:t>
      </w:r>
    </w:p>
    <w:p w14:paraId="484D31BD">
      <w:pPr>
        <w:pStyle w:val="180"/>
        <w:spacing w:after="0" w:line="400" w:lineRule="exact"/>
        <w:ind w:firstLine="562"/>
        <w:jc w:val="both"/>
        <w:rPr>
          <w:rFonts w:hAnsi="宋体" w:cs="宋体"/>
          <w:b/>
          <w:color w:val="auto"/>
        </w:rPr>
      </w:pPr>
      <w:r>
        <w:rPr>
          <w:rFonts w:hint="eastAsia" w:hAnsi="宋体" w:cs="宋体"/>
          <w:b/>
          <w:color w:val="auto"/>
        </w:rPr>
        <w:t>3.5 商定或确定</w:t>
      </w:r>
    </w:p>
    <w:p w14:paraId="18CF0A84">
      <w:pPr>
        <w:pStyle w:val="87"/>
        <w:spacing w:line="400" w:lineRule="exact"/>
        <w:ind w:firstLine="540" w:firstLineChars="225"/>
        <w:jc w:val="both"/>
        <w:rPr>
          <w:rFonts w:hAnsi="宋体"/>
          <w:color w:val="auto"/>
        </w:rPr>
      </w:pPr>
      <w:r>
        <w:rPr>
          <w:rFonts w:hint="eastAsia" w:hAnsi="宋体"/>
          <w:color w:val="auto"/>
        </w:rPr>
        <w:t>3.5.1 合同约定总监理工程师应按照本款对任何事项进行商定或确定时，总监理工程师应与合同当事人协商，尽量达成一致。不能达成一致的，总监理工程师应认真研究后审慎确定。</w:t>
      </w:r>
    </w:p>
    <w:p w14:paraId="6695C505">
      <w:pPr>
        <w:pStyle w:val="87"/>
        <w:spacing w:line="400" w:lineRule="exact"/>
        <w:ind w:firstLine="540" w:firstLineChars="225"/>
        <w:jc w:val="both"/>
        <w:rPr>
          <w:rFonts w:hAnsi="宋体"/>
          <w:color w:val="auto"/>
        </w:rPr>
      </w:pPr>
      <w:r>
        <w:rPr>
          <w:rFonts w:hint="eastAsia" w:hAnsi="宋体"/>
          <w:color w:val="auto"/>
        </w:rPr>
        <w:t>3.5.2 总监理工程师应将商定或确定的事项通知合同当事人，并附详细依据。对总监理工程师的确定有异议的，构成争议，按照第24 条的约定处理。在争议解决前，双方应暂按总监理工程师的确定执行，按照第24 条的约定对总监理工程师的确定作出修改的，按修改后的结果执行。</w:t>
      </w:r>
    </w:p>
    <w:p w14:paraId="37C79713">
      <w:pPr>
        <w:pStyle w:val="180"/>
        <w:spacing w:before="100" w:after="100" w:line="400" w:lineRule="exact"/>
        <w:ind w:firstLine="643"/>
        <w:jc w:val="both"/>
        <w:rPr>
          <w:rFonts w:hAnsi="宋体" w:cs="宋体"/>
          <w:b/>
          <w:color w:val="auto"/>
          <w:sz w:val="32"/>
          <w:szCs w:val="32"/>
        </w:rPr>
      </w:pPr>
      <w:bookmarkStart w:id="186" w:name="_Toc436309589"/>
      <w:bookmarkStart w:id="187" w:name="_Toc340222899"/>
      <w:bookmarkStart w:id="188" w:name="_Toc215805047"/>
      <w:bookmarkStart w:id="189" w:name="_Toc450123128"/>
      <w:bookmarkStart w:id="190" w:name="_Toc227658494"/>
      <w:bookmarkStart w:id="191" w:name="_Toc504565796"/>
      <w:bookmarkStart w:id="192" w:name="_Toc249848946"/>
      <w:bookmarkStart w:id="193" w:name="_Toc389226391"/>
      <w:bookmarkStart w:id="194" w:name="_Toc215556186"/>
      <w:bookmarkStart w:id="195" w:name="_Toc306293160"/>
      <w:bookmarkStart w:id="196" w:name="_Toc371937188"/>
      <w:bookmarkStart w:id="197" w:name="_Toc260649024"/>
      <w:bookmarkStart w:id="198" w:name="_Toc15378"/>
      <w:bookmarkStart w:id="199" w:name="_Toc270517138"/>
      <w:bookmarkStart w:id="200" w:name="_Toc187845996"/>
      <w:bookmarkStart w:id="201" w:name="_Toc187475836"/>
      <w:bookmarkStart w:id="202" w:name="_Toc340436789"/>
      <w:bookmarkStart w:id="203" w:name="_Toc439772695"/>
      <w:bookmarkStart w:id="204" w:name="_Toc460581174"/>
      <w:bookmarkStart w:id="205" w:name="_Toc453768094"/>
      <w:bookmarkStart w:id="206" w:name="_Toc222804520"/>
      <w:bookmarkStart w:id="207" w:name="_Toc255470261"/>
      <w:bookmarkStart w:id="208" w:name="_Toc255470038"/>
      <w:bookmarkStart w:id="209" w:name="_Toc260230296"/>
      <w:bookmarkStart w:id="210" w:name="_Toc350857423"/>
      <w:bookmarkStart w:id="211" w:name="_Toc436998782"/>
      <w:bookmarkStart w:id="212" w:name="_Toc351898541"/>
      <w:bookmarkStart w:id="213" w:name="_Toc436309941"/>
      <w:bookmarkStart w:id="214" w:name="_Toc214355667"/>
      <w:bookmarkStart w:id="215" w:name="_Toc195864491"/>
      <w:bookmarkStart w:id="216" w:name="_Toc305763050"/>
      <w:bookmarkStart w:id="217" w:name="_Toc368145480"/>
      <w:bookmarkStart w:id="218" w:name="_Toc211175328"/>
      <w:bookmarkStart w:id="219" w:name="_Toc449111922"/>
      <w:bookmarkStart w:id="220" w:name="_Toc23204"/>
      <w:bookmarkStart w:id="221" w:name="_Toc452986496"/>
      <w:bookmarkStart w:id="222" w:name="_Toc245110734"/>
      <w:bookmarkStart w:id="223" w:name="_Toc255741925"/>
      <w:bookmarkStart w:id="224" w:name="_Toc338778036"/>
      <w:bookmarkStart w:id="225" w:name="_Toc215561204"/>
      <w:bookmarkStart w:id="226" w:name="_Toc476231295"/>
      <w:bookmarkStart w:id="227" w:name="_Toc274500892"/>
      <w:bookmarkStart w:id="228" w:name="_Toc510197606"/>
      <w:bookmarkStart w:id="229" w:name="_Toc504565683"/>
      <w:bookmarkStart w:id="230" w:name="_Toc450123362"/>
      <w:bookmarkStart w:id="231" w:name="_Toc206830017"/>
      <w:bookmarkStart w:id="232" w:name="_Toc510197468"/>
      <w:bookmarkStart w:id="233" w:name="_Toc458599272"/>
      <w:bookmarkStart w:id="234" w:name="_Toc254774405"/>
      <w:bookmarkStart w:id="235" w:name="_Toc209862326"/>
      <w:bookmarkStart w:id="236" w:name="_Toc260229969"/>
      <w:bookmarkStart w:id="237" w:name="_Toc219172333"/>
      <w:bookmarkStart w:id="238" w:name="_Toc445105531"/>
      <w:bookmarkStart w:id="239" w:name="_Toc477164656"/>
      <w:bookmarkStart w:id="240" w:name="_Toc436133232"/>
      <w:bookmarkStart w:id="241" w:name="_Toc342046310"/>
      <w:bookmarkStart w:id="242" w:name="_Toc208734404"/>
      <w:bookmarkStart w:id="243" w:name="_Toc388633671"/>
      <w:bookmarkStart w:id="244" w:name="_Toc248294417"/>
      <w:bookmarkStart w:id="245" w:name="_Toc257202829"/>
      <w:r>
        <w:rPr>
          <w:rFonts w:hint="eastAsia" w:hAnsi="宋体" w:cs="宋体"/>
          <w:b/>
          <w:color w:val="auto"/>
          <w:sz w:val="32"/>
          <w:szCs w:val="32"/>
        </w:rPr>
        <w:t>4. 承包人</w:t>
      </w:r>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71023FCC">
      <w:pPr>
        <w:pStyle w:val="180"/>
        <w:spacing w:after="0" w:line="400" w:lineRule="exact"/>
        <w:ind w:firstLine="562"/>
        <w:jc w:val="both"/>
        <w:rPr>
          <w:rFonts w:hAnsi="宋体" w:cs="宋体"/>
          <w:b/>
          <w:color w:val="auto"/>
        </w:rPr>
      </w:pPr>
      <w:r>
        <w:rPr>
          <w:rFonts w:hint="eastAsia" w:hAnsi="宋体" w:cs="宋体"/>
          <w:b/>
          <w:color w:val="auto"/>
        </w:rPr>
        <w:t>4.1 承包人的一般义务</w:t>
      </w:r>
    </w:p>
    <w:p w14:paraId="2024F11A">
      <w:pPr>
        <w:pStyle w:val="191"/>
        <w:spacing w:line="400" w:lineRule="exact"/>
        <w:ind w:firstLine="562"/>
        <w:jc w:val="both"/>
        <w:rPr>
          <w:rFonts w:hAnsi="宋体" w:cs="宋体"/>
          <w:b/>
          <w:color w:val="auto"/>
        </w:rPr>
      </w:pPr>
      <w:r>
        <w:rPr>
          <w:rFonts w:hint="eastAsia" w:hAnsi="宋体" w:cs="宋体"/>
          <w:b/>
          <w:color w:val="auto"/>
        </w:rPr>
        <w:t>4.1.1 遵守法律</w:t>
      </w:r>
    </w:p>
    <w:p w14:paraId="532082C2">
      <w:pPr>
        <w:pStyle w:val="184"/>
        <w:spacing w:line="400" w:lineRule="exact"/>
        <w:ind w:right="100" w:firstLine="560"/>
        <w:jc w:val="both"/>
        <w:rPr>
          <w:rFonts w:hAnsi="宋体" w:cs="宋体"/>
          <w:color w:val="auto"/>
        </w:rPr>
      </w:pPr>
      <w:r>
        <w:rPr>
          <w:rFonts w:hint="eastAsia" w:hAnsi="宋体" w:cs="宋体"/>
          <w:color w:val="auto"/>
        </w:rPr>
        <w:t>承包人在履行合同过程中应遵守法律，并保证发包人免于承担因承包人违反法律而引起的任何责任。</w:t>
      </w:r>
    </w:p>
    <w:p w14:paraId="376FD3AA">
      <w:pPr>
        <w:pStyle w:val="191"/>
        <w:spacing w:line="400" w:lineRule="exact"/>
        <w:ind w:firstLine="562"/>
        <w:jc w:val="both"/>
        <w:rPr>
          <w:rFonts w:hAnsi="宋体" w:cs="宋体"/>
          <w:b/>
          <w:color w:val="auto"/>
        </w:rPr>
      </w:pPr>
      <w:r>
        <w:rPr>
          <w:rFonts w:hint="eastAsia" w:hAnsi="宋体" w:cs="宋体"/>
          <w:b/>
          <w:color w:val="auto"/>
        </w:rPr>
        <w:t>4.1.2 依法纳税</w:t>
      </w:r>
    </w:p>
    <w:p w14:paraId="0A1BEF68">
      <w:pPr>
        <w:pStyle w:val="177"/>
        <w:spacing w:line="400" w:lineRule="exact"/>
        <w:ind w:left="420" w:firstLine="440"/>
        <w:jc w:val="both"/>
        <w:rPr>
          <w:rFonts w:hAnsi="宋体" w:cs="宋体"/>
          <w:color w:val="auto"/>
        </w:rPr>
      </w:pPr>
      <w:r>
        <w:rPr>
          <w:rFonts w:hint="eastAsia" w:hAnsi="宋体" w:cs="宋体"/>
          <w:color w:val="auto"/>
        </w:rPr>
        <w:t>承包人应按有关法律规定纳税，应缴纳的税金包括在合同价格内。</w:t>
      </w:r>
    </w:p>
    <w:p w14:paraId="40CA49B8">
      <w:pPr>
        <w:pStyle w:val="191"/>
        <w:spacing w:line="400" w:lineRule="exact"/>
        <w:ind w:firstLine="562"/>
        <w:jc w:val="both"/>
        <w:rPr>
          <w:rFonts w:hAnsi="宋体" w:cs="宋体"/>
          <w:b/>
          <w:color w:val="auto"/>
        </w:rPr>
      </w:pPr>
      <w:r>
        <w:rPr>
          <w:rFonts w:hint="eastAsia" w:hAnsi="宋体" w:cs="宋体"/>
          <w:b/>
          <w:color w:val="auto"/>
        </w:rPr>
        <w:t>4.1.3 完成各项承包工作</w:t>
      </w:r>
    </w:p>
    <w:p w14:paraId="10357481">
      <w:pPr>
        <w:pStyle w:val="184"/>
        <w:spacing w:line="400" w:lineRule="exact"/>
        <w:ind w:right="100" w:firstLine="560"/>
        <w:jc w:val="both"/>
        <w:rPr>
          <w:rFonts w:hAnsi="宋体" w:cs="宋体"/>
          <w:color w:val="auto"/>
        </w:rPr>
      </w:pPr>
      <w:r>
        <w:rPr>
          <w:rFonts w:hint="eastAsia" w:hAnsi="宋体" w:cs="宋体"/>
          <w:color w:val="auto"/>
        </w:rPr>
        <w:t>承包人应按合同约定以及监理人根据第3.4款作出的指示，实施、完成全部工程，并修补工程中的任何缺陷。除第5.2款、第6.2款另有约定外，承包人应提供为完成合同工作所需的劳务、材料、施工设备、工程设备和其它物品，并按合同约定负责临时设施的设计、建造、运行、维护、管理和拆除。</w:t>
      </w:r>
    </w:p>
    <w:p w14:paraId="56123612">
      <w:pPr>
        <w:pStyle w:val="191"/>
        <w:spacing w:line="400" w:lineRule="exact"/>
        <w:ind w:firstLine="562"/>
        <w:jc w:val="both"/>
        <w:rPr>
          <w:rFonts w:hAnsi="宋体" w:cs="宋体"/>
          <w:b/>
          <w:color w:val="auto"/>
        </w:rPr>
      </w:pPr>
      <w:r>
        <w:rPr>
          <w:rFonts w:hint="eastAsia" w:hAnsi="宋体" w:cs="宋体"/>
          <w:b/>
          <w:color w:val="auto"/>
        </w:rPr>
        <w:t>4.1.4 对施工作业和施工方法的完备性负责</w:t>
      </w:r>
    </w:p>
    <w:p w14:paraId="16B210A5">
      <w:pPr>
        <w:pStyle w:val="191"/>
        <w:spacing w:line="400" w:lineRule="exact"/>
        <w:ind w:firstLine="560"/>
        <w:jc w:val="both"/>
        <w:rPr>
          <w:rFonts w:hAnsi="宋体" w:cs="宋体"/>
          <w:color w:val="auto"/>
        </w:rPr>
      </w:pPr>
      <w:r>
        <w:rPr>
          <w:rFonts w:hint="eastAsia" w:hAnsi="宋体" w:cs="宋体"/>
          <w:color w:val="auto"/>
        </w:rPr>
        <w:t>承包人应按合同约定的工作内容和施工进度要求，编制施工组织设计和施工措施计划，并对所有施工作业和施工方法的完备性和安全可靠性负责。</w:t>
      </w:r>
    </w:p>
    <w:p w14:paraId="226C6D17">
      <w:pPr>
        <w:pStyle w:val="191"/>
        <w:spacing w:line="400" w:lineRule="exact"/>
        <w:ind w:firstLine="562"/>
        <w:jc w:val="both"/>
        <w:rPr>
          <w:rFonts w:hAnsi="宋体" w:cs="宋体"/>
          <w:b/>
          <w:color w:val="auto"/>
        </w:rPr>
      </w:pPr>
      <w:r>
        <w:rPr>
          <w:rFonts w:hint="eastAsia" w:hAnsi="宋体" w:cs="宋体"/>
          <w:b/>
          <w:color w:val="auto"/>
        </w:rPr>
        <w:t>4.1.5 保证工程施工和人员的安全</w:t>
      </w:r>
    </w:p>
    <w:p w14:paraId="386AC7DB">
      <w:pPr>
        <w:pStyle w:val="184"/>
        <w:spacing w:line="400" w:lineRule="exact"/>
        <w:ind w:right="100" w:firstLine="560"/>
        <w:jc w:val="both"/>
        <w:rPr>
          <w:rFonts w:hAnsi="宋体" w:cs="宋体"/>
          <w:color w:val="auto"/>
        </w:rPr>
      </w:pPr>
      <w:r>
        <w:rPr>
          <w:rFonts w:hint="eastAsia" w:hAnsi="宋体" w:cs="宋体"/>
          <w:color w:val="auto"/>
        </w:rPr>
        <w:t>承包人应按第9.2 款约定采取施工安全措施，确保工程及其人员、材料、设备和设施的安全，防止因工程施工造成的人身伤害和财产损失。</w:t>
      </w:r>
    </w:p>
    <w:p w14:paraId="3A1C2430">
      <w:pPr>
        <w:pStyle w:val="87"/>
        <w:spacing w:line="400" w:lineRule="exact"/>
        <w:ind w:firstLine="540" w:firstLineChars="224"/>
        <w:jc w:val="both"/>
        <w:rPr>
          <w:rFonts w:hAnsi="宋体"/>
          <w:b/>
          <w:color w:val="auto"/>
        </w:rPr>
      </w:pPr>
      <w:r>
        <w:rPr>
          <w:rFonts w:hint="eastAsia" w:hAnsi="宋体"/>
          <w:b/>
          <w:color w:val="auto"/>
        </w:rPr>
        <w:t>4.1.6 负责施工场地及其周边环境与生态的保护工作</w:t>
      </w:r>
    </w:p>
    <w:p w14:paraId="3D76FCA4">
      <w:pPr>
        <w:pStyle w:val="87"/>
        <w:spacing w:line="400" w:lineRule="exact"/>
        <w:ind w:firstLine="537" w:firstLineChars="224"/>
        <w:jc w:val="both"/>
        <w:rPr>
          <w:rFonts w:hAnsi="宋体"/>
          <w:color w:val="auto"/>
        </w:rPr>
      </w:pPr>
      <w:r>
        <w:rPr>
          <w:rFonts w:hint="eastAsia" w:hAnsi="宋体"/>
          <w:color w:val="auto"/>
        </w:rPr>
        <w:t>承包人应按照第9.4 款约定负责施工场地及其周边环境与生态的保护工作。</w:t>
      </w:r>
    </w:p>
    <w:p w14:paraId="2C0F82A2">
      <w:pPr>
        <w:pStyle w:val="87"/>
        <w:spacing w:line="400" w:lineRule="exact"/>
        <w:ind w:firstLine="540" w:firstLineChars="224"/>
        <w:jc w:val="both"/>
        <w:rPr>
          <w:rFonts w:hAnsi="宋体"/>
          <w:b/>
          <w:color w:val="auto"/>
        </w:rPr>
      </w:pPr>
      <w:r>
        <w:rPr>
          <w:rFonts w:hint="eastAsia" w:hAnsi="宋体"/>
          <w:b/>
          <w:color w:val="auto"/>
        </w:rPr>
        <w:t>4.1.7 避免施工对公众与他人的利益造成损害</w:t>
      </w:r>
    </w:p>
    <w:p w14:paraId="6AE499BB">
      <w:pPr>
        <w:pStyle w:val="184"/>
        <w:spacing w:line="400" w:lineRule="exact"/>
        <w:ind w:right="100" w:firstLine="560"/>
        <w:jc w:val="both"/>
        <w:rPr>
          <w:rFonts w:hAnsi="宋体" w:cs="宋体"/>
          <w:color w:val="auto"/>
        </w:rPr>
      </w:pPr>
      <w:r>
        <w:rPr>
          <w:rFonts w:hint="eastAsia" w:hAnsi="宋体" w:cs="宋体"/>
          <w:color w:val="auto"/>
        </w:rPr>
        <w:t>承包人在进行合同约定的各项工作时，不得侵害发包人与他人使用公用道路、水源、市政管网等公共设施的权利，避免对邻近的公共设施产生干扰。承包人占用或使用他人的施工场地，影响他人作业或生活的，应承担相应责任。</w:t>
      </w:r>
    </w:p>
    <w:p w14:paraId="3E66EE6D">
      <w:pPr>
        <w:pStyle w:val="87"/>
        <w:spacing w:line="400" w:lineRule="exact"/>
        <w:ind w:firstLine="540" w:firstLineChars="224"/>
        <w:jc w:val="both"/>
        <w:rPr>
          <w:rFonts w:hAnsi="宋体"/>
          <w:b/>
          <w:color w:val="auto"/>
        </w:rPr>
      </w:pPr>
      <w:r>
        <w:rPr>
          <w:rFonts w:hint="eastAsia" w:hAnsi="宋体"/>
          <w:b/>
          <w:color w:val="auto"/>
        </w:rPr>
        <w:t>4.1.8 为他人提供方便</w:t>
      </w:r>
    </w:p>
    <w:p w14:paraId="4D2799C1">
      <w:pPr>
        <w:pStyle w:val="184"/>
        <w:spacing w:line="400" w:lineRule="exact"/>
        <w:ind w:right="100" w:firstLine="560"/>
        <w:jc w:val="both"/>
        <w:rPr>
          <w:rFonts w:hAnsi="宋体" w:cs="宋体"/>
          <w:color w:val="auto"/>
        </w:rPr>
      </w:pPr>
      <w:r>
        <w:rPr>
          <w:rFonts w:hint="eastAsia" w:hAnsi="宋体" w:cs="宋体"/>
          <w:color w:val="auto"/>
        </w:rPr>
        <w:t>承包人应按监理人的指示为他人在施工场地或附近实施与工程有关的其他各项工作提供可能的条件。除合同另有约定外，提供有关条件的内容和可能发生的费用，由监理人按第3.5 款商定或确定。</w:t>
      </w:r>
    </w:p>
    <w:p w14:paraId="4956A09C">
      <w:pPr>
        <w:pStyle w:val="87"/>
        <w:spacing w:line="400" w:lineRule="exact"/>
        <w:ind w:firstLine="540" w:firstLineChars="224"/>
        <w:jc w:val="both"/>
        <w:rPr>
          <w:rFonts w:hAnsi="宋体"/>
          <w:b/>
          <w:color w:val="auto"/>
        </w:rPr>
      </w:pPr>
      <w:r>
        <w:rPr>
          <w:rFonts w:hint="eastAsia" w:hAnsi="宋体"/>
          <w:b/>
          <w:color w:val="auto"/>
        </w:rPr>
        <w:t>4.1.9 工程的维护和照管</w:t>
      </w:r>
    </w:p>
    <w:p w14:paraId="2443939C">
      <w:pPr>
        <w:pStyle w:val="184"/>
        <w:spacing w:line="400" w:lineRule="exact"/>
        <w:ind w:right="100" w:firstLine="560"/>
        <w:jc w:val="both"/>
        <w:rPr>
          <w:rFonts w:hAnsi="宋体" w:cs="宋体"/>
          <w:color w:val="auto"/>
        </w:rPr>
      </w:pPr>
      <w:r>
        <w:rPr>
          <w:rFonts w:hint="eastAsia" w:hAnsi="宋体" w:cs="宋体"/>
          <w:color w:val="auto"/>
        </w:rPr>
        <w:t>除合同另有约定外，合同工程完工证书颁发前，承包人应负责照管和维护工程。合同工程完工证书颁发时尚有部分未完工程的，承包人还应负责该未完工程的照管和维护工作，直至完工后移交给发包人为止。</w:t>
      </w:r>
    </w:p>
    <w:p w14:paraId="2DE5DDA4">
      <w:pPr>
        <w:pStyle w:val="87"/>
        <w:spacing w:line="400" w:lineRule="exact"/>
        <w:ind w:firstLine="540" w:firstLineChars="224"/>
        <w:jc w:val="both"/>
        <w:rPr>
          <w:rFonts w:hAnsi="宋体"/>
          <w:b/>
          <w:color w:val="auto"/>
        </w:rPr>
      </w:pPr>
      <w:r>
        <w:rPr>
          <w:rFonts w:hint="eastAsia" w:hAnsi="宋体"/>
          <w:b/>
          <w:color w:val="auto"/>
        </w:rPr>
        <w:t>4.1.10 其他义务</w:t>
      </w:r>
    </w:p>
    <w:p w14:paraId="765C5992">
      <w:pPr>
        <w:pStyle w:val="175"/>
        <w:spacing w:after="0" w:line="400" w:lineRule="exact"/>
        <w:ind w:firstLine="540" w:firstLineChars="225"/>
        <w:jc w:val="both"/>
        <w:rPr>
          <w:rFonts w:hAnsi="宋体" w:cs="宋体"/>
          <w:color w:val="auto"/>
        </w:rPr>
      </w:pPr>
      <w:r>
        <w:rPr>
          <w:rFonts w:hint="eastAsia" w:hAnsi="宋体" w:cs="宋体"/>
          <w:color w:val="auto"/>
        </w:rPr>
        <w:t>其他义务在专用合同条款中补充约定。</w:t>
      </w:r>
    </w:p>
    <w:p w14:paraId="2A26E7C2">
      <w:pPr>
        <w:pStyle w:val="180"/>
        <w:spacing w:after="0" w:line="400" w:lineRule="exact"/>
        <w:ind w:firstLine="562"/>
        <w:jc w:val="both"/>
        <w:rPr>
          <w:rFonts w:hAnsi="宋体" w:cs="宋体"/>
          <w:b/>
          <w:color w:val="auto"/>
        </w:rPr>
      </w:pPr>
      <w:r>
        <w:rPr>
          <w:rFonts w:hint="eastAsia" w:hAnsi="宋体" w:cs="宋体"/>
          <w:b/>
          <w:color w:val="auto"/>
        </w:rPr>
        <w:t>4.2 履约担保</w:t>
      </w:r>
    </w:p>
    <w:p w14:paraId="56D7DE2A">
      <w:pPr>
        <w:pStyle w:val="175"/>
        <w:spacing w:after="0" w:line="400" w:lineRule="exact"/>
        <w:ind w:right="100" w:firstLine="361"/>
        <w:jc w:val="both"/>
        <w:rPr>
          <w:rFonts w:hAnsi="宋体" w:cs="宋体"/>
          <w:color w:val="auto"/>
        </w:rPr>
      </w:pPr>
      <w:r>
        <w:rPr>
          <w:rFonts w:hint="eastAsia" w:hAnsi="宋体" w:cs="宋体"/>
          <w:color w:val="auto"/>
        </w:rPr>
        <w:t>承包人应保证其履约担保在发包人颁发合同工程完工证书前一直有效。发包人应在合同工程完工证书颁发后28天内将履约担保退还给承包人。</w:t>
      </w:r>
    </w:p>
    <w:p w14:paraId="17F497AC">
      <w:pPr>
        <w:pStyle w:val="180"/>
        <w:spacing w:after="0" w:line="400" w:lineRule="exact"/>
        <w:ind w:firstLine="562"/>
        <w:jc w:val="both"/>
        <w:rPr>
          <w:rFonts w:hAnsi="宋体" w:cs="宋体"/>
          <w:b/>
          <w:color w:val="auto"/>
        </w:rPr>
      </w:pPr>
      <w:r>
        <w:rPr>
          <w:rFonts w:hint="eastAsia" w:hAnsi="宋体" w:cs="宋体"/>
          <w:b/>
          <w:color w:val="auto"/>
        </w:rPr>
        <w:t>4.3 分包</w:t>
      </w:r>
    </w:p>
    <w:p w14:paraId="0CAECD8C">
      <w:pPr>
        <w:pStyle w:val="87"/>
        <w:spacing w:line="400" w:lineRule="exact"/>
        <w:ind w:firstLine="616" w:firstLineChars="257"/>
        <w:jc w:val="both"/>
        <w:rPr>
          <w:rFonts w:hAnsi="宋体"/>
          <w:color w:val="auto"/>
        </w:rPr>
      </w:pPr>
      <w:r>
        <w:rPr>
          <w:rFonts w:hint="eastAsia" w:hAnsi="宋体"/>
          <w:color w:val="auto"/>
        </w:rPr>
        <w:t>4.3.1 承包人不得将其承包的全部工程转包给第三人，或将其承包的全部工程肢解后以分包的名义转包给第三人。</w:t>
      </w:r>
    </w:p>
    <w:p w14:paraId="291888C8">
      <w:pPr>
        <w:pStyle w:val="87"/>
        <w:spacing w:line="400" w:lineRule="exact"/>
        <w:ind w:firstLine="616" w:firstLineChars="257"/>
        <w:jc w:val="both"/>
        <w:rPr>
          <w:rFonts w:hAnsi="宋体"/>
          <w:color w:val="auto"/>
        </w:rPr>
      </w:pPr>
      <w:r>
        <w:rPr>
          <w:rFonts w:hint="eastAsia" w:hAnsi="宋体"/>
          <w:color w:val="auto"/>
        </w:rPr>
        <w:t>4.3.2 承包人不得将工程主体、关键性工作分包给第三人。除专用合同条款另有约定外，未经发包人同意，承包人不得将工程的其他部分或工作分包给第三人。</w:t>
      </w:r>
    </w:p>
    <w:p w14:paraId="7C755D79">
      <w:pPr>
        <w:pStyle w:val="87"/>
        <w:spacing w:line="400" w:lineRule="exact"/>
        <w:ind w:firstLine="616" w:firstLineChars="257"/>
        <w:jc w:val="both"/>
        <w:rPr>
          <w:rFonts w:hAnsi="宋体"/>
          <w:color w:val="auto"/>
        </w:rPr>
      </w:pPr>
      <w:r>
        <w:rPr>
          <w:rFonts w:hint="eastAsia" w:hAnsi="宋体"/>
          <w:color w:val="auto"/>
        </w:rPr>
        <w:t>4.3.3 分包人的资格能力应与其分包工程的标准和规模相适应。</w:t>
      </w:r>
    </w:p>
    <w:p w14:paraId="3153AEAF">
      <w:pPr>
        <w:pStyle w:val="87"/>
        <w:spacing w:line="400" w:lineRule="exact"/>
        <w:ind w:firstLine="616" w:firstLineChars="257"/>
        <w:jc w:val="both"/>
        <w:rPr>
          <w:rFonts w:hAnsi="宋体"/>
          <w:color w:val="auto"/>
        </w:rPr>
      </w:pPr>
      <w:r>
        <w:rPr>
          <w:rFonts w:hint="eastAsia" w:hAnsi="宋体"/>
          <w:color w:val="auto"/>
        </w:rPr>
        <w:t>4.3.4 按投标函附录约定分包工程的，承包人应向发包人和监理人提交分包合同副本。</w:t>
      </w:r>
    </w:p>
    <w:p w14:paraId="4C650B50">
      <w:pPr>
        <w:pStyle w:val="87"/>
        <w:spacing w:line="400" w:lineRule="exact"/>
        <w:ind w:firstLine="616" w:firstLineChars="257"/>
        <w:jc w:val="both"/>
        <w:rPr>
          <w:rFonts w:hAnsi="宋体"/>
          <w:color w:val="auto"/>
        </w:rPr>
      </w:pPr>
      <w:r>
        <w:rPr>
          <w:rFonts w:hint="eastAsia" w:hAnsi="宋体"/>
          <w:color w:val="auto"/>
        </w:rPr>
        <w:t>4.3.5 承包人应与分包人就分包工程向发包人承担连带责任。</w:t>
      </w:r>
    </w:p>
    <w:p w14:paraId="6CBE8B1F">
      <w:pPr>
        <w:pStyle w:val="25"/>
        <w:spacing w:line="400" w:lineRule="exact"/>
        <w:ind w:firstLine="630" w:firstLineChars="225"/>
        <w:rPr>
          <w:rFonts w:hAnsi="宋体" w:cs="宋体"/>
          <w:color w:val="auto"/>
        </w:rPr>
      </w:pPr>
      <w:r>
        <w:rPr>
          <w:rFonts w:hint="eastAsia" w:hAnsi="宋体" w:cs="宋体"/>
          <w:color w:val="auto"/>
        </w:rPr>
        <w:t>4.3.6分包分为工程分包和劳务作业分包。工程分包应遵循合同约定或者经发包人书面认可。禁止承包人将本合同工程进行违法分包。分包人应具备与分包工程规模和标准相适应的资质和业绩，在人力、设备、资金等方面具有承担分包工程施工的能力。分包人应自行完成所承包的任务。</w:t>
      </w:r>
    </w:p>
    <w:p w14:paraId="32BD7265">
      <w:pPr>
        <w:pStyle w:val="25"/>
        <w:spacing w:line="400" w:lineRule="exact"/>
        <w:ind w:firstLine="560"/>
        <w:rPr>
          <w:rFonts w:hAnsi="宋体" w:cs="宋体"/>
          <w:color w:val="auto"/>
        </w:rPr>
      </w:pPr>
      <w:r>
        <w:rPr>
          <w:rFonts w:hint="eastAsia" w:hAnsi="宋体" w:cs="宋体"/>
          <w:color w:val="auto"/>
        </w:rPr>
        <w:t xml:space="preserve">    4.3.7 在合同实施过程中，如承包人无力在合同规定的期限内完成合同中的应急防汛、抢险等危及公共安全和工程安全的项目，发包人可对该应急防汛、抢险等项目的部分工程指定分包人。因非承包人原因形成指定分包条件的，发包人的指定分包不应增加承包人的额外费用；因承包人原因形成指定分包条件的，承包人应承担指定分包所增加的费用。</w:t>
      </w:r>
    </w:p>
    <w:p w14:paraId="15DEF85F">
      <w:pPr>
        <w:pStyle w:val="25"/>
        <w:spacing w:line="400" w:lineRule="exact"/>
        <w:ind w:firstLine="560"/>
        <w:rPr>
          <w:rFonts w:hAnsi="宋体" w:cs="宋体"/>
          <w:color w:val="auto"/>
        </w:rPr>
      </w:pPr>
      <w:r>
        <w:rPr>
          <w:rFonts w:hint="eastAsia" w:hAnsi="宋体" w:cs="宋体"/>
          <w:color w:val="auto"/>
        </w:rPr>
        <w:t>由指定分包人造成的与其分包工作有关的一切索赔、诉讼和损失赔偿由指定分包人直接对发包人负责，承包人不对此承担责任。</w:t>
      </w:r>
    </w:p>
    <w:p w14:paraId="42C46E9B">
      <w:pPr>
        <w:pStyle w:val="25"/>
        <w:spacing w:line="400" w:lineRule="exact"/>
        <w:ind w:firstLine="630" w:firstLineChars="225"/>
        <w:rPr>
          <w:rFonts w:hAnsi="宋体" w:cs="宋体"/>
          <w:color w:val="auto"/>
        </w:rPr>
      </w:pPr>
      <w:r>
        <w:rPr>
          <w:rFonts w:hint="eastAsia" w:hAnsi="宋体" w:cs="宋体"/>
          <w:color w:val="auto"/>
        </w:rPr>
        <w:t>4.3.8 承包人和分包人应当签订分包合同，并履行合同约定的义务。分包合同必须遵循承包合同的各项原则，满足承包合同中相应条款的要求。发包人可以对分包合同实施情况进行监督检查。承包人应将分包合同副本提交发包人和监理人。</w:t>
      </w:r>
    </w:p>
    <w:p w14:paraId="642E2433">
      <w:pPr>
        <w:pStyle w:val="25"/>
        <w:spacing w:line="400" w:lineRule="exact"/>
        <w:ind w:firstLine="630" w:firstLineChars="225"/>
        <w:rPr>
          <w:rFonts w:hAnsi="宋体" w:cs="宋体"/>
          <w:color w:val="auto"/>
        </w:rPr>
      </w:pPr>
      <w:r>
        <w:rPr>
          <w:rFonts w:hint="eastAsia" w:hAnsi="宋体" w:cs="宋体"/>
          <w:color w:val="auto"/>
        </w:rPr>
        <w:t>4.3.9 除第4.3.7项规定的指定分包外，承包人对其分包项目的实施以及分包人的行为向发包人负全部责任。承包人应对分包项目的工程进度、质量、安全、计量和验收等实施监督和管理。</w:t>
      </w:r>
    </w:p>
    <w:p w14:paraId="2E7DB939">
      <w:pPr>
        <w:pStyle w:val="87"/>
        <w:spacing w:line="400" w:lineRule="exact"/>
        <w:ind w:firstLine="616" w:firstLineChars="257"/>
        <w:jc w:val="both"/>
        <w:rPr>
          <w:rFonts w:hAnsi="宋体"/>
          <w:color w:val="auto"/>
        </w:rPr>
      </w:pPr>
      <w:r>
        <w:rPr>
          <w:rFonts w:hint="eastAsia" w:hAnsi="宋体"/>
          <w:color w:val="auto"/>
        </w:rPr>
        <w:t>4.3.10 分包人应按专用合同条款的约定设立项目管理机构组织管理分包工程的施工活动。</w:t>
      </w:r>
    </w:p>
    <w:p w14:paraId="2609272B">
      <w:pPr>
        <w:pStyle w:val="180"/>
        <w:spacing w:after="0" w:line="400" w:lineRule="exact"/>
        <w:ind w:firstLine="562"/>
        <w:jc w:val="both"/>
        <w:rPr>
          <w:rFonts w:hAnsi="宋体" w:cs="宋体"/>
          <w:b/>
          <w:color w:val="auto"/>
        </w:rPr>
      </w:pPr>
      <w:r>
        <w:rPr>
          <w:rFonts w:hint="eastAsia" w:hAnsi="宋体" w:cs="宋体"/>
          <w:b/>
          <w:color w:val="auto"/>
        </w:rPr>
        <w:t>4.4 联合体</w:t>
      </w:r>
    </w:p>
    <w:p w14:paraId="79544E46">
      <w:pPr>
        <w:pStyle w:val="87"/>
        <w:spacing w:line="400" w:lineRule="exact"/>
        <w:ind w:firstLine="540" w:firstLineChars="225"/>
        <w:jc w:val="both"/>
        <w:rPr>
          <w:rFonts w:hAnsi="宋体"/>
          <w:color w:val="auto"/>
        </w:rPr>
      </w:pPr>
      <w:r>
        <w:rPr>
          <w:rFonts w:hint="eastAsia" w:hAnsi="宋体"/>
          <w:color w:val="auto"/>
        </w:rPr>
        <w:t>4.4.1 联合体各方应共同与发包人签订合同协议书。联合体各方应为履行合同承担连带责任。</w:t>
      </w:r>
    </w:p>
    <w:p w14:paraId="239DD4D8">
      <w:pPr>
        <w:pStyle w:val="87"/>
        <w:spacing w:line="400" w:lineRule="exact"/>
        <w:ind w:firstLine="540" w:firstLineChars="225"/>
        <w:jc w:val="both"/>
        <w:rPr>
          <w:rFonts w:hAnsi="宋体"/>
          <w:color w:val="auto"/>
        </w:rPr>
      </w:pPr>
      <w:r>
        <w:rPr>
          <w:rFonts w:hint="eastAsia" w:hAnsi="宋体"/>
          <w:color w:val="auto"/>
        </w:rPr>
        <w:t>4.4.2 联合体协议经发包人确认后作为合同附件。在履行合同过程中，未经发包人同意，不得修改联合体协议。</w:t>
      </w:r>
    </w:p>
    <w:p w14:paraId="72E33FA7">
      <w:pPr>
        <w:pStyle w:val="87"/>
        <w:spacing w:line="400" w:lineRule="exact"/>
        <w:ind w:firstLine="540" w:firstLineChars="225"/>
        <w:jc w:val="both"/>
        <w:rPr>
          <w:rFonts w:hAnsi="宋体"/>
          <w:color w:val="auto"/>
          <w:sz w:val="21"/>
          <w:szCs w:val="21"/>
        </w:rPr>
      </w:pPr>
      <w:r>
        <w:rPr>
          <w:rFonts w:hint="eastAsia" w:hAnsi="宋体"/>
          <w:color w:val="auto"/>
        </w:rPr>
        <w:t>4.4.3 联合体牵头人负责与发包人和监理人联系，并接受指示，负责组织联合体各成员全面履行合</w:t>
      </w:r>
      <w:r>
        <w:rPr>
          <w:rFonts w:hint="eastAsia" w:hAnsi="宋体"/>
          <w:color w:val="auto"/>
          <w:sz w:val="21"/>
          <w:szCs w:val="21"/>
        </w:rPr>
        <w:t>同。</w:t>
      </w:r>
    </w:p>
    <w:p w14:paraId="2833B4FF">
      <w:pPr>
        <w:pStyle w:val="180"/>
        <w:spacing w:after="0" w:line="400" w:lineRule="exact"/>
        <w:ind w:firstLine="562"/>
        <w:jc w:val="both"/>
        <w:rPr>
          <w:rFonts w:hAnsi="宋体" w:cs="宋体"/>
          <w:b/>
          <w:color w:val="auto"/>
        </w:rPr>
      </w:pPr>
      <w:r>
        <w:rPr>
          <w:rFonts w:hint="eastAsia" w:hAnsi="宋体" w:cs="宋体"/>
          <w:b/>
          <w:color w:val="auto"/>
        </w:rPr>
        <w:t>4.5 承包人项目经理</w:t>
      </w:r>
    </w:p>
    <w:p w14:paraId="20AECE4D">
      <w:pPr>
        <w:pStyle w:val="87"/>
        <w:spacing w:line="400" w:lineRule="exact"/>
        <w:ind w:firstLine="540" w:firstLineChars="225"/>
        <w:jc w:val="both"/>
        <w:rPr>
          <w:rFonts w:hAnsi="宋体"/>
          <w:color w:val="auto"/>
        </w:rPr>
      </w:pPr>
      <w:r>
        <w:rPr>
          <w:rFonts w:hint="eastAsia" w:hAnsi="宋体"/>
          <w:color w:val="auto"/>
        </w:rPr>
        <w:t>4.5.1 承包人应按合同约定指派项目经理，并在约定的期限内到职。承包人更换项目经理应事先征得发包人同意，并应在更换14天前通知发包人和监理人。承包人项目经理短期离开施工场地，应事先征得监理人同意，并委派代表代行其职责。</w:t>
      </w:r>
    </w:p>
    <w:p w14:paraId="4969EC45">
      <w:pPr>
        <w:pStyle w:val="87"/>
        <w:spacing w:line="400" w:lineRule="exact"/>
        <w:ind w:firstLine="540" w:firstLineChars="225"/>
        <w:jc w:val="both"/>
        <w:rPr>
          <w:rFonts w:hAnsi="宋体"/>
          <w:color w:val="auto"/>
        </w:rPr>
      </w:pPr>
      <w:r>
        <w:rPr>
          <w:rFonts w:hint="eastAsia" w:hAnsi="宋体"/>
          <w:color w:val="auto"/>
        </w:rPr>
        <w:t>4.5.2 承包人项目经理应按合同约定以及监理人按第3.4款作出的指示，负责组织合同工程的实施。在情况紧急且无法与监理人取得联系时，可采取保证工程和人员生命财产安全的紧急措施，并在采取措施后24小时内向监理人提交书面报告。</w:t>
      </w:r>
    </w:p>
    <w:p w14:paraId="0D3FB48E">
      <w:pPr>
        <w:pStyle w:val="87"/>
        <w:spacing w:line="400" w:lineRule="exact"/>
        <w:ind w:firstLine="540" w:firstLineChars="225"/>
        <w:jc w:val="both"/>
        <w:rPr>
          <w:rFonts w:hAnsi="宋体"/>
          <w:color w:val="auto"/>
        </w:rPr>
      </w:pPr>
      <w:r>
        <w:rPr>
          <w:rFonts w:hint="eastAsia" w:hAnsi="宋体"/>
          <w:color w:val="auto"/>
        </w:rPr>
        <w:t>4.5.3 承包人为履行合同发出的一切函件均应盖有承包人授权的施工场地管理机构章，并由承包人项目经理或其授权代表签字。</w:t>
      </w:r>
    </w:p>
    <w:p w14:paraId="58F5F25E">
      <w:pPr>
        <w:pStyle w:val="87"/>
        <w:spacing w:line="400" w:lineRule="exact"/>
        <w:ind w:firstLine="540" w:firstLineChars="225"/>
        <w:jc w:val="both"/>
        <w:rPr>
          <w:rFonts w:hAnsi="宋体"/>
          <w:color w:val="auto"/>
        </w:rPr>
      </w:pPr>
      <w:r>
        <w:rPr>
          <w:rFonts w:hint="eastAsia" w:hAnsi="宋体"/>
          <w:color w:val="auto"/>
        </w:rPr>
        <w:t>4.5.4 承包人项目经理可以授权其下属人员履行其某项职责，但事先应将这些人员的姓名和授权范围通知监理人。</w:t>
      </w:r>
    </w:p>
    <w:p w14:paraId="5E34B2F3">
      <w:pPr>
        <w:pStyle w:val="180"/>
        <w:spacing w:after="0" w:line="400" w:lineRule="exact"/>
        <w:ind w:firstLine="562"/>
        <w:jc w:val="both"/>
        <w:rPr>
          <w:rFonts w:hAnsi="宋体" w:cs="宋体"/>
          <w:b/>
          <w:color w:val="auto"/>
        </w:rPr>
      </w:pPr>
      <w:r>
        <w:rPr>
          <w:rFonts w:hint="eastAsia" w:hAnsi="宋体" w:cs="宋体"/>
          <w:b/>
          <w:color w:val="auto"/>
        </w:rPr>
        <w:t>4.6 承包人人员的管理</w:t>
      </w:r>
    </w:p>
    <w:p w14:paraId="298881F1">
      <w:pPr>
        <w:pStyle w:val="87"/>
        <w:spacing w:line="400" w:lineRule="exact"/>
        <w:ind w:firstLine="540" w:firstLineChars="225"/>
        <w:jc w:val="both"/>
        <w:rPr>
          <w:rFonts w:hAnsi="宋体"/>
          <w:color w:val="auto"/>
        </w:rPr>
      </w:pPr>
      <w:r>
        <w:rPr>
          <w:rFonts w:hint="eastAsia" w:hAnsi="宋体"/>
          <w:color w:val="auto"/>
        </w:rPr>
        <w:t>4.6.1 承包人应在接到开工通知后28 天内，向监理人提交承包人在施工场地的管理机构以及人员安排的报告，其内容应包括管理机构的设置、各主要岗位的技术和管理人员名单及其资格，以及各工种技术工人的安排状况。承包人应向监理人提交施工场地人员变动情况的报告。</w:t>
      </w:r>
    </w:p>
    <w:p w14:paraId="76EEBCA2">
      <w:pPr>
        <w:pStyle w:val="87"/>
        <w:spacing w:line="400" w:lineRule="exact"/>
        <w:ind w:firstLine="540" w:firstLineChars="225"/>
        <w:jc w:val="both"/>
        <w:rPr>
          <w:rFonts w:hAnsi="宋体"/>
          <w:color w:val="auto"/>
        </w:rPr>
      </w:pPr>
      <w:r>
        <w:rPr>
          <w:rFonts w:hint="eastAsia" w:hAnsi="宋体"/>
          <w:color w:val="auto"/>
        </w:rPr>
        <w:t>4.6.2 为完成合同约定的各项工作，承包人应向施工场地派遣或雇佣足够数量的下列人员：</w:t>
      </w:r>
    </w:p>
    <w:p w14:paraId="0A337AD5">
      <w:pPr>
        <w:pStyle w:val="87"/>
        <w:spacing w:line="400" w:lineRule="exact"/>
        <w:ind w:firstLine="540" w:firstLineChars="225"/>
        <w:jc w:val="both"/>
        <w:rPr>
          <w:rFonts w:hAnsi="宋体"/>
          <w:color w:val="auto"/>
        </w:rPr>
      </w:pPr>
      <w:r>
        <w:rPr>
          <w:rFonts w:hint="eastAsia" w:hAnsi="宋体"/>
          <w:color w:val="auto"/>
        </w:rPr>
        <w:t>（1）具有相应资格的专业技工和合格的普工；</w:t>
      </w:r>
    </w:p>
    <w:p w14:paraId="7EF7CD8C">
      <w:pPr>
        <w:pStyle w:val="87"/>
        <w:spacing w:line="400" w:lineRule="exact"/>
        <w:ind w:firstLine="540" w:firstLineChars="225"/>
        <w:jc w:val="both"/>
        <w:rPr>
          <w:rFonts w:hAnsi="宋体"/>
          <w:color w:val="auto"/>
        </w:rPr>
      </w:pPr>
      <w:r>
        <w:rPr>
          <w:rFonts w:hint="eastAsia" w:hAnsi="宋体"/>
          <w:color w:val="auto"/>
        </w:rPr>
        <w:t>（2）具有相应施工经验的技术人员；</w:t>
      </w:r>
    </w:p>
    <w:p w14:paraId="06251059">
      <w:pPr>
        <w:pStyle w:val="87"/>
        <w:spacing w:line="400" w:lineRule="exact"/>
        <w:ind w:firstLine="540" w:firstLineChars="225"/>
        <w:jc w:val="both"/>
        <w:rPr>
          <w:rFonts w:hAnsi="宋体"/>
          <w:color w:val="auto"/>
        </w:rPr>
      </w:pPr>
      <w:r>
        <w:rPr>
          <w:rFonts w:hint="eastAsia" w:hAnsi="宋体"/>
          <w:color w:val="auto"/>
        </w:rPr>
        <w:t>（3）具有相应岗位资格的各级管理人员。</w:t>
      </w:r>
    </w:p>
    <w:p w14:paraId="2A3DBA10">
      <w:pPr>
        <w:pStyle w:val="87"/>
        <w:spacing w:line="400" w:lineRule="exact"/>
        <w:ind w:firstLine="540" w:firstLineChars="225"/>
        <w:jc w:val="both"/>
        <w:rPr>
          <w:rFonts w:hAnsi="宋体"/>
          <w:color w:val="auto"/>
        </w:rPr>
      </w:pPr>
      <w:r>
        <w:rPr>
          <w:rFonts w:hint="eastAsia" w:hAnsi="宋体"/>
          <w:color w:val="auto"/>
        </w:rPr>
        <w:t>4.6.3 承包人安排在施工场地的主要管理人员和技术骨干应相对稳定。承包人更换主要管理人员和技术骨干时，应取得监理人的同意。</w:t>
      </w:r>
    </w:p>
    <w:p w14:paraId="573B7590">
      <w:pPr>
        <w:pStyle w:val="87"/>
        <w:spacing w:line="400" w:lineRule="exact"/>
        <w:ind w:firstLine="540" w:firstLineChars="225"/>
        <w:jc w:val="both"/>
        <w:rPr>
          <w:rFonts w:hAnsi="宋体"/>
          <w:color w:val="auto"/>
        </w:rPr>
      </w:pPr>
      <w:r>
        <w:rPr>
          <w:rFonts w:hint="eastAsia" w:hAnsi="宋体"/>
          <w:color w:val="auto"/>
        </w:rPr>
        <w:t>4.6.4 特殊岗位的工作人员均应持有相应的资格证明，监理人有权随时检查。监理人认为有必要时，可进行现场考核。</w:t>
      </w:r>
    </w:p>
    <w:p w14:paraId="0EF1C9AC">
      <w:pPr>
        <w:pStyle w:val="180"/>
        <w:spacing w:after="0" w:line="400" w:lineRule="exact"/>
        <w:ind w:firstLine="562"/>
        <w:jc w:val="both"/>
        <w:rPr>
          <w:rFonts w:hAnsi="宋体" w:cs="宋体"/>
          <w:b/>
          <w:color w:val="auto"/>
        </w:rPr>
      </w:pPr>
      <w:r>
        <w:rPr>
          <w:rFonts w:hint="eastAsia" w:hAnsi="宋体" w:cs="宋体"/>
          <w:b/>
          <w:color w:val="auto"/>
        </w:rPr>
        <w:t>4.7 撤换承包人项目经理和其他人员</w:t>
      </w:r>
    </w:p>
    <w:p w14:paraId="1F55E5C1">
      <w:pPr>
        <w:pStyle w:val="175"/>
        <w:spacing w:after="0" w:line="400" w:lineRule="exact"/>
        <w:ind w:firstLine="361"/>
        <w:jc w:val="both"/>
        <w:rPr>
          <w:rFonts w:hAnsi="宋体" w:cs="宋体"/>
          <w:color w:val="auto"/>
        </w:rPr>
      </w:pPr>
      <w:r>
        <w:rPr>
          <w:rFonts w:hint="eastAsia" w:hAnsi="宋体" w:cs="宋体"/>
          <w:color w:val="auto"/>
        </w:rPr>
        <w:t>承包人应对其项目经理和其他人员进行有效管理。监理人要求撤换不能胜任本职工作、行为不端或玩忽职守的承包人项目经理和其他人员的，承包人应予以撤换。</w:t>
      </w:r>
    </w:p>
    <w:p w14:paraId="19842126">
      <w:pPr>
        <w:pStyle w:val="180"/>
        <w:spacing w:after="0" w:line="400" w:lineRule="exact"/>
        <w:ind w:firstLine="562"/>
        <w:jc w:val="both"/>
        <w:rPr>
          <w:rFonts w:hAnsi="宋体" w:cs="宋体"/>
          <w:b/>
          <w:color w:val="auto"/>
        </w:rPr>
      </w:pPr>
      <w:r>
        <w:rPr>
          <w:rFonts w:hint="eastAsia" w:hAnsi="宋体" w:cs="宋体"/>
          <w:b/>
          <w:color w:val="auto"/>
        </w:rPr>
        <w:t>4.8 保障承包人人员的合法权益</w:t>
      </w:r>
    </w:p>
    <w:p w14:paraId="3D757B93">
      <w:pPr>
        <w:pStyle w:val="197"/>
        <w:spacing w:line="400" w:lineRule="exact"/>
        <w:ind w:firstLine="560"/>
        <w:jc w:val="both"/>
        <w:rPr>
          <w:rFonts w:hAnsi="宋体" w:cs="宋体"/>
          <w:color w:val="auto"/>
        </w:rPr>
      </w:pPr>
      <w:r>
        <w:rPr>
          <w:rFonts w:hint="eastAsia" w:hAnsi="宋体" w:cs="宋体"/>
          <w:color w:val="auto"/>
        </w:rPr>
        <w:t>4.8.1 承包人应与其雇佣的人员签订劳动合同，并按时发放工资。</w:t>
      </w:r>
    </w:p>
    <w:p w14:paraId="3FAACBBF">
      <w:pPr>
        <w:pStyle w:val="87"/>
        <w:spacing w:line="400" w:lineRule="exact"/>
        <w:ind w:firstLine="361"/>
        <w:jc w:val="both"/>
        <w:rPr>
          <w:rFonts w:hAnsi="宋体"/>
          <w:color w:val="auto"/>
        </w:rPr>
      </w:pPr>
      <w:r>
        <w:rPr>
          <w:rFonts w:hint="eastAsia" w:hAnsi="宋体"/>
          <w:color w:val="auto"/>
        </w:rPr>
        <w:t>4.8.2 承包人应按劳动法的规定安排工作时间，保证其雇佣人员享有休息和休假的权利。因工程施工的特殊需要占用休假日或延长工作时间的，应不超过法律规定的限度，并按法律规定给予补休或付酬。</w:t>
      </w:r>
    </w:p>
    <w:p w14:paraId="6CE9864E">
      <w:pPr>
        <w:pStyle w:val="87"/>
        <w:spacing w:line="400" w:lineRule="exact"/>
        <w:ind w:firstLine="361"/>
        <w:jc w:val="both"/>
        <w:rPr>
          <w:rFonts w:hAnsi="宋体"/>
          <w:color w:val="auto"/>
        </w:rPr>
      </w:pPr>
      <w:r>
        <w:rPr>
          <w:rFonts w:hint="eastAsia" w:hAnsi="宋体"/>
          <w:color w:val="auto"/>
        </w:rPr>
        <w:t>4.8.3 承包人应为其雇佣人员提供必要的食宿条件，以及符合环境保护和卫生要求的生活环境，在远离城镇的施工场地，还应配备必要的伤病防治和急救的医务人员与医疗设施。</w:t>
      </w:r>
    </w:p>
    <w:p w14:paraId="07FAC291">
      <w:pPr>
        <w:pStyle w:val="87"/>
        <w:spacing w:line="400" w:lineRule="exact"/>
        <w:ind w:firstLine="361"/>
        <w:jc w:val="both"/>
        <w:rPr>
          <w:rFonts w:hAnsi="宋体"/>
          <w:color w:val="auto"/>
        </w:rPr>
      </w:pPr>
      <w:r>
        <w:rPr>
          <w:rFonts w:hint="eastAsia" w:hAnsi="宋体"/>
          <w:color w:val="auto"/>
        </w:rPr>
        <w:t>4.8.4 承包人应按国家有关劳动保护的规定，采取有效的防止粉尘、降低噪声、控制有害气体和保障高温、高寒、高空作业安全等劳动保护措施。其雇佣人员在施工中受到伤害的，承包人应立即采取有效措施进行抢救和治疗。</w:t>
      </w:r>
    </w:p>
    <w:p w14:paraId="361DE95E">
      <w:pPr>
        <w:pStyle w:val="87"/>
        <w:spacing w:line="400" w:lineRule="exact"/>
        <w:ind w:firstLine="361"/>
        <w:jc w:val="both"/>
        <w:rPr>
          <w:rFonts w:hAnsi="宋体"/>
          <w:color w:val="auto"/>
        </w:rPr>
      </w:pPr>
      <w:r>
        <w:rPr>
          <w:rFonts w:hint="eastAsia" w:hAnsi="宋体"/>
          <w:color w:val="auto"/>
        </w:rPr>
        <w:t>4.8.5 承包人应按有关法律规定和合同约定，为其雇佣人员办理保险。</w:t>
      </w:r>
    </w:p>
    <w:p w14:paraId="6951AD2E">
      <w:pPr>
        <w:pStyle w:val="87"/>
        <w:spacing w:line="400" w:lineRule="exact"/>
        <w:ind w:firstLine="361"/>
        <w:jc w:val="both"/>
        <w:rPr>
          <w:rFonts w:hAnsi="宋体"/>
          <w:color w:val="auto"/>
        </w:rPr>
      </w:pPr>
      <w:r>
        <w:rPr>
          <w:rFonts w:hint="eastAsia" w:hAnsi="宋体"/>
          <w:color w:val="auto"/>
        </w:rPr>
        <w:t>4.8.6 承包人应负责处理其雇佣人员因工伤亡事故的善后事宜。</w:t>
      </w:r>
    </w:p>
    <w:p w14:paraId="04805602">
      <w:pPr>
        <w:pStyle w:val="180"/>
        <w:spacing w:after="0" w:line="400" w:lineRule="exact"/>
        <w:ind w:firstLine="562"/>
        <w:jc w:val="both"/>
        <w:rPr>
          <w:rFonts w:hAnsi="宋体" w:cs="宋体"/>
          <w:b/>
          <w:color w:val="auto"/>
        </w:rPr>
      </w:pPr>
      <w:r>
        <w:rPr>
          <w:rFonts w:hint="eastAsia" w:hAnsi="宋体" w:cs="宋体"/>
          <w:b/>
          <w:color w:val="auto"/>
        </w:rPr>
        <w:t>4.9 工程价款应专款专用</w:t>
      </w:r>
    </w:p>
    <w:p w14:paraId="52F645B0">
      <w:pPr>
        <w:pStyle w:val="197"/>
        <w:spacing w:line="400" w:lineRule="exact"/>
        <w:ind w:firstLine="560"/>
        <w:jc w:val="both"/>
        <w:rPr>
          <w:rFonts w:hAnsi="宋体" w:cs="宋体"/>
          <w:color w:val="auto"/>
        </w:rPr>
      </w:pPr>
      <w:r>
        <w:rPr>
          <w:rFonts w:hint="eastAsia" w:hAnsi="宋体" w:cs="宋体"/>
          <w:color w:val="auto"/>
        </w:rPr>
        <w:t>发包人按合同约定支付给承包人的各项价款应专用于合同工程。</w:t>
      </w:r>
    </w:p>
    <w:p w14:paraId="1B2B34E8">
      <w:pPr>
        <w:pStyle w:val="180"/>
        <w:spacing w:after="0" w:line="400" w:lineRule="exact"/>
        <w:ind w:firstLine="562"/>
        <w:jc w:val="both"/>
        <w:rPr>
          <w:rFonts w:hAnsi="宋体" w:cs="宋体"/>
          <w:b/>
          <w:color w:val="auto"/>
        </w:rPr>
      </w:pPr>
      <w:r>
        <w:rPr>
          <w:rFonts w:hint="eastAsia" w:hAnsi="宋体" w:cs="宋体"/>
          <w:b/>
          <w:color w:val="auto"/>
        </w:rPr>
        <w:t>4.10 承包人现场查勘</w:t>
      </w:r>
    </w:p>
    <w:p w14:paraId="0E572CFB">
      <w:pPr>
        <w:pStyle w:val="87"/>
        <w:spacing w:line="400" w:lineRule="exact"/>
        <w:ind w:firstLine="361"/>
        <w:jc w:val="both"/>
        <w:rPr>
          <w:rFonts w:hAnsi="宋体"/>
          <w:color w:val="auto"/>
        </w:rPr>
      </w:pPr>
      <w:r>
        <w:rPr>
          <w:rFonts w:hint="eastAsia" w:hAnsi="宋体"/>
          <w:color w:val="auto"/>
        </w:rPr>
        <w:t>4.10.1 发包人应将其持有的现场地质勘探资料、水文气象资料提供给承包人，并对其准确性负责。但承包人应对其阅读上述有关资料后所作出的解释和推断负责。</w:t>
      </w:r>
    </w:p>
    <w:p w14:paraId="5A7A1BE5">
      <w:pPr>
        <w:pStyle w:val="87"/>
        <w:spacing w:line="400" w:lineRule="exact"/>
        <w:ind w:firstLine="361"/>
        <w:jc w:val="both"/>
        <w:rPr>
          <w:rFonts w:hAnsi="宋体"/>
          <w:color w:val="auto"/>
        </w:rPr>
      </w:pPr>
      <w:r>
        <w:rPr>
          <w:rFonts w:hint="eastAsia" w:hAnsi="宋体"/>
          <w:color w:val="auto"/>
        </w:rPr>
        <w:t>4.10.2 承包人应对施工场地和周围环境进行查勘，并收集有关地质、水文、气象条件、交通条件、风俗习惯以及其他为完成合同工作有关的当地资料。在全部合同工作中，应视为承包人已充分估计了应承担的责任和风险。</w:t>
      </w:r>
    </w:p>
    <w:p w14:paraId="4E02A83B">
      <w:pPr>
        <w:pStyle w:val="180"/>
        <w:spacing w:after="0" w:line="400" w:lineRule="exact"/>
        <w:ind w:firstLine="562"/>
        <w:jc w:val="both"/>
        <w:rPr>
          <w:rFonts w:hAnsi="宋体" w:cs="宋体"/>
          <w:b/>
          <w:color w:val="auto"/>
        </w:rPr>
      </w:pPr>
      <w:r>
        <w:rPr>
          <w:rFonts w:hint="eastAsia" w:hAnsi="宋体" w:cs="宋体"/>
          <w:b/>
          <w:color w:val="auto"/>
        </w:rPr>
        <w:t>4.11 不利物质条件</w:t>
      </w:r>
    </w:p>
    <w:p w14:paraId="5E36D53A">
      <w:pPr>
        <w:pStyle w:val="87"/>
        <w:spacing w:line="400" w:lineRule="exact"/>
        <w:ind w:firstLine="361"/>
        <w:jc w:val="both"/>
        <w:rPr>
          <w:rFonts w:hAnsi="宋体"/>
          <w:color w:val="auto"/>
        </w:rPr>
      </w:pPr>
      <w:r>
        <w:rPr>
          <w:rFonts w:hint="eastAsia" w:hAnsi="宋体"/>
          <w:color w:val="auto"/>
        </w:rPr>
        <w:t>4.11.1 除专用合同条款另有约定外，不利物质条件是指在施工中遭遇不可预见的外界障碍或自然条件造成施工受阻。</w:t>
      </w:r>
    </w:p>
    <w:p w14:paraId="7DC21804">
      <w:pPr>
        <w:pStyle w:val="87"/>
        <w:spacing w:line="400" w:lineRule="exact"/>
        <w:ind w:firstLine="361"/>
        <w:jc w:val="both"/>
        <w:rPr>
          <w:rFonts w:hAnsi="宋体"/>
          <w:color w:val="auto"/>
        </w:rPr>
      </w:pPr>
      <w:r>
        <w:rPr>
          <w:rFonts w:hint="eastAsia" w:hAnsi="宋体"/>
          <w:color w:val="auto"/>
        </w:rPr>
        <w:t>4.11.2 承包人遇到不利物质条件时，应采取适应不利物质条件的合理措施继续施工，并及时通知监理人。承包人有权根据第23.1款的约定，要求延长工期及增加费用。监理人收到此类要求后，应在分析上述外界障碍或自然条件是否不可预见及不可预见程度的基础上，按照通用合同条款第15条的约定办理。</w:t>
      </w:r>
    </w:p>
    <w:p w14:paraId="27525230">
      <w:pPr>
        <w:pStyle w:val="180"/>
        <w:spacing w:before="100" w:after="100" w:line="400" w:lineRule="exact"/>
        <w:ind w:firstLine="643"/>
        <w:jc w:val="both"/>
        <w:rPr>
          <w:rFonts w:hAnsi="宋体" w:cs="宋体"/>
          <w:b/>
          <w:color w:val="auto"/>
          <w:sz w:val="32"/>
          <w:szCs w:val="32"/>
        </w:rPr>
      </w:pPr>
      <w:bookmarkStart w:id="246" w:name="_Toc209862327"/>
      <w:bookmarkStart w:id="247" w:name="_Toc453768095"/>
      <w:bookmarkStart w:id="248" w:name="_Toc245110735"/>
      <w:bookmarkStart w:id="249" w:name="_Toc340436790"/>
      <w:bookmarkStart w:id="250" w:name="_Toc270517139"/>
      <w:bookmarkStart w:id="251" w:name="_Toc436309942"/>
      <w:bookmarkStart w:id="252" w:name="_Toc476231296"/>
      <w:bookmarkStart w:id="253" w:name="_Toc510197469"/>
      <w:bookmarkStart w:id="254" w:name="_Toc254774406"/>
      <w:bookmarkStart w:id="255" w:name="_Toc504565797"/>
      <w:bookmarkStart w:id="256" w:name="_Toc439772696"/>
      <w:bookmarkStart w:id="257" w:name="_Toc436309590"/>
      <w:bookmarkStart w:id="258" w:name="_Toc450123129"/>
      <w:bookmarkStart w:id="259" w:name="_Toc450123363"/>
      <w:bookmarkStart w:id="260" w:name="_Toc388633672"/>
      <w:bookmarkStart w:id="261" w:name="_Toc351898542"/>
      <w:bookmarkStart w:id="262" w:name="_Toc460581175"/>
      <w:bookmarkStart w:id="263" w:name="_Toc350857424"/>
      <w:bookmarkStart w:id="264" w:name="_Toc187845997"/>
      <w:bookmarkStart w:id="265" w:name="_Toc257202830"/>
      <w:bookmarkStart w:id="266" w:name="_Toc227658495"/>
      <w:bookmarkStart w:id="267" w:name="_Toc452986497"/>
      <w:bookmarkStart w:id="268" w:name="_Toc504565684"/>
      <w:bookmarkStart w:id="269" w:name="_Toc306293161"/>
      <w:bookmarkStart w:id="270" w:name="_Toc449111923"/>
      <w:bookmarkStart w:id="271" w:name="_Toc342046311"/>
      <w:bookmarkStart w:id="272" w:name="_Toc222804521"/>
      <w:bookmarkStart w:id="273" w:name="_Toc389226392"/>
      <w:bookmarkStart w:id="274" w:name="_Toc436998783"/>
      <w:bookmarkStart w:id="275" w:name="_Toc249848947"/>
      <w:bookmarkStart w:id="276" w:name="_Toc260229970"/>
      <w:bookmarkStart w:id="277" w:name="_Toc458599273"/>
      <w:bookmarkStart w:id="278" w:name="_Toc29247"/>
      <w:bookmarkStart w:id="279" w:name="_Toc215561205"/>
      <w:bookmarkStart w:id="280" w:name="_Toc338778037"/>
      <w:bookmarkStart w:id="281" w:name="_Toc340222900"/>
      <w:bookmarkStart w:id="282" w:name="_Toc255741926"/>
      <w:bookmarkStart w:id="283" w:name="_Toc305763051"/>
      <w:bookmarkStart w:id="284" w:name="_Toc368145481"/>
      <w:bookmarkStart w:id="285" w:name="_Toc214355668"/>
      <w:bookmarkStart w:id="286" w:name="_Toc436133233"/>
      <w:bookmarkStart w:id="287" w:name="_Toc208734405"/>
      <w:bookmarkStart w:id="288" w:name="_Toc195864492"/>
      <w:bookmarkStart w:id="289" w:name="_Toc477164657"/>
      <w:bookmarkStart w:id="290" w:name="_Toc211175329"/>
      <w:bookmarkStart w:id="291" w:name="_Toc445105532"/>
      <w:bookmarkStart w:id="292" w:name="_Toc255470262"/>
      <w:bookmarkStart w:id="293" w:name="_Toc274500893"/>
      <w:bookmarkStart w:id="294" w:name="_Toc510197607"/>
      <w:bookmarkStart w:id="295" w:name="_Toc215805048"/>
      <w:bookmarkStart w:id="296" w:name="_Toc248294418"/>
      <w:bookmarkStart w:id="297" w:name="_Toc260230297"/>
      <w:bookmarkStart w:id="298" w:name="_Toc187475837"/>
      <w:bookmarkStart w:id="299" w:name="_Toc255470039"/>
      <w:bookmarkStart w:id="300" w:name="_Toc219172334"/>
      <w:bookmarkStart w:id="301" w:name="_Toc215556187"/>
      <w:bookmarkStart w:id="302" w:name="_Toc28373"/>
      <w:bookmarkStart w:id="303" w:name="_Toc206830018"/>
      <w:bookmarkStart w:id="304" w:name="_Toc371937189"/>
      <w:bookmarkStart w:id="305" w:name="_Toc260649025"/>
      <w:r>
        <w:rPr>
          <w:rFonts w:hint="eastAsia" w:hAnsi="宋体" w:cs="宋体"/>
          <w:b/>
          <w:color w:val="auto"/>
          <w:sz w:val="32"/>
          <w:szCs w:val="32"/>
        </w:rPr>
        <w:t>5. 材料和工程设备</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p w14:paraId="4337A6F9">
      <w:pPr>
        <w:pStyle w:val="180"/>
        <w:spacing w:after="0" w:line="400" w:lineRule="exact"/>
        <w:ind w:firstLine="562"/>
        <w:jc w:val="both"/>
        <w:rPr>
          <w:rFonts w:hAnsi="宋体" w:cs="宋体"/>
          <w:b/>
          <w:color w:val="auto"/>
        </w:rPr>
      </w:pPr>
      <w:r>
        <w:rPr>
          <w:rFonts w:hint="eastAsia" w:hAnsi="宋体" w:cs="宋体"/>
          <w:b/>
          <w:color w:val="auto"/>
        </w:rPr>
        <w:t>5.1 承包人提供的材料和工程设备</w:t>
      </w:r>
    </w:p>
    <w:p w14:paraId="18F654D3">
      <w:pPr>
        <w:pStyle w:val="87"/>
        <w:spacing w:line="400" w:lineRule="exact"/>
        <w:ind w:firstLine="361"/>
        <w:jc w:val="both"/>
        <w:rPr>
          <w:rFonts w:hAnsi="宋体"/>
          <w:color w:val="auto"/>
        </w:rPr>
      </w:pPr>
      <w:r>
        <w:rPr>
          <w:rFonts w:hint="eastAsia" w:hAnsi="宋体"/>
          <w:color w:val="auto"/>
        </w:rPr>
        <w:t>5.1.1 除第5.2款约定由发包人提供的材料和工程设备外，承包人负责采购、运输和保管完成本合同工作所需的材料和工程设备。承包人应对其采购的材料和工程设备负责。</w:t>
      </w:r>
    </w:p>
    <w:p w14:paraId="2DAF4D45">
      <w:pPr>
        <w:pStyle w:val="87"/>
        <w:spacing w:line="400" w:lineRule="exact"/>
        <w:ind w:firstLine="361"/>
        <w:jc w:val="both"/>
        <w:rPr>
          <w:rFonts w:hAnsi="宋体"/>
          <w:color w:val="auto"/>
        </w:rPr>
      </w:pPr>
      <w:r>
        <w:rPr>
          <w:rFonts w:hint="eastAsia" w:hAnsi="宋体"/>
          <w:color w:val="auto"/>
        </w:rPr>
        <w:t>5.1.2 承包人应按专用合同条款的约定，将各项材料和工程设备的供货人及品种、规格、数量和供货时间等报送监理人审批。承包人应向监理人提交其负责提供的材料和工程设备的质量证明文件，并满足合同约定的质量标准。</w:t>
      </w:r>
    </w:p>
    <w:p w14:paraId="185916FC">
      <w:pPr>
        <w:pStyle w:val="87"/>
        <w:spacing w:line="400" w:lineRule="exact"/>
        <w:ind w:firstLine="361"/>
        <w:jc w:val="both"/>
        <w:rPr>
          <w:rFonts w:hAnsi="宋体"/>
          <w:color w:val="auto"/>
        </w:rPr>
      </w:pPr>
      <w:r>
        <w:rPr>
          <w:rFonts w:hint="eastAsia" w:hAnsi="宋体"/>
          <w:color w:val="auto"/>
        </w:rPr>
        <w:t>5.1.3 对承包人提供的材料和工程设备，承包人应会同监理人进行检验和交货验收，查验材料合格证明和产品合格证书，并按合同约定和监理人指示，进行材料的抽样检验和工程设备的检验测试，检验和测试结果应提交监理人，所需费用由承包人承担。</w:t>
      </w:r>
    </w:p>
    <w:p w14:paraId="50D8B0EE">
      <w:pPr>
        <w:pStyle w:val="180"/>
        <w:spacing w:after="0" w:line="400" w:lineRule="exact"/>
        <w:ind w:firstLine="562"/>
        <w:jc w:val="both"/>
        <w:rPr>
          <w:rFonts w:hAnsi="宋体" w:cs="宋体"/>
          <w:b/>
          <w:color w:val="auto"/>
        </w:rPr>
      </w:pPr>
      <w:r>
        <w:rPr>
          <w:rFonts w:hint="eastAsia" w:hAnsi="宋体" w:cs="宋体"/>
          <w:b/>
          <w:color w:val="auto"/>
        </w:rPr>
        <w:t>5.2 发包人提供的材料和工程设备</w:t>
      </w:r>
    </w:p>
    <w:p w14:paraId="1037B155">
      <w:pPr>
        <w:pStyle w:val="87"/>
        <w:spacing w:line="400" w:lineRule="exact"/>
        <w:ind w:firstLine="361"/>
        <w:jc w:val="both"/>
        <w:rPr>
          <w:rFonts w:hAnsi="宋体"/>
          <w:color w:val="auto"/>
        </w:rPr>
      </w:pPr>
      <w:r>
        <w:rPr>
          <w:rFonts w:hint="eastAsia" w:hAnsi="宋体"/>
          <w:color w:val="auto"/>
        </w:rPr>
        <w:t>5.2.1 发包人提供的材料和工程设备，应在专用合同条款中写明材料和工程设备的名称、规格、数量、价格、交货方式、交货地点和计划交货日期等。</w:t>
      </w:r>
    </w:p>
    <w:p w14:paraId="4B98290C">
      <w:pPr>
        <w:pStyle w:val="87"/>
        <w:spacing w:line="400" w:lineRule="exact"/>
        <w:ind w:firstLine="361"/>
        <w:jc w:val="both"/>
        <w:rPr>
          <w:rFonts w:hAnsi="宋体"/>
          <w:color w:val="auto"/>
        </w:rPr>
      </w:pPr>
      <w:r>
        <w:rPr>
          <w:rFonts w:hint="eastAsia" w:hAnsi="宋体"/>
          <w:color w:val="auto"/>
        </w:rPr>
        <w:t>5.2.2 承包人应根据合同进度计划的安排，向监理人报送要求发包人交货的日期计划。发包人应按照监理人与合同双方当事人商定的交货日期，向承包人提交材料和工程设备。</w:t>
      </w:r>
    </w:p>
    <w:p w14:paraId="6F4ADF78">
      <w:pPr>
        <w:pStyle w:val="87"/>
        <w:spacing w:line="400" w:lineRule="exact"/>
        <w:ind w:firstLine="361"/>
        <w:jc w:val="both"/>
        <w:rPr>
          <w:rFonts w:hAnsi="宋体"/>
          <w:color w:val="auto"/>
        </w:rPr>
      </w:pPr>
      <w:r>
        <w:rPr>
          <w:rFonts w:hint="eastAsia" w:hAnsi="宋体"/>
          <w:color w:val="auto"/>
        </w:rPr>
        <w:t>5.2.3 发包人应在材料和工程设备到货7天前通知承包人，承包人应会同监理人在约定的时间内，赴交货地点共同进行验收。发包人提供的材料和工程设备运至交货地点验收后，由承包人负责接收、卸货、运输和保管。</w:t>
      </w:r>
    </w:p>
    <w:p w14:paraId="1E897D00">
      <w:pPr>
        <w:pStyle w:val="87"/>
        <w:spacing w:line="400" w:lineRule="exact"/>
        <w:ind w:firstLine="361"/>
        <w:jc w:val="both"/>
        <w:rPr>
          <w:rFonts w:hAnsi="宋体"/>
          <w:color w:val="auto"/>
        </w:rPr>
      </w:pPr>
      <w:r>
        <w:rPr>
          <w:rFonts w:hint="eastAsia" w:hAnsi="宋体"/>
          <w:color w:val="auto"/>
        </w:rPr>
        <w:t>5.2.4 发包人要求向承包人提前交货的，承包人不得拒绝，但发包人应承担承包人由此增加的费用。</w:t>
      </w:r>
    </w:p>
    <w:p w14:paraId="5E21A3F4">
      <w:pPr>
        <w:pStyle w:val="87"/>
        <w:spacing w:line="400" w:lineRule="exact"/>
        <w:ind w:firstLine="361"/>
        <w:jc w:val="both"/>
        <w:rPr>
          <w:rFonts w:hAnsi="宋体"/>
          <w:color w:val="auto"/>
        </w:rPr>
      </w:pPr>
      <w:r>
        <w:rPr>
          <w:rFonts w:hint="eastAsia" w:hAnsi="宋体"/>
          <w:color w:val="auto"/>
        </w:rPr>
        <w:t>5.2.5 承包人要求更改交货日期或地点的，应事先报请监理人批准。由于承包人要求更改交货时间或地点所增加的费用和（或）工期延误由承包人承担。</w:t>
      </w:r>
    </w:p>
    <w:p w14:paraId="7C58F98C">
      <w:pPr>
        <w:pStyle w:val="87"/>
        <w:spacing w:line="400" w:lineRule="exact"/>
        <w:ind w:firstLine="361"/>
        <w:jc w:val="both"/>
        <w:rPr>
          <w:rFonts w:hAnsi="宋体"/>
          <w:color w:val="auto"/>
        </w:rPr>
      </w:pPr>
      <w:r>
        <w:rPr>
          <w:rFonts w:hint="eastAsia" w:hAnsi="宋体"/>
          <w:color w:val="auto"/>
        </w:rPr>
        <w:t>5.2.6 发包人提供的材料和工程设备的规格、数量或质量不符合合同要求，或由于发包人原因发生交货日期延误及交货地点变更等情况的，发包人应承担由此增加的费用和（或）工期延误，并向承包人支付合理利润。</w:t>
      </w:r>
    </w:p>
    <w:p w14:paraId="35932D57">
      <w:pPr>
        <w:pStyle w:val="180"/>
        <w:spacing w:after="0" w:line="400" w:lineRule="exact"/>
        <w:ind w:firstLine="562"/>
        <w:jc w:val="both"/>
        <w:rPr>
          <w:rFonts w:hAnsi="宋体" w:cs="宋体"/>
          <w:b/>
          <w:color w:val="auto"/>
        </w:rPr>
      </w:pPr>
      <w:r>
        <w:rPr>
          <w:rFonts w:hint="eastAsia" w:hAnsi="宋体" w:cs="宋体"/>
          <w:b/>
          <w:color w:val="auto"/>
        </w:rPr>
        <w:t>5.3 材料和工程设备专用于合同工程</w:t>
      </w:r>
    </w:p>
    <w:p w14:paraId="4D986ADF">
      <w:pPr>
        <w:pStyle w:val="87"/>
        <w:spacing w:line="400" w:lineRule="exact"/>
        <w:ind w:firstLine="361"/>
        <w:jc w:val="both"/>
        <w:rPr>
          <w:rFonts w:hAnsi="宋体"/>
          <w:color w:val="auto"/>
        </w:rPr>
      </w:pPr>
      <w:r>
        <w:rPr>
          <w:rFonts w:hint="eastAsia" w:hAnsi="宋体"/>
          <w:color w:val="auto"/>
        </w:rPr>
        <w:t>5.3.1 运入施工场地的材料、工程设备，包括备品备件、安装专用工器具与随机资料，必须专用于合同工程，未经监理人同意，承包人不得运出施工场地或挪作他用。</w:t>
      </w:r>
    </w:p>
    <w:p w14:paraId="0B2085CE">
      <w:pPr>
        <w:pStyle w:val="87"/>
        <w:spacing w:line="400" w:lineRule="exact"/>
        <w:ind w:firstLine="361"/>
        <w:jc w:val="both"/>
        <w:rPr>
          <w:rFonts w:hAnsi="宋体"/>
          <w:color w:val="auto"/>
        </w:rPr>
      </w:pPr>
      <w:r>
        <w:rPr>
          <w:rFonts w:hint="eastAsia" w:hAnsi="宋体"/>
          <w:color w:val="auto"/>
        </w:rPr>
        <w:t>5.3.2 随同工程设备运入施工场地的备品备件、专用工器具与随机资料，应由承包人会同监理人按供货人的装箱单清点后共同封存，未经监理人同意不得启用。承包人因合同工作需要使用上述物品时，应向监理人提出申请。</w:t>
      </w:r>
    </w:p>
    <w:p w14:paraId="7148C556">
      <w:pPr>
        <w:pStyle w:val="180"/>
        <w:spacing w:after="0" w:line="400" w:lineRule="exact"/>
        <w:ind w:firstLine="562"/>
        <w:jc w:val="both"/>
        <w:rPr>
          <w:rFonts w:hAnsi="宋体" w:cs="宋体"/>
          <w:b/>
          <w:color w:val="auto"/>
        </w:rPr>
      </w:pPr>
      <w:r>
        <w:rPr>
          <w:rFonts w:hint="eastAsia" w:hAnsi="宋体" w:cs="宋体"/>
          <w:b/>
          <w:color w:val="auto"/>
        </w:rPr>
        <w:t>5.4 禁止使用不合格的材料和工程设备</w:t>
      </w:r>
    </w:p>
    <w:p w14:paraId="73042D81">
      <w:pPr>
        <w:pStyle w:val="87"/>
        <w:spacing w:line="400" w:lineRule="exact"/>
        <w:ind w:firstLine="361"/>
        <w:jc w:val="both"/>
        <w:rPr>
          <w:rFonts w:hAnsi="宋体"/>
          <w:color w:val="auto"/>
        </w:rPr>
      </w:pPr>
      <w:r>
        <w:rPr>
          <w:rFonts w:hint="eastAsia" w:hAnsi="宋体"/>
          <w:color w:val="auto"/>
        </w:rPr>
        <w:t>5.4.1 监理人有权拒绝承包人提供的不合格材料或工程设备，并要求承包人立即进行更换。监理人应在更换后再次进行检查和检验，由此增加的费用和（或）工期延误由承包人承担。</w:t>
      </w:r>
    </w:p>
    <w:p w14:paraId="50E9E0F0">
      <w:pPr>
        <w:pStyle w:val="87"/>
        <w:spacing w:line="400" w:lineRule="exact"/>
        <w:ind w:firstLine="361"/>
        <w:jc w:val="both"/>
        <w:rPr>
          <w:rFonts w:hAnsi="宋体"/>
          <w:color w:val="auto"/>
        </w:rPr>
      </w:pPr>
      <w:r>
        <w:rPr>
          <w:rFonts w:hint="eastAsia" w:hAnsi="宋体"/>
          <w:color w:val="auto"/>
        </w:rPr>
        <w:t>5.4.2 监理人发现承包人使用了不合格的材料和工程设备，应即时发出指示要求承包人立即改正，并禁止在工程中继续使用不合格的材料和工程设备。</w:t>
      </w:r>
    </w:p>
    <w:p w14:paraId="59999A06">
      <w:pPr>
        <w:pStyle w:val="87"/>
        <w:spacing w:line="400" w:lineRule="exact"/>
        <w:ind w:firstLine="361"/>
        <w:jc w:val="both"/>
        <w:rPr>
          <w:rFonts w:hAnsi="宋体"/>
          <w:color w:val="auto"/>
        </w:rPr>
      </w:pPr>
      <w:r>
        <w:rPr>
          <w:rFonts w:hint="eastAsia" w:hAnsi="宋体"/>
          <w:color w:val="auto"/>
        </w:rPr>
        <w:t>5.4.3 发包人提供的材料或工程设备不符合合同要求的，承包人有权拒绝，并可要求发包人更换，由此增加的费用和（或）工期延误由发包人承担。</w:t>
      </w:r>
    </w:p>
    <w:p w14:paraId="68F5683F">
      <w:pPr>
        <w:pStyle w:val="180"/>
        <w:spacing w:before="100" w:after="100" w:line="400" w:lineRule="exact"/>
        <w:ind w:firstLine="643"/>
        <w:jc w:val="both"/>
        <w:rPr>
          <w:rFonts w:hAnsi="宋体" w:cs="宋体"/>
          <w:b/>
          <w:color w:val="auto"/>
          <w:sz w:val="32"/>
          <w:szCs w:val="32"/>
        </w:rPr>
      </w:pPr>
      <w:bookmarkStart w:id="306" w:name="_Toc371937190"/>
      <w:bookmarkStart w:id="307" w:name="_Toc245110736"/>
      <w:bookmarkStart w:id="308" w:name="_Toc260229971"/>
      <w:bookmarkStart w:id="309" w:name="_Toc504565685"/>
      <w:bookmarkStart w:id="310" w:name="_Toc248294419"/>
      <w:bookmarkStart w:id="311" w:name="_Toc222804522"/>
      <w:bookmarkStart w:id="312" w:name="_Toc436998784"/>
      <w:bookmarkStart w:id="313" w:name="_Toc211175330"/>
      <w:bookmarkStart w:id="314" w:name="_Toc338778038"/>
      <w:bookmarkStart w:id="315" w:name="_Toc445105533"/>
      <w:bookmarkStart w:id="316" w:name="_Toc458599274"/>
      <w:bookmarkStart w:id="317" w:name="_Toc340222901"/>
      <w:bookmarkStart w:id="318" w:name="_Toc340436791"/>
      <w:bookmarkStart w:id="319" w:name="_Toc214355669"/>
      <w:bookmarkStart w:id="320" w:name="_Toc249848948"/>
      <w:bookmarkStart w:id="321" w:name="_Toc368145482"/>
      <w:bookmarkStart w:id="322" w:name="_Toc460581176"/>
      <w:bookmarkStart w:id="323" w:name="_Toc1353"/>
      <w:bookmarkStart w:id="324" w:name="_Toc270517140"/>
      <w:bookmarkStart w:id="325" w:name="_Toc450123130"/>
      <w:bookmarkStart w:id="326" w:name="_Toc206830019"/>
      <w:bookmarkStart w:id="327" w:name="_Toc342046312"/>
      <w:bookmarkStart w:id="328" w:name="_Toc436309943"/>
      <w:bookmarkStart w:id="329" w:name="_Toc187475838"/>
      <w:bookmarkStart w:id="330" w:name="_Toc260649026"/>
      <w:bookmarkStart w:id="331" w:name="_Toc476231297"/>
      <w:bookmarkStart w:id="332" w:name="_Toc260230298"/>
      <w:bookmarkStart w:id="333" w:name="_Toc510197608"/>
      <w:bookmarkStart w:id="334" w:name="_Toc227658496"/>
      <w:bookmarkStart w:id="335" w:name="_Toc254774407"/>
      <w:bookmarkStart w:id="336" w:name="_Toc453768096"/>
      <w:bookmarkStart w:id="337" w:name="_Toc255741927"/>
      <w:bookmarkStart w:id="338" w:name="_Toc504565798"/>
      <w:bookmarkStart w:id="339" w:name="_Toc388633673"/>
      <w:bookmarkStart w:id="340" w:name="_Toc351898543"/>
      <w:bookmarkStart w:id="341" w:name="_Toc510197470"/>
      <w:bookmarkStart w:id="342" w:name="_Toc436309591"/>
      <w:bookmarkStart w:id="343" w:name="_Toc12633"/>
      <w:bookmarkStart w:id="344" w:name="_Toc255470263"/>
      <w:bookmarkStart w:id="345" w:name="_Toc209862328"/>
      <w:bookmarkStart w:id="346" w:name="_Toc305763052"/>
      <w:bookmarkStart w:id="347" w:name="_Toc449111924"/>
      <w:bookmarkStart w:id="348" w:name="_Toc257202831"/>
      <w:bookmarkStart w:id="349" w:name="_Toc436133234"/>
      <w:bookmarkStart w:id="350" w:name="_Toc350857425"/>
      <w:bookmarkStart w:id="351" w:name="_Toc255470040"/>
      <w:bookmarkStart w:id="352" w:name="_Toc306293162"/>
      <w:bookmarkStart w:id="353" w:name="_Toc215561206"/>
      <w:bookmarkStart w:id="354" w:name="_Toc389226393"/>
      <w:bookmarkStart w:id="355" w:name="_Toc477164658"/>
      <w:bookmarkStart w:id="356" w:name="_Toc219172335"/>
      <w:bookmarkStart w:id="357" w:name="_Toc195864493"/>
      <w:bookmarkStart w:id="358" w:name="_Toc452986498"/>
      <w:bookmarkStart w:id="359" w:name="_Toc450123364"/>
      <w:bookmarkStart w:id="360" w:name="_Toc187845998"/>
      <w:bookmarkStart w:id="361" w:name="_Toc208734406"/>
      <w:bookmarkStart w:id="362" w:name="_Toc215805049"/>
      <w:bookmarkStart w:id="363" w:name="_Toc439772697"/>
      <w:bookmarkStart w:id="364" w:name="_Toc215556188"/>
      <w:bookmarkStart w:id="365" w:name="_Toc274500894"/>
      <w:r>
        <w:rPr>
          <w:rFonts w:hint="eastAsia" w:hAnsi="宋体" w:cs="宋体"/>
          <w:b/>
          <w:color w:val="auto"/>
          <w:sz w:val="32"/>
          <w:szCs w:val="32"/>
        </w:rPr>
        <w:t>6. 施工设备和临时设施</w:t>
      </w:r>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p>
    <w:p w14:paraId="61117D20">
      <w:pPr>
        <w:pStyle w:val="180"/>
        <w:spacing w:after="0" w:line="400" w:lineRule="exact"/>
        <w:ind w:firstLine="562"/>
        <w:jc w:val="both"/>
        <w:rPr>
          <w:rFonts w:hAnsi="宋体" w:cs="宋体"/>
          <w:b/>
          <w:color w:val="auto"/>
        </w:rPr>
      </w:pPr>
      <w:r>
        <w:rPr>
          <w:rFonts w:hint="eastAsia" w:hAnsi="宋体" w:cs="宋体"/>
          <w:b/>
          <w:color w:val="auto"/>
        </w:rPr>
        <w:t>6.1 承包人提供的施工设备和临时设施</w:t>
      </w:r>
    </w:p>
    <w:p w14:paraId="22728521">
      <w:pPr>
        <w:pStyle w:val="87"/>
        <w:spacing w:line="400" w:lineRule="exact"/>
        <w:ind w:firstLine="361"/>
        <w:jc w:val="both"/>
        <w:rPr>
          <w:rFonts w:hAnsi="宋体"/>
          <w:color w:val="auto"/>
        </w:rPr>
      </w:pPr>
      <w:r>
        <w:rPr>
          <w:rFonts w:hint="eastAsia" w:hAnsi="宋体"/>
          <w:color w:val="auto"/>
        </w:rPr>
        <w:t>6.1.1 承包人应按合同进度计划的要求，及时配置施工设备和修建临时设施。进入施工场地的承包人设备需经监理人核查后才能投入使用。承包人更换合同约定的承包人设备的，应报监理人批准。</w:t>
      </w:r>
    </w:p>
    <w:p w14:paraId="56B5DCF9">
      <w:pPr>
        <w:pStyle w:val="87"/>
        <w:spacing w:line="400" w:lineRule="exact"/>
        <w:ind w:firstLine="361"/>
        <w:jc w:val="both"/>
        <w:rPr>
          <w:rFonts w:hAnsi="宋体"/>
          <w:color w:val="auto"/>
        </w:rPr>
      </w:pPr>
      <w:r>
        <w:rPr>
          <w:rFonts w:hint="eastAsia" w:hAnsi="宋体"/>
          <w:color w:val="auto"/>
        </w:rPr>
        <w:t>6.1.2 除专用合同条款另有约定外，承包人应自行承担修建临时设施的费用，需要临时占地的，应由发包人办理申请手续并承担相应费用。</w:t>
      </w:r>
    </w:p>
    <w:p w14:paraId="7717634F">
      <w:pPr>
        <w:pStyle w:val="180"/>
        <w:spacing w:after="0" w:line="400" w:lineRule="exact"/>
        <w:ind w:firstLine="562"/>
        <w:jc w:val="both"/>
        <w:rPr>
          <w:rFonts w:hAnsi="宋体" w:cs="宋体"/>
          <w:b/>
          <w:color w:val="auto"/>
        </w:rPr>
      </w:pPr>
      <w:r>
        <w:rPr>
          <w:rFonts w:hint="eastAsia" w:hAnsi="宋体" w:cs="宋体"/>
          <w:b/>
          <w:color w:val="auto"/>
        </w:rPr>
        <w:t>6.2 发包人提供的施工设备和临时设施</w:t>
      </w:r>
    </w:p>
    <w:p w14:paraId="676D6785">
      <w:pPr>
        <w:pStyle w:val="87"/>
        <w:spacing w:line="400" w:lineRule="exact"/>
        <w:ind w:firstLine="361"/>
        <w:jc w:val="both"/>
        <w:rPr>
          <w:rFonts w:hAnsi="宋体"/>
          <w:color w:val="auto"/>
        </w:rPr>
      </w:pPr>
      <w:r>
        <w:rPr>
          <w:rFonts w:hint="eastAsia" w:hAnsi="宋体"/>
          <w:color w:val="auto"/>
        </w:rPr>
        <w:t>发包人提供的施工设备或临时设施在专用合同条款中约定。</w:t>
      </w:r>
    </w:p>
    <w:p w14:paraId="37CAFF5E">
      <w:pPr>
        <w:pStyle w:val="180"/>
        <w:spacing w:after="0" w:line="400" w:lineRule="exact"/>
        <w:ind w:firstLine="562"/>
        <w:jc w:val="both"/>
        <w:rPr>
          <w:rFonts w:hAnsi="宋体" w:cs="宋体"/>
          <w:b/>
          <w:color w:val="auto"/>
        </w:rPr>
      </w:pPr>
      <w:r>
        <w:rPr>
          <w:rFonts w:hint="eastAsia" w:hAnsi="宋体" w:cs="宋体"/>
          <w:b/>
          <w:color w:val="auto"/>
        </w:rPr>
        <w:t>6.3 要求承包人增加或更换施工设备</w:t>
      </w:r>
    </w:p>
    <w:p w14:paraId="3AACCB29">
      <w:pPr>
        <w:pStyle w:val="87"/>
        <w:spacing w:line="400" w:lineRule="exact"/>
        <w:ind w:firstLine="361"/>
        <w:jc w:val="both"/>
        <w:rPr>
          <w:rFonts w:hAnsi="宋体"/>
          <w:color w:val="auto"/>
        </w:rPr>
      </w:pPr>
      <w:r>
        <w:rPr>
          <w:rFonts w:hint="eastAsia" w:hAnsi="宋体"/>
          <w:color w:val="auto"/>
        </w:rPr>
        <w:t>承包人使用的施工设备不能满足合同进度计划和（或）质量要求时，监理人有权要求承包人增加或更换施工设备，承包人应及时增加或更换，由此增加的费用和（或）工期延误由承包人承担。</w:t>
      </w:r>
    </w:p>
    <w:p w14:paraId="150EB01E">
      <w:pPr>
        <w:pStyle w:val="180"/>
        <w:spacing w:after="0" w:line="400" w:lineRule="exact"/>
        <w:ind w:firstLine="562"/>
        <w:jc w:val="both"/>
        <w:rPr>
          <w:rFonts w:hAnsi="宋体" w:cs="宋体"/>
          <w:b/>
          <w:color w:val="auto"/>
        </w:rPr>
      </w:pPr>
      <w:r>
        <w:rPr>
          <w:rFonts w:hint="eastAsia" w:hAnsi="宋体" w:cs="宋体"/>
          <w:b/>
          <w:color w:val="auto"/>
        </w:rPr>
        <w:t>6.4 施工设备和临时设施专用于合同工程</w:t>
      </w:r>
    </w:p>
    <w:p w14:paraId="6019410B">
      <w:pPr>
        <w:pStyle w:val="188"/>
        <w:ind w:right="100" w:firstLine="560"/>
        <w:jc w:val="both"/>
        <w:rPr>
          <w:rFonts w:hAnsi="宋体" w:cs="宋体"/>
          <w:color w:val="auto"/>
        </w:rPr>
      </w:pPr>
      <w:r>
        <w:rPr>
          <w:rFonts w:hint="eastAsia" w:hAnsi="宋体" w:cs="宋体"/>
          <w:color w:val="auto"/>
        </w:rPr>
        <w:t>6.4.1 除合同另有约定外，运入施工场地的所有施工设备以及在施工场地建设的临时设施应专用于合同工程。未经监理人同意，不得将上述施工设备和临时设施中的任何部分运出施工场地或挪作他用。</w:t>
      </w:r>
    </w:p>
    <w:p w14:paraId="6485DEC8">
      <w:pPr>
        <w:pStyle w:val="180"/>
        <w:spacing w:line="398" w:lineRule="atLeast"/>
        <w:ind w:firstLine="560"/>
        <w:jc w:val="both"/>
        <w:rPr>
          <w:rFonts w:hAnsi="宋体" w:cs="宋体"/>
          <w:color w:val="auto"/>
        </w:rPr>
      </w:pPr>
      <w:r>
        <w:rPr>
          <w:rFonts w:hint="eastAsia" w:hAnsi="宋体" w:cs="宋体"/>
          <w:color w:val="auto"/>
        </w:rPr>
        <w:t>6.4.2 经监理人同意，承包人可根据合同进度计划撤走闲置的施工设备。</w:t>
      </w:r>
    </w:p>
    <w:p w14:paraId="5A34C3F4">
      <w:pPr>
        <w:pStyle w:val="180"/>
        <w:spacing w:before="100" w:after="100" w:line="400" w:lineRule="exact"/>
        <w:ind w:firstLine="643"/>
        <w:jc w:val="both"/>
        <w:rPr>
          <w:rFonts w:hAnsi="宋体" w:cs="宋体"/>
          <w:b/>
          <w:color w:val="auto"/>
          <w:sz w:val="32"/>
          <w:szCs w:val="32"/>
        </w:rPr>
      </w:pPr>
      <w:bookmarkStart w:id="366" w:name="_Toc460581177"/>
      <w:bookmarkStart w:id="367" w:name="_Toc305763053"/>
      <w:bookmarkStart w:id="368" w:name="_Toc338778039"/>
      <w:bookmarkStart w:id="369" w:name="_Toc350857426"/>
      <w:bookmarkStart w:id="370" w:name="_Toc510197609"/>
      <w:bookmarkStart w:id="371" w:name="_Toc10873"/>
      <w:bookmarkStart w:id="372" w:name="_Toc222804523"/>
      <w:bookmarkStart w:id="373" w:name="_Toc342046313"/>
      <w:bookmarkStart w:id="374" w:name="_Toc453768097"/>
      <w:bookmarkStart w:id="375" w:name="_Toc255741928"/>
      <w:bookmarkStart w:id="376" w:name="_Toc270517141"/>
      <w:bookmarkStart w:id="377" w:name="_Toc255470264"/>
      <w:bookmarkStart w:id="378" w:name="_Toc504565686"/>
      <w:bookmarkStart w:id="379" w:name="_Toc436309592"/>
      <w:bookmarkStart w:id="380" w:name="_Toc274500895"/>
      <w:bookmarkStart w:id="381" w:name="_Toc21541"/>
      <w:bookmarkStart w:id="382" w:name="_Toc477164659"/>
      <w:bookmarkStart w:id="383" w:name="_Toc504565799"/>
      <w:bookmarkStart w:id="384" w:name="_Toc195864494"/>
      <w:bookmarkStart w:id="385" w:name="_Toc215561207"/>
      <w:bookmarkStart w:id="386" w:name="_Toc452986499"/>
      <w:bookmarkStart w:id="387" w:name="_Toc371937191"/>
      <w:bookmarkStart w:id="388" w:name="_Toc257202832"/>
      <w:bookmarkStart w:id="389" w:name="_Toc449111925"/>
      <w:bookmarkStart w:id="390" w:name="_Toc476231298"/>
      <w:bookmarkStart w:id="391" w:name="_Toc215556189"/>
      <w:bookmarkStart w:id="392" w:name="_Toc351898544"/>
      <w:bookmarkStart w:id="393" w:name="_Toc260229972"/>
      <w:bookmarkStart w:id="394" w:name="_Toc458599275"/>
      <w:bookmarkStart w:id="395" w:name="_Toc436309944"/>
      <w:bookmarkStart w:id="396" w:name="_Toc208734407"/>
      <w:bookmarkStart w:id="397" w:name="_Toc340222902"/>
      <w:bookmarkStart w:id="398" w:name="_Toc439772698"/>
      <w:bookmarkStart w:id="399" w:name="_Toc249848949"/>
      <w:bookmarkStart w:id="400" w:name="_Toc260649027"/>
      <w:bookmarkStart w:id="401" w:name="_Toc187475839"/>
      <w:bookmarkStart w:id="402" w:name="_Toc450123365"/>
      <w:bookmarkStart w:id="403" w:name="_Toc215805050"/>
      <w:bookmarkStart w:id="404" w:name="_Toc254774408"/>
      <w:bookmarkStart w:id="405" w:name="_Toc389226394"/>
      <w:bookmarkStart w:id="406" w:name="_Toc340436792"/>
      <w:bookmarkStart w:id="407" w:name="_Toc368145483"/>
      <w:bookmarkStart w:id="408" w:name="_Toc214355670"/>
      <w:bookmarkStart w:id="409" w:name="_Toc388633674"/>
      <w:bookmarkStart w:id="410" w:name="_Toc436133235"/>
      <w:bookmarkStart w:id="411" w:name="_Toc187845999"/>
      <w:bookmarkStart w:id="412" w:name="_Toc510197471"/>
      <w:bookmarkStart w:id="413" w:name="_Toc227658497"/>
      <w:bookmarkStart w:id="414" w:name="_Toc209862329"/>
      <w:bookmarkStart w:id="415" w:name="_Toc436998785"/>
      <w:bookmarkStart w:id="416" w:name="_Toc248294420"/>
      <w:bookmarkStart w:id="417" w:name="_Toc219172336"/>
      <w:bookmarkStart w:id="418" w:name="_Toc245110737"/>
      <w:bookmarkStart w:id="419" w:name="_Toc445105534"/>
      <w:bookmarkStart w:id="420" w:name="_Toc255470041"/>
      <w:bookmarkStart w:id="421" w:name="_Toc450123131"/>
      <w:bookmarkStart w:id="422" w:name="_Toc211175331"/>
      <w:bookmarkStart w:id="423" w:name="_Toc306293163"/>
      <w:bookmarkStart w:id="424" w:name="_Toc260230299"/>
      <w:bookmarkStart w:id="425" w:name="_Toc206830020"/>
      <w:r>
        <w:rPr>
          <w:rFonts w:hint="eastAsia" w:hAnsi="宋体" w:cs="宋体"/>
          <w:b/>
          <w:color w:val="auto"/>
          <w:sz w:val="32"/>
          <w:szCs w:val="32"/>
        </w:rPr>
        <w:t>7. 交通运输</w:t>
      </w:r>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p>
    <w:p w14:paraId="713B40B4">
      <w:pPr>
        <w:pStyle w:val="180"/>
        <w:spacing w:after="0" w:line="400" w:lineRule="exact"/>
        <w:ind w:firstLine="562"/>
        <w:jc w:val="both"/>
        <w:rPr>
          <w:rFonts w:hAnsi="宋体" w:cs="宋体"/>
          <w:b/>
          <w:color w:val="auto"/>
        </w:rPr>
      </w:pPr>
      <w:r>
        <w:rPr>
          <w:rFonts w:hint="eastAsia" w:hAnsi="宋体" w:cs="宋体"/>
          <w:b/>
          <w:color w:val="auto"/>
        </w:rPr>
        <w:t>7.1 道路通行权和场外设施</w:t>
      </w:r>
    </w:p>
    <w:p w14:paraId="1C5C8182">
      <w:pPr>
        <w:pStyle w:val="188"/>
        <w:ind w:right="100" w:firstLine="560"/>
        <w:jc w:val="both"/>
        <w:rPr>
          <w:rFonts w:hAnsi="宋体" w:cs="宋体"/>
          <w:color w:val="auto"/>
        </w:rPr>
      </w:pPr>
      <w:r>
        <w:rPr>
          <w:rFonts w:hint="eastAsia" w:hAnsi="宋体" w:cs="宋体"/>
          <w:color w:val="auto"/>
        </w:rPr>
        <w:t>除专用合同条款另有约定外，承包人应根据合同工程的施工需要，负责办理取得出入施工场地的专用和临时道路的通行权，以及取得为工程建设所需修建场外设施的权利，并承担相关费用。发包人应协助承包人办理上述手续。</w:t>
      </w:r>
    </w:p>
    <w:p w14:paraId="20CC6A4B">
      <w:pPr>
        <w:pStyle w:val="180"/>
        <w:spacing w:after="0" w:line="400" w:lineRule="exact"/>
        <w:ind w:firstLine="562"/>
        <w:jc w:val="both"/>
        <w:rPr>
          <w:rFonts w:hAnsi="宋体" w:cs="宋体"/>
          <w:b/>
          <w:color w:val="auto"/>
        </w:rPr>
      </w:pPr>
      <w:r>
        <w:rPr>
          <w:rFonts w:hint="eastAsia" w:hAnsi="宋体" w:cs="宋体"/>
          <w:b/>
          <w:color w:val="auto"/>
        </w:rPr>
        <w:t>7.2 场内施工道路</w:t>
      </w:r>
    </w:p>
    <w:p w14:paraId="2A5A1326">
      <w:pPr>
        <w:pStyle w:val="188"/>
        <w:ind w:right="100" w:firstLine="560"/>
        <w:jc w:val="both"/>
        <w:rPr>
          <w:rFonts w:hAnsi="宋体" w:cs="宋体"/>
          <w:color w:val="auto"/>
        </w:rPr>
      </w:pPr>
      <w:r>
        <w:rPr>
          <w:rFonts w:hint="eastAsia" w:hAnsi="宋体" w:cs="宋体"/>
          <w:color w:val="auto"/>
        </w:rPr>
        <w:t>7.2.1 除本合同约定由发包人提供的部分道路和交通设施外，承包人应负责修建、维修、养护和管理其施工所需的全部临时道路和交通设施(包括合同约定由发包人提供的部分道路和交通设施的维修、养护和管理)，并承担相应费用。</w:t>
      </w:r>
    </w:p>
    <w:p w14:paraId="020B2485">
      <w:pPr>
        <w:pStyle w:val="188"/>
        <w:ind w:right="100" w:firstLine="560"/>
        <w:jc w:val="both"/>
        <w:rPr>
          <w:rFonts w:hAnsi="宋体" w:cs="宋体"/>
          <w:color w:val="auto"/>
        </w:rPr>
      </w:pPr>
      <w:r>
        <w:rPr>
          <w:rFonts w:hint="eastAsia" w:hAnsi="宋体" w:cs="宋体"/>
          <w:color w:val="auto"/>
        </w:rPr>
        <w:t>7.2.2 承包人修建的临时道路和交通设施，应免费提供发包人、监理人以及与本合同有关的其他承包人使用。</w:t>
      </w:r>
    </w:p>
    <w:p w14:paraId="22888AB1">
      <w:pPr>
        <w:pStyle w:val="180"/>
        <w:spacing w:after="0" w:line="400" w:lineRule="exact"/>
        <w:ind w:firstLine="562"/>
        <w:jc w:val="both"/>
        <w:rPr>
          <w:rFonts w:hAnsi="宋体" w:cs="宋体"/>
          <w:b/>
          <w:color w:val="auto"/>
        </w:rPr>
      </w:pPr>
      <w:r>
        <w:rPr>
          <w:rFonts w:hint="eastAsia" w:hAnsi="宋体" w:cs="宋体"/>
          <w:b/>
          <w:color w:val="auto"/>
        </w:rPr>
        <w:t>7.3 场外交通</w:t>
      </w:r>
    </w:p>
    <w:p w14:paraId="49C25067">
      <w:pPr>
        <w:pStyle w:val="188"/>
        <w:ind w:right="100" w:firstLine="560"/>
        <w:jc w:val="both"/>
        <w:rPr>
          <w:rFonts w:hAnsi="宋体" w:cs="宋体"/>
          <w:color w:val="auto"/>
        </w:rPr>
      </w:pPr>
      <w:r>
        <w:rPr>
          <w:rFonts w:hint="eastAsia" w:hAnsi="宋体" w:cs="宋体"/>
          <w:color w:val="auto"/>
        </w:rPr>
        <w:t>7.3.1 承包人车辆外出行驶所需的场外公共道路的通行费、养路费和税款等由承包人承担。</w:t>
      </w:r>
    </w:p>
    <w:p w14:paraId="72E55FB1">
      <w:pPr>
        <w:pStyle w:val="188"/>
        <w:ind w:right="100" w:firstLine="560"/>
        <w:jc w:val="both"/>
        <w:rPr>
          <w:rFonts w:hAnsi="宋体" w:cs="宋体"/>
          <w:color w:val="auto"/>
        </w:rPr>
      </w:pPr>
      <w:r>
        <w:rPr>
          <w:rFonts w:hint="eastAsia" w:hAnsi="宋体" w:cs="宋体"/>
          <w:color w:val="auto"/>
        </w:rPr>
        <w:t>7.3.2 承包人应遵守有关交通法规，严格按照道路和桥梁的限制荷重安全行驶，并服从交通管理部门的检查和监督。</w:t>
      </w:r>
    </w:p>
    <w:p w14:paraId="2E49128D">
      <w:pPr>
        <w:pStyle w:val="180"/>
        <w:spacing w:after="0" w:line="400" w:lineRule="exact"/>
        <w:ind w:firstLine="562"/>
        <w:jc w:val="both"/>
        <w:rPr>
          <w:rFonts w:hAnsi="宋体" w:cs="宋体"/>
          <w:b/>
          <w:color w:val="auto"/>
        </w:rPr>
      </w:pPr>
      <w:r>
        <w:rPr>
          <w:rFonts w:hint="eastAsia" w:hAnsi="宋体" w:cs="宋体"/>
          <w:b/>
          <w:color w:val="auto"/>
        </w:rPr>
        <w:t>7.4 超大件和超重件的运输</w:t>
      </w:r>
    </w:p>
    <w:p w14:paraId="4B511E9E">
      <w:pPr>
        <w:pStyle w:val="188"/>
        <w:ind w:right="100" w:firstLine="560"/>
        <w:jc w:val="both"/>
        <w:rPr>
          <w:rFonts w:hAnsi="宋体" w:cs="宋体"/>
          <w:color w:val="auto"/>
        </w:rPr>
      </w:pPr>
      <w:r>
        <w:rPr>
          <w:rFonts w:hint="eastAsia" w:hAnsi="宋体" w:cs="宋体"/>
          <w:color w:val="auto"/>
        </w:rPr>
        <w:t>由承包人负责运输的超大件或超重件，应由承包人负责向交通管理部门办理申请手续，发包人给予协助。运输超大件或超重件所需的道路和桥梁临时加固改造费用和其他有关费用，由承包人承担，但专用合同条款另有约定除外。</w:t>
      </w:r>
    </w:p>
    <w:p w14:paraId="23B43D47">
      <w:pPr>
        <w:pStyle w:val="180"/>
        <w:spacing w:after="0" w:line="400" w:lineRule="exact"/>
        <w:ind w:firstLine="562"/>
        <w:jc w:val="both"/>
        <w:rPr>
          <w:rFonts w:hAnsi="宋体" w:cs="宋体"/>
          <w:b/>
          <w:color w:val="auto"/>
        </w:rPr>
      </w:pPr>
      <w:r>
        <w:rPr>
          <w:rFonts w:hint="eastAsia" w:hAnsi="宋体" w:cs="宋体"/>
          <w:b/>
          <w:color w:val="auto"/>
        </w:rPr>
        <w:t>7.5 道路和桥梁的损坏责任</w:t>
      </w:r>
    </w:p>
    <w:p w14:paraId="77174376">
      <w:pPr>
        <w:pStyle w:val="188"/>
        <w:ind w:right="100" w:firstLine="560"/>
        <w:jc w:val="both"/>
        <w:rPr>
          <w:rFonts w:hAnsi="宋体" w:cs="宋体"/>
          <w:color w:val="auto"/>
        </w:rPr>
      </w:pPr>
      <w:r>
        <w:rPr>
          <w:rFonts w:hint="eastAsia" w:hAnsi="宋体" w:cs="宋体"/>
          <w:color w:val="auto"/>
        </w:rPr>
        <w:t>因承包人运输造成施工场地内外公共道路和桥梁损坏的，由承包人承担修复损坏的全部费用和可能引起的赔偿。</w:t>
      </w:r>
    </w:p>
    <w:p w14:paraId="6F95E5E3">
      <w:pPr>
        <w:pStyle w:val="180"/>
        <w:spacing w:after="0" w:line="400" w:lineRule="exact"/>
        <w:ind w:firstLine="562"/>
        <w:jc w:val="both"/>
        <w:rPr>
          <w:rFonts w:hAnsi="宋体" w:cs="宋体"/>
          <w:b/>
          <w:color w:val="auto"/>
        </w:rPr>
      </w:pPr>
      <w:r>
        <w:rPr>
          <w:rFonts w:hint="eastAsia" w:hAnsi="宋体" w:cs="宋体"/>
          <w:b/>
          <w:color w:val="auto"/>
        </w:rPr>
        <w:t>7.6 水路和航空运输</w:t>
      </w:r>
    </w:p>
    <w:p w14:paraId="5289528C">
      <w:pPr>
        <w:pStyle w:val="188"/>
        <w:ind w:right="100" w:firstLine="560"/>
        <w:jc w:val="both"/>
        <w:rPr>
          <w:rFonts w:hAnsi="宋体" w:cs="宋体"/>
          <w:color w:val="auto"/>
        </w:rPr>
      </w:pPr>
      <w:r>
        <w:rPr>
          <w:rFonts w:hint="eastAsia" w:hAnsi="宋体" w:cs="宋体"/>
          <w:color w:val="auto"/>
        </w:rPr>
        <w:t>本条上述各款的内容适用于水路运输和航空运输，其中“道路”一词的涵义包括河道、航线、船闸、机场、码头、堤防以及水路或航空运输中其他相似结构物；“车辆”一词的涵义包括船舶和飞机等。</w:t>
      </w:r>
    </w:p>
    <w:p w14:paraId="115BAFEE">
      <w:pPr>
        <w:pStyle w:val="180"/>
        <w:spacing w:before="100" w:after="100" w:line="400" w:lineRule="exact"/>
        <w:ind w:firstLine="643"/>
        <w:jc w:val="both"/>
        <w:rPr>
          <w:rFonts w:hAnsi="宋体" w:cs="宋体"/>
          <w:b/>
          <w:color w:val="auto"/>
          <w:sz w:val="32"/>
          <w:szCs w:val="32"/>
        </w:rPr>
      </w:pPr>
      <w:bookmarkStart w:id="426" w:name="_Toc510197472"/>
      <w:bookmarkStart w:id="427" w:name="_Toc270517142"/>
      <w:bookmarkStart w:id="428" w:name="_Toc351898545"/>
      <w:bookmarkStart w:id="429" w:name="_Toc350857427"/>
      <w:bookmarkStart w:id="430" w:name="_Toc305763054"/>
      <w:bookmarkStart w:id="431" w:name="_Toc255470265"/>
      <w:bookmarkStart w:id="432" w:name="_Toc208734408"/>
      <w:bookmarkStart w:id="433" w:name="_Toc222804524"/>
      <w:bookmarkStart w:id="434" w:name="_Toc436309593"/>
      <w:bookmarkStart w:id="435" w:name="_Toc436309945"/>
      <w:bookmarkStart w:id="436" w:name="_Toc477164660"/>
      <w:bookmarkStart w:id="437" w:name="_Toc209862330"/>
      <w:bookmarkStart w:id="438" w:name="_Toc219172337"/>
      <w:bookmarkStart w:id="439" w:name="_Toc254774409"/>
      <w:bookmarkStart w:id="440" w:name="_Toc836"/>
      <w:bookmarkStart w:id="441" w:name="_Toc388633675"/>
      <w:bookmarkStart w:id="442" w:name="_Toc452986500"/>
      <w:bookmarkStart w:id="443" w:name="_Toc450123132"/>
      <w:bookmarkStart w:id="444" w:name="_Toc248294421"/>
      <w:bookmarkStart w:id="445" w:name="_Toc274500896"/>
      <w:bookmarkStart w:id="446" w:name="_Toc227658498"/>
      <w:bookmarkStart w:id="447" w:name="_Toc449111926"/>
      <w:bookmarkStart w:id="448" w:name="_Toc340222903"/>
      <w:bookmarkStart w:id="449" w:name="_Toc215556190"/>
      <w:bookmarkStart w:id="450" w:name="_Toc371937192"/>
      <w:bookmarkStart w:id="451" w:name="_Toc255470042"/>
      <w:bookmarkStart w:id="452" w:name="_Toc510197610"/>
      <w:bookmarkStart w:id="453" w:name="_Toc340436793"/>
      <w:bookmarkStart w:id="454" w:name="_Toc338778040"/>
      <w:bookmarkStart w:id="455" w:name="_Toc458599276"/>
      <w:bookmarkStart w:id="456" w:name="_Toc249848950"/>
      <w:bookmarkStart w:id="457" w:name="_Toc453768098"/>
      <w:bookmarkStart w:id="458" w:name="_Toc245110738"/>
      <w:bookmarkStart w:id="459" w:name="_Toc439772699"/>
      <w:bookmarkStart w:id="460" w:name="_Toc460581178"/>
      <w:bookmarkStart w:id="461" w:name="_Toc389226395"/>
      <w:bookmarkStart w:id="462" w:name="_Toc195864495"/>
      <w:bookmarkStart w:id="463" w:name="_Toc504565800"/>
      <w:bookmarkStart w:id="464" w:name="_Toc450123366"/>
      <w:bookmarkStart w:id="465" w:name="_Toc260649028"/>
      <w:bookmarkStart w:id="466" w:name="_Toc436133236"/>
      <w:bookmarkStart w:id="467" w:name="_Toc215805051"/>
      <w:bookmarkStart w:id="468" w:name="_Toc214355671"/>
      <w:bookmarkStart w:id="469" w:name="_Toc504565687"/>
      <w:bookmarkStart w:id="470" w:name="_Toc342046314"/>
      <w:bookmarkStart w:id="471" w:name="_Toc215561208"/>
      <w:bookmarkStart w:id="472" w:name="_Toc187475840"/>
      <w:bookmarkStart w:id="473" w:name="_Toc260230300"/>
      <w:bookmarkStart w:id="474" w:name="_Toc476231299"/>
      <w:bookmarkStart w:id="475" w:name="_Toc436998786"/>
      <w:bookmarkStart w:id="476" w:name="_Toc445105535"/>
      <w:bookmarkStart w:id="477" w:name="_Toc255741929"/>
      <w:bookmarkStart w:id="478" w:name="_Toc206830021"/>
      <w:bookmarkStart w:id="479" w:name="_Toc187846000"/>
      <w:bookmarkStart w:id="480" w:name="_Toc260229973"/>
      <w:bookmarkStart w:id="481" w:name="_Toc306293164"/>
      <w:bookmarkStart w:id="482" w:name="_Toc211175332"/>
      <w:bookmarkStart w:id="483" w:name="_Toc368145484"/>
      <w:bookmarkStart w:id="484" w:name="_Toc257202833"/>
      <w:bookmarkStart w:id="485" w:name="_Toc5528"/>
      <w:r>
        <w:rPr>
          <w:rFonts w:hint="eastAsia" w:hAnsi="宋体" w:cs="宋体"/>
          <w:b/>
          <w:color w:val="auto"/>
          <w:sz w:val="32"/>
          <w:szCs w:val="32"/>
        </w:rPr>
        <w:t>8. 测量放线</w:t>
      </w:r>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p>
    <w:p w14:paraId="0530A670">
      <w:pPr>
        <w:pStyle w:val="180"/>
        <w:spacing w:after="0" w:line="400" w:lineRule="exact"/>
        <w:ind w:firstLine="562"/>
        <w:jc w:val="both"/>
        <w:rPr>
          <w:rFonts w:hAnsi="宋体" w:cs="宋体"/>
          <w:b/>
          <w:color w:val="auto"/>
        </w:rPr>
      </w:pPr>
      <w:r>
        <w:rPr>
          <w:rFonts w:hint="eastAsia" w:hAnsi="宋体" w:cs="宋体"/>
          <w:b/>
          <w:color w:val="auto"/>
        </w:rPr>
        <w:t>8.1 施工控制网</w:t>
      </w:r>
    </w:p>
    <w:p w14:paraId="0D2D3956">
      <w:pPr>
        <w:pStyle w:val="188"/>
        <w:ind w:right="100" w:firstLine="560"/>
        <w:jc w:val="both"/>
        <w:rPr>
          <w:rFonts w:hAnsi="宋体" w:cs="宋体"/>
          <w:color w:val="auto"/>
        </w:rPr>
      </w:pPr>
      <w:r>
        <w:rPr>
          <w:rFonts w:hint="eastAsia" w:hAnsi="宋体" w:cs="宋体"/>
          <w:color w:val="auto"/>
        </w:rPr>
        <w:t>8.1.1 除专用合同条款另有约定外，施工控制网由承包人负责测设，发包人应在本合同协议书签订后的14天内，向承包人提供测量基准点、基准线和水准点及其相关资料。承包人应在收到上述资料后的28天内，将施测的施工控制网资料提交监理人审批。监理人应在收到报批件后的14天内批复承包人。</w:t>
      </w:r>
    </w:p>
    <w:p w14:paraId="7DB109CC">
      <w:pPr>
        <w:pStyle w:val="188"/>
        <w:ind w:right="100" w:firstLine="560"/>
        <w:jc w:val="both"/>
        <w:rPr>
          <w:rFonts w:hAnsi="宋体" w:cs="宋体"/>
          <w:color w:val="auto"/>
        </w:rPr>
      </w:pPr>
      <w:r>
        <w:rPr>
          <w:rFonts w:hint="eastAsia" w:hAnsi="宋体" w:cs="宋体"/>
          <w:color w:val="auto"/>
        </w:rPr>
        <w:t>8.1.2 承包人应负责管理施工控制网点。施工控制网点丢失或损坏的，承包人应及时修复。承包人应承担施工控制网点的管理与修复费用，并在工程竣工后将施工控制网点移交发包人。</w:t>
      </w:r>
    </w:p>
    <w:p w14:paraId="329728E1">
      <w:pPr>
        <w:pStyle w:val="180"/>
        <w:spacing w:after="0" w:line="400" w:lineRule="exact"/>
        <w:ind w:firstLine="562"/>
        <w:jc w:val="both"/>
        <w:rPr>
          <w:rFonts w:hAnsi="宋体" w:cs="宋体"/>
          <w:b/>
          <w:color w:val="auto"/>
        </w:rPr>
      </w:pPr>
      <w:r>
        <w:rPr>
          <w:rFonts w:hint="eastAsia" w:hAnsi="宋体" w:cs="宋体"/>
          <w:b/>
          <w:color w:val="auto"/>
        </w:rPr>
        <w:t>8.2 施工测量</w:t>
      </w:r>
    </w:p>
    <w:p w14:paraId="5BE1E172">
      <w:pPr>
        <w:pStyle w:val="188"/>
        <w:ind w:right="100" w:firstLine="560"/>
        <w:jc w:val="both"/>
        <w:rPr>
          <w:rFonts w:hAnsi="宋体" w:cs="宋体"/>
          <w:color w:val="auto"/>
        </w:rPr>
      </w:pPr>
      <w:r>
        <w:rPr>
          <w:rFonts w:hint="eastAsia" w:hAnsi="宋体" w:cs="宋体"/>
          <w:color w:val="auto"/>
        </w:rPr>
        <w:t>8.2.1 承包人应负责施工过程中的全部施工测量放线工作，并配置合格的人员、仪器、设备和其他物品。</w:t>
      </w:r>
    </w:p>
    <w:p w14:paraId="38F7B8D6">
      <w:pPr>
        <w:pStyle w:val="188"/>
        <w:ind w:right="100" w:firstLine="560"/>
        <w:jc w:val="both"/>
        <w:rPr>
          <w:rFonts w:hAnsi="宋体" w:cs="宋体"/>
          <w:color w:val="auto"/>
        </w:rPr>
      </w:pPr>
      <w:r>
        <w:rPr>
          <w:rFonts w:hint="eastAsia" w:hAnsi="宋体" w:cs="宋体"/>
          <w:color w:val="auto"/>
        </w:rPr>
        <w:t>8.2.2 监理人可以指示承包人进行抽样复测，当复测中发现错误或出现超过合同约定的误差时，承包人应按监理人指示进行修正或补测，并承担相应的复测费用。</w:t>
      </w:r>
    </w:p>
    <w:p w14:paraId="763493D8">
      <w:pPr>
        <w:pStyle w:val="180"/>
        <w:spacing w:after="0" w:line="400" w:lineRule="exact"/>
        <w:ind w:firstLine="562"/>
        <w:jc w:val="both"/>
        <w:rPr>
          <w:rFonts w:hAnsi="宋体" w:cs="宋体"/>
          <w:b/>
          <w:color w:val="auto"/>
        </w:rPr>
      </w:pPr>
      <w:r>
        <w:rPr>
          <w:rFonts w:hint="eastAsia" w:hAnsi="宋体" w:cs="宋体"/>
          <w:b/>
          <w:color w:val="auto"/>
        </w:rPr>
        <w:t>8.3 基准资料错误的责任</w:t>
      </w:r>
    </w:p>
    <w:p w14:paraId="7F8E8C12">
      <w:pPr>
        <w:pStyle w:val="188"/>
        <w:spacing w:line="400" w:lineRule="exact"/>
        <w:ind w:right="100" w:firstLine="560"/>
        <w:jc w:val="both"/>
        <w:rPr>
          <w:rFonts w:hAnsi="宋体" w:cs="宋体"/>
          <w:color w:val="auto"/>
        </w:rPr>
      </w:pPr>
      <w:r>
        <w:rPr>
          <w:rFonts w:hint="eastAsia" w:hAnsi="宋体" w:cs="宋体"/>
          <w:color w:val="auto"/>
        </w:rPr>
        <w:t>发包人应对其提供的测量基准点、基准线和水准点及其书面资料的真实性、准确性和完整性负责。发包人提供上述基准资料错误导致承包人测量放线工作的返工或造成工程损失的，发包人应当承担由此增加的费用和（或）工期延误，并向承包人支付合理利润。承包人发现发包人提供的上述基准资料存在明显错误或疏忽的，应及时通知监理人。</w:t>
      </w:r>
    </w:p>
    <w:p w14:paraId="64DB528F">
      <w:pPr>
        <w:pStyle w:val="180"/>
        <w:spacing w:after="0" w:line="400" w:lineRule="exact"/>
        <w:ind w:firstLine="562"/>
        <w:jc w:val="both"/>
        <w:rPr>
          <w:rFonts w:hAnsi="宋体" w:cs="宋体"/>
          <w:b/>
          <w:color w:val="auto"/>
        </w:rPr>
      </w:pPr>
      <w:r>
        <w:rPr>
          <w:rFonts w:hint="eastAsia" w:hAnsi="宋体" w:cs="宋体"/>
          <w:b/>
          <w:color w:val="auto"/>
        </w:rPr>
        <w:t>8.4 监理人使用施工控制网</w:t>
      </w:r>
    </w:p>
    <w:p w14:paraId="52D2E129">
      <w:pPr>
        <w:pStyle w:val="188"/>
        <w:spacing w:line="400" w:lineRule="exact"/>
        <w:ind w:right="100" w:firstLine="560"/>
        <w:jc w:val="both"/>
        <w:rPr>
          <w:rFonts w:hAnsi="宋体" w:cs="宋体"/>
          <w:color w:val="auto"/>
        </w:rPr>
      </w:pPr>
      <w:r>
        <w:rPr>
          <w:rFonts w:hint="eastAsia" w:hAnsi="宋体" w:cs="宋体"/>
          <w:color w:val="auto"/>
        </w:rPr>
        <w:t>监理人需要使用施工控制网的，承包人应提供必要的协助，发包人不再为此支付费用。</w:t>
      </w:r>
    </w:p>
    <w:p w14:paraId="2C91E8E9">
      <w:pPr>
        <w:pStyle w:val="180"/>
        <w:spacing w:after="0" w:line="400" w:lineRule="exact"/>
        <w:ind w:firstLine="562"/>
        <w:jc w:val="both"/>
        <w:rPr>
          <w:rFonts w:hAnsi="宋体" w:cs="宋体"/>
          <w:b/>
          <w:color w:val="auto"/>
        </w:rPr>
      </w:pPr>
      <w:r>
        <w:rPr>
          <w:rFonts w:hint="eastAsia" w:hAnsi="宋体" w:cs="宋体"/>
          <w:b/>
          <w:color w:val="auto"/>
        </w:rPr>
        <w:t>8.5 补充地质勘探</w:t>
      </w:r>
    </w:p>
    <w:p w14:paraId="0067154C">
      <w:pPr>
        <w:pStyle w:val="87"/>
        <w:spacing w:line="400" w:lineRule="exact"/>
        <w:ind w:firstLine="540" w:firstLineChars="225"/>
        <w:jc w:val="both"/>
        <w:rPr>
          <w:rFonts w:hAnsi="宋体"/>
          <w:color w:val="auto"/>
        </w:rPr>
      </w:pPr>
      <w:r>
        <w:rPr>
          <w:rFonts w:hint="eastAsia" w:hAnsi="宋体"/>
          <w:color w:val="auto"/>
        </w:rPr>
        <w:t>在合同实施期间，监理人可以指示承包人进行必要的补充地质勘探并提供有关资料。承包人为本合同永久工程施工的需要进行补充地质勘探时，须经监理人批准，并应向监理人提交有关资料，上述补充勘探的费用由发包人承担。承包人为其临时工程设计及施工的需要进行的补充地质勘探，其费用由承包人承担。</w:t>
      </w:r>
    </w:p>
    <w:p w14:paraId="2491007E">
      <w:pPr>
        <w:pStyle w:val="180"/>
        <w:spacing w:before="100" w:after="100" w:line="400" w:lineRule="exact"/>
        <w:ind w:firstLine="643"/>
        <w:jc w:val="both"/>
        <w:rPr>
          <w:rFonts w:hAnsi="宋体" w:cs="宋体"/>
          <w:b/>
          <w:color w:val="auto"/>
          <w:sz w:val="32"/>
          <w:szCs w:val="32"/>
        </w:rPr>
      </w:pPr>
      <w:bookmarkStart w:id="486" w:name="_Toc477164661"/>
      <w:bookmarkStart w:id="487" w:name="_Toc22989"/>
      <w:bookmarkStart w:id="488" w:name="_Toc254774410"/>
      <w:bookmarkStart w:id="489" w:name="_Toc270517143"/>
      <w:bookmarkStart w:id="490" w:name="_Toc260649029"/>
      <w:bookmarkStart w:id="491" w:name="_Toc245110739"/>
      <w:bookmarkStart w:id="492" w:name="_Toc249848951"/>
      <w:bookmarkStart w:id="493" w:name="_Toc350857428"/>
      <w:bookmarkStart w:id="494" w:name="_Toc274500897"/>
      <w:bookmarkStart w:id="495" w:name="_Toc219172338"/>
      <w:bookmarkStart w:id="496" w:name="_Toc215805052"/>
      <w:bookmarkStart w:id="497" w:name="_Toc227658499"/>
      <w:bookmarkStart w:id="498" w:name="_Toc209862331"/>
      <w:bookmarkStart w:id="499" w:name="_Toc436309946"/>
      <w:bookmarkStart w:id="500" w:name="_Toc340222904"/>
      <w:bookmarkStart w:id="501" w:name="_Toc389226396"/>
      <w:bookmarkStart w:id="502" w:name="_Toc206830022"/>
      <w:bookmarkStart w:id="503" w:name="_Toc214355672"/>
      <w:bookmarkStart w:id="504" w:name="_Toc222804525"/>
      <w:bookmarkStart w:id="505" w:name="_Toc351898546"/>
      <w:bookmarkStart w:id="506" w:name="_Toc510197473"/>
      <w:bookmarkStart w:id="507" w:name="_Toc371937193"/>
      <w:bookmarkStart w:id="508" w:name="_Toc211175333"/>
      <w:bookmarkStart w:id="509" w:name="_Toc187846001"/>
      <w:bookmarkStart w:id="510" w:name="_Toc453768099"/>
      <w:bookmarkStart w:id="511" w:name="_Toc445105536"/>
      <w:bookmarkStart w:id="512" w:name="_Toc260229974"/>
      <w:bookmarkStart w:id="513" w:name="_Toc368145485"/>
      <w:bookmarkStart w:id="514" w:name="_Toc340436794"/>
      <w:bookmarkStart w:id="515" w:name="_Toc13659"/>
      <w:bookmarkStart w:id="516" w:name="_Toc305763055"/>
      <w:bookmarkStart w:id="517" w:name="_Toc452986501"/>
      <w:bookmarkStart w:id="518" w:name="_Toc342046315"/>
      <w:bookmarkStart w:id="519" w:name="_Toc257202834"/>
      <w:bookmarkStart w:id="520" w:name="_Toc255741930"/>
      <w:bookmarkStart w:id="521" w:name="_Toc436133237"/>
      <w:bookmarkStart w:id="522" w:name="_Toc260230301"/>
      <w:bookmarkStart w:id="523" w:name="_Toc450123367"/>
      <w:bookmarkStart w:id="524" w:name="_Toc338778041"/>
      <w:bookmarkStart w:id="525" w:name="_Toc306293165"/>
      <w:bookmarkStart w:id="526" w:name="_Toc460581179"/>
      <w:bookmarkStart w:id="527" w:name="_Toc187475841"/>
      <w:bookmarkStart w:id="528" w:name="_Toc388633676"/>
      <w:bookmarkStart w:id="529" w:name="_Toc215556191"/>
      <w:bookmarkStart w:id="530" w:name="_Toc504565801"/>
      <w:bookmarkStart w:id="531" w:name="_Toc436998787"/>
      <w:bookmarkStart w:id="532" w:name="_Toc510197611"/>
      <w:bookmarkStart w:id="533" w:name="_Toc439772700"/>
      <w:bookmarkStart w:id="534" w:name="_Toc248294422"/>
      <w:bookmarkStart w:id="535" w:name="_Toc195864496"/>
      <w:bookmarkStart w:id="536" w:name="_Toc450123133"/>
      <w:bookmarkStart w:id="537" w:name="_Toc476231300"/>
      <w:bookmarkStart w:id="538" w:name="_Toc458599277"/>
      <w:bookmarkStart w:id="539" w:name="_Toc255470266"/>
      <w:bookmarkStart w:id="540" w:name="_Toc504565688"/>
      <w:bookmarkStart w:id="541" w:name="_Toc449111927"/>
      <w:bookmarkStart w:id="542" w:name="_Toc255470043"/>
      <w:bookmarkStart w:id="543" w:name="_Toc436309594"/>
      <w:bookmarkStart w:id="544" w:name="_Toc215561209"/>
      <w:bookmarkStart w:id="545" w:name="_Toc208734409"/>
      <w:r>
        <w:rPr>
          <w:rFonts w:hint="eastAsia" w:hAnsi="宋体" w:cs="宋体"/>
          <w:b/>
          <w:color w:val="auto"/>
          <w:sz w:val="32"/>
          <w:szCs w:val="32"/>
        </w:rPr>
        <w:t>9. 施工安全、治安保卫和环境保护</w:t>
      </w:r>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p>
    <w:p w14:paraId="607D7003">
      <w:pPr>
        <w:pStyle w:val="180"/>
        <w:spacing w:after="0" w:line="400" w:lineRule="exact"/>
        <w:ind w:firstLine="562"/>
        <w:jc w:val="both"/>
        <w:rPr>
          <w:rFonts w:hAnsi="宋体" w:cs="宋体"/>
          <w:b/>
          <w:color w:val="auto"/>
        </w:rPr>
      </w:pPr>
      <w:r>
        <w:rPr>
          <w:rFonts w:hint="eastAsia" w:hAnsi="宋体" w:cs="宋体"/>
          <w:b/>
          <w:color w:val="auto"/>
        </w:rPr>
        <w:t>9.1 发包人的施工安全责任</w:t>
      </w:r>
    </w:p>
    <w:p w14:paraId="33C17A12">
      <w:pPr>
        <w:pStyle w:val="188"/>
        <w:ind w:right="100" w:firstLine="560"/>
        <w:jc w:val="both"/>
        <w:rPr>
          <w:rFonts w:hAnsi="宋体" w:cs="宋体"/>
          <w:color w:val="auto"/>
        </w:rPr>
      </w:pPr>
      <w:r>
        <w:rPr>
          <w:rFonts w:hint="eastAsia" w:hAnsi="宋体" w:cs="宋体"/>
          <w:color w:val="auto"/>
        </w:rPr>
        <w:t>9.1.1发包人应按合同约定履行安全职责。发包人委托监理人根据国家有关安全的法律、法规、强制性标准以及部门规章，对承包人的安全责任履行情况进行监督和检查。监理人的监督检查不减轻承包人应负的安全责任。</w:t>
      </w:r>
    </w:p>
    <w:p w14:paraId="3FDCBF17">
      <w:pPr>
        <w:pStyle w:val="188"/>
        <w:ind w:right="100" w:firstLine="560"/>
        <w:jc w:val="both"/>
        <w:rPr>
          <w:rFonts w:hAnsi="宋体" w:cs="宋体"/>
          <w:color w:val="auto"/>
        </w:rPr>
      </w:pPr>
      <w:r>
        <w:rPr>
          <w:rFonts w:hint="eastAsia" w:hAnsi="宋体" w:cs="宋体"/>
          <w:color w:val="auto"/>
        </w:rPr>
        <w:t>9.1.2 发包人应对其现场机构雇佣的全部人员的工伤事故承担责任，但由于承包人原因造成发包人人员工伤的，应由承包人承担责任。</w:t>
      </w:r>
    </w:p>
    <w:p w14:paraId="07CF6708">
      <w:pPr>
        <w:pStyle w:val="188"/>
        <w:ind w:right="100" w:firstLine="560"/>
        <w:jc w:val="both"/>
        <w:rPr>
          <w:rFonts w:hAnsi="宋体" w:cs="宋体"/>
          <w:color w:val="auto"/>
        </w:rPr>
      </w:pPr>
      <w:r>
        <w:rPr>
          <w:rFonts w:hint="eastAsia" w:hAnsi="宋体" w:cs="宋体"/>
          <w:color w:val="auto"/>
        </w:rPr>
        <w:t>9.1.3 发包人应负责赔偿以下各种情况造成的第三者人身伤亡和财产损失：</w:t>
      </w:r>
    </w:p>
    <w:p w14:paraId="2A73A11A">
      <w:pPr>
        <w:pStyle w:val="188"/>
        <w:spacing w:line="400" w:lineRule="exact"/>
        <w:ind w:right="100" w:firstLine="560"/>
        <w:jc w:val="both"/>
        <w:rPr>
          <w:rFonts w:hAnsi="宋体" w:cs="宋体"/>
          <w:color w:val="auto"/>
        </w:rPr>
      </w:pPr>
      <w:r>
        <w:rPr>
          <w:rFonts w:hint="eastAsia" w:hAnsi="宋体" w:cs="宋体"/>
          <w:color w:val="auto"/>
        </w:rPr>
        <w:t>（1） 工程或工程的任何部分对土地的占用所造成的第三者财产损失；</w:t>
      </w:r>
    </w:p>
    <w:p w14:paraId="6D88971C">
      <w:pPr>
        <w:pStyle w:val="188"/>
        <w:spacing w:line="400" w:lineRule="exact"/>
        <w:ind w:right="100" w:firstLine="560"/>
        <w:jc w:val="both"/>
        <w:rPr>
          <w:rFonts w:hAnsi="宋体" w:cs="宋体"/>
          <w:color w:val="auto"/>
        </w:rPr>
      </w:pPr>
      <w:r>
        <w:rPr>
          <w:rFonts w:hint="eastAsia" w:hAnsi="宋体" w:cs="宋体"/>
          <w:color w:val="auto"/>
        </w:rPr>
        <w:t>（2） 由于发包人原因在施工场地及其毗邻地带造成的第三者人身伤亡和财产损失。</w:t>
      </w:r>
    </w:p>
    <w:p w14:paraId="1C1D113B">
      <w:pPr>
        <w:pStyle w:val="87"/>
        <w:spacing w:line="400" w:lineRule="exact"/>
        <w:ind w:firstLine="540" w:firstLineChars="225"/>
        <w:rPr>
          <w:rFonts w:hAnsi="宋体"/>
          <w:color w:val="auto"/>
        </w:rPr>
      </w:pPr>
      <w:r>
        <w:rPr>
          <w:rFonts w:hint="eastAsia" w:hAnsi="宋体"/>
          <w:color w:val="auto"/>
        </w:rPr>
        <w:t>9.1.4 除专用合同条款另有约定外，发包人负责向承包人提供施工现场及施工可能影响的毗邻区域内供水、排水、供电、供气、供热、通信、广播电视等地下管线资料，气象和水文观测资料，拟建工程可能影响的相邻建筑物地下工程的有关资料，并保证有关资料的真实、准确、完整，满足有关技术规程的要求。</w:t>
      </w:r>
    </w:p>
    <w:p w14:paraId="40F5BFD5">
      <w:pPr>
        <w:pStyle w:val="25"/>
        <w:spacing w:line="400" w:lineRule="exact"/>
        <w:ind w:firstLine="630" w:firstLineChars="225"/>
        <w:rPr>
          <w:rFonts w:hAnsi="宋体" w:cs="宋体"/>
          <w:color w:val="auto"/>
        </w:rPr>
      </w:pPr>
      <w:r>
        <w:rPr>
          <w:rFonts w:hint="eastAsia" w:hAnsi="宋体" w:cs="宋体"/>
          <w:color w:val="auto"/>
        </w:rPr>
        <w:t>9.1.5发包人按照工程量清单所列金额和合同约定的计量支付规定，支付安全作业环境及安全施工措施所需费用。</w:t>
      </w:r>
    </w:p>
    <w:p w14:paraId="07684826">
      <w:pPr>
        <w:pStyle w:val="25"/>
        <w:spacing w:line="400" w:lineRule="exact"/>
        <w:ind w:firstLine="630" w:firstLineChars="225"/>
        <w:rPr>
          <w:rFonts w:hAnsi="宋体" w:cs="宋体"/>
          <w:color w:val="auto"/>
        </w:rPr>
      </w:pPr>
      <w:r>
        <w:rPr>
          <w:rFonts w:hint="eastAsia" w:hAnsi="宋体" w:cs="宋体"/>
          <w:color w:val="auto"/>
        </w:rPr>
        <w:t>9.1.6发包人负责组织工程参建单位编制保证安全生产的措施方案。工程开工前，就落实保证安全生产的措施进行全面系统的布置，进一步明确承包人的安全生产责任。</w:t>
      </w:r>
    </w:p>
    <w:p w14:paraId="5419FF99">
      <w:pPr>
        <w:pStyle w:val="25"/>
        <w:spacing w:line="400" w:lineRule="exact"/>
        <w:ind w:firstLine="630" w:firstLineChars="225"/>
        <w:rPr>
          <w:rFonts w:hAnsi="宋体" w:cs="宋体"/>
          <w:color w:val="auto"/>
        </w:rPr>
      </w:pPr>
      <w:r>
        <w:rPr>
          <w:rFonts w:hint="eastAsia" w:hAnsi="宋体" w:cs="宋体"/>
          <w:color w:val="auto"/>
        </w:rPr>
        <w:t>9.1.7发包人负责在拆除工程和爆破工程施工14天前向有关部门或机构报送相关备案资料。</w:t>
      </w:r>
    </w:p>
    <w:p w14:paraId="187F6F98">
      <w:pPr>
        <w:pStyle w:val="180"/>
        <w:spacing w:after="0" w:line="400" w:lineRule="exact"/>
        <w:ind w:firstLine="562"/>
        <w:jc w:val="both"/>
        <w:rPr>
          <w:rFonts w:hAnsi="宋体" w:cs="宋体"/>
          <w:b/>
          <w:color w:val="auto"/>
        </w:rPr>
      </w:pPr>
      <w:r>
        <w:rPr>
          <w:rFonts w:hint="eastAsia" w:hAnsi="宋体" w:cs="宋体"/>
          <w:b/>
          <w:color w:val="auto"/>
        </w:rPr>
        <w:t>9.2 承包人的施工安全责任</w:t>
      </w:r>
    </w:p>
    <w:p w14:paraId="642C306C">
      <w:pPr>
        <w:pStyle w:val="188"/>
        <w:spacing w:line="400" w:lineRule="exact"/>
        <w:ind w:right="100" w:firstLine="560"/>
        <w:jc w:val="both"/>
        <w:rPr>
          <w:rFonts w:hAnsi="宋体" w:cs="宋体"/>
          <w:color w:val="auto"/>
        </w:rPr>
      </w:pPr>
      <w:r>
        <w:rPr>
          <w:rFonts w:hint="eastAsia" w:hAnsi="宋体" w:cs="宋体"/>
          <w:color w:val="auto"/>
        </w:rPr>
        <w:t>9.2.1 承包人应按合同约定履行安全职责，执行监理人有关安全工作的指示。承包人应按技术标准和要求(合同技术条款)约定的内容和期限，以及监理人的指示，编制施工安全技术措施提交监理人审批。监理人应在技术标准和要求(合同技术条款)约定的期限内批复承包人。</w:t>
      </w:r>
    </w:p>
    <w:p w14:paraId="0F01CE75">
      <w:pPr>
        <w:pStyle w:val="188"/>
        <w:ind w:right="100" w:firstLine="560"/>
        <w:jc w:val="both"/>
        <w:rPr>
          <w:rFonts w:hAnsi="宋体" w:cs="宋体"/>
          <w:color w:val="auto"/>
        </w:rPr>
      </w:pPr>
      <w:r>
        <w:rPr>
          <w:rFonts w:hint="eastAsia" w:hAnsi="宋体" w:cs="宋体"/>
          <w:color w:val="auto"/>
        </w:rPr>
        <w:t>9.2.2 承包人应加强施工作业安全管理，特别应加强易燃、易爆材料、火工器材、有毒与腐蚀性材料和其他危险品的管理，以及对爆破作业和地下工程施工等危险作业的管理。</w:t>
      </w:r>
    </w:p>
    <w:p w14:paraId="433FC502">
      <w:pPr>
        <w:pStyle w:val="188"/>
        <w:ind w:right="100" w:firstLine="560"/>
        <w:jc w:val="both"/>
        <w:rPr>
          <w:rFonts w:hAnsi="宋体" w:cs="宋体"/>
          <w:color w:val="auto"/>
        </w:rPr>
      </w:pPr>
      <w:r>
        <w:rPr>
          <w:rFonts w:hint="eastAsia" w:hAnsi="宋体" w:cs="宋体"/>
          <w:color w:val="auto"/>
        </w:rPr>
        <w:t>9.2.3 承包人应严格按照国家安全标准制定施工安全操作规程，配备必要的安全生产和劳动保护设施，加强对承包人人员的安全教育，并发放安全工作手册和劳动保护用具。</w:t>
      </w:r>
    </w:p>
    <w:p w14:paraId="453004F3">
      <w:pPr>
        <w:pStyle w:val="188"/>
        <w:ind w:right="100" w:firstLine="560"/>
        <w:jc w:val="both"/>
        <w:rPr>
          <w:rFonts w:hAnsi="宋体" w:cs="宋体"/>
          <w:color w:val="auto"/>
        </w:rPr>
      </w:pPr>
      <w:r>
        <w:rPr>
          <w:rFonts w:hint="eastAsia" w:hAnsi="宋体" w:cs="宋体"/>
          <w:color w:val="auto"/>
        </w:rPr>
        <w:t>9.2.4 承包人应按监理人的指示制定应对灾害的紧急预案，报送监理人审批。承包人还应按预案做好安全检查，配置必要的救助物资和器材，切实保护好有关人员的人身和财产安全。</w:t>
      </w:r>
    </w:p>
    <w:p w14:paraId="5A648784">
      <w:pPr>
        <w:pStyle w:val="188"/>
        <w:ind w:right="100" w:firstLine="560"/>
        <w:jc w:val="both"/>
        <w:rPr>
          <w:rFonts w:hAnsi="宋体" w:cs="宋体"/>
          <w:color w:val="auto"/>
        </w:rPr>
      </w:pPr>
      <w:r>
        <w:rPr>
          <w:rFonts w:hint="eastAsia" w:hAnsi="宋体" w:cs="宋体"/>
          <w:color w:val="auto"/>
        </w:rPr>
        <w:t>9.2.5 合同约定的安全作业环境及安全施工措施所需费用应遵守有关规定，并包括在相关工作的合同价格中。因采取合同未约定的安全作业环境及安全施工措施增加的费用，由监理人按第3.5 款商定或确定。</w:t>
      </w:r>
    </w:p>
    <w:p w14:paraId="4AC772CB">
      <w:pPr>
        <w:pStyle w:val="188"/>
        <w:ind w:right="100" w:firstLine="560"/>
        <w:jc w:val="both"/>
        <w:rPr>
          <w:rFonts w:hAnsi="宋体" w:cs="宋体"/>
          <w:color w:val="auto"/>
        </w:rPr>
      </w:pPr>
      <w:r>
        <w:rPr>
          <w:rFonts w:hint="eastAsia" w:hAnsi="宋体" w:cs="宋体"/>
          <w:color w:val="auto"/>
        </w:rPr>
        <w:t>9.2.6 承包人应对其履行合同所雇佣的全部人员，包括分包人人员的工伤事故承担责任，但由于发包人原因造成承包人人员工伤事故的，应由发包人承担责任。</w:t>
      </w:r>
    </w:p>
    <w:p w14:paraId="1FFDBF34">
      <w:pPr>
        <w:pStyle w:val="188"/>
        <w:ind w:right="100" w:firstLine="560"/>
        <w:jc w:val="both"/>
        <w:rPr>
          <w:rFonts w:hAnsi="宋体" w:cs="宋体"/>
          <w:color w:val="auto"/>
        </w:rPr>
      </w:pPr>
      <w:r>
        <w:rPr>
          <w:rFonts w:hint="eastAsia" w:hAnsi="宋体" w:cs="宋体"/>
          <w:color w:val="auto"/>
        </w:rPr>
        <w:t>9.2.7 由于承包人原因在施工场地内及其毗邻地带造成的第三者人员伤亡和财产损失，由承包人负责赔偿。</w:t>
      </w:r>
    </w:p>
    <w:p w14:paraId="5A54DAFC">
      <w:pPr>
        <w:pStyle w:val="188"/>
        <w:ind w:right="100" w:firstLine="560"/>
        <w:jc w:val="both"/>
        <w:rPr>
          <w:rFonts w:hAnsi="宋体" w:cs="宋体"/>
          <w:color w:val="auto"/>
        </w:rPr>
      </w:pPr>
      <w:r>
        <w:rPr>
          <w:rFonts w:hint="eastAsia" w:hAnsi="宋体" w:cs="宋体"/>
          <w:color w:val="auto"/>
        </w:rPr>
        <w:t>9.2.8 承包人工程量清单应包含工程安全作业环境及安全施工措施所需费用。</w:t>
      </w:r>
    </w:p>
    <w:p w14:paraId="530927BF">
      <w:pPr>
        <w:pStyle w:val="188"/>
        <w:ind w:right="100" w:firstLine="560"/>
        <w:jc w:val="both"/>
        <w:rPr>
          <w:rFonts w:hAnsi="宋体" w:cs="宋体"/>
          <w:color w:val="auto"/>
        </w:rPr>
      </w:pPr>
      <w:r>
        <w:rPr>
          <w:rFonts w:hint="eastAsia" w:hAnsi="宋体" w:cs="宋体"/>
          <w:color w:val="auto"/>
        </w:rPr>
        <w:t>9.2.9 承包人应建立健全安全生产责任制度和安全生产教育培训制度，制定安全生产规章制度和操作规程，保证本单位建立和完善安全生产条件所需资金的投入，对本工程进行定期和专项安全检查，并做好安全检查记录。</w:t>
      </w:r>
    </w:p>
    <w:p w14:paraId="0F85D79C">
      <w:pPr>
        <w:pStyle w:val="188"/>
        <w:ind w:right="100" w:firstLine="560"/>
        <w:jc w:val="both"/>
        <w:rPr>
          <w:rFonts w:hAnsi="宋体" w:cs="宋体"/>
          <w:color w:val="auto"/>
        </w:rPr>
      </w:pPr>
      <w:r>
        <w:rPr>
          <w:rFonts w:hint="eastAsia" w:hAnsi="宋体" w:cs="宋体"/>
          <w:color w:val="auto"/>
        </w:rPr>
        <w:t>9.2.10  承包人应设立安全生产管理机构，施工现场应有专职安全生产管理人员。</w:t>
      </w:r>
    </w:p>
    <w:p w14:paraId="4D955B39">
      <w:pPr>
        <w:pStyle w:val="188"/>
        <w:ind w:right="100" w:firstLine="560"/>
        <w:jc w:val="both"/>
        <w:rPr>
          <w:rFonts w:hAnsi="宋体" w:cs="宋体"/>
          <w:color w:val="auto"/>
        </w:rPr>
      </w:pPr>
      <w:r>
        <w:rPr>
          <w:rFonts w:hint="eastAsia" w:hAnsi="宋体" w:cs="宋体"/>
          <w:color w:val="auto"/>
        </w:rPr>
        <w:t>9.2.11  承包人应负责对特种作业人员进行专门的安全作业培训，并保证特种作业人员持证上岗。</w:t>
      </w:r>
    </w:p>
    <w:p w14:paraId="53913AD1">
      <w:pPr>
        <w:pStyle w:val="188"/>
        <w:ind w:right="100" w:firstLine="560"/>
        <w:jc w:val="both"/>
        <w:rPr>
          <w:rFonts w:hAnsi="宋体" w:cs="宋体"/>
          <w:color w:val="auto"/>
        </w:rPr>
      </w:pPr>
      <w:r>
        <w:rPr>
          <w:rFonts w:hint="eastAsia" w:hAnsi="宋体" w:cs="宋体"/>
          <w:color w:val="auto"/>
        </w:rPr>
        <w:t>9.2.12 承包人应在施工组织设计中编制安全技术措施和施工现场临时用电方案。对专用合同条款约定的工程，应编制专项施工方案报监理人批准。对专用合同条款约定的专项施工方案，还应组织专家进行论证、审查，其中专家1/2人员应经发包人同意。</w:t>
      </w:r>
    </w:p>
    <w:p w14:paraId="77988D27">
      <w:pPr>
        <w:pStyle w:val="188"/>
        <w:ind w:right="100" w:firstLine="560"/>
        <w:jc w:val="both"/>
        <w:rPr>
          <w:rFonts w:hAnsi="宋体" w:cs="宋体"/>
          <w:color w:val="auto"/>
        </w:rPr>
      </w:pPr>
      <w:r>
        <w:rPr>
          <w:rFonts w:hint="eastAsia" w:hAnsi="宋体" w:cs="宋体"/>
          <w:color w:val="auto"/>
        </w:rPr>
        <w:t>9.2.13  承包人在使用施工起重机械和整体提升脚手架、模板等自升式架设设施前，应组织有关单位进行验收。</w:t>
      </w:r>
    </w:p>
    <w:p w14:paraId="1E982A4A">
      <w:pPr>
        <w:pStyle w:val="180"/>
        <w:spacing w:after="0" w:line="400" w:lineRule="exact"/>
        <w:ind w:firstLine="562"/>
        <w:jc w:val="both"/>
        <w:rPr>
          <w:rFonts w:hAnsi="宋体" w:cs="宋体"/>
          <w:b/>
          <w:color w:val="auto"/>
        </w:rPr>
      </w:pPr>
      <w:r>
        <w:rPr>
          <w:rFonts w:hint="eastAsia" w:hAnsi="宋体" w:cs="宋体"/>
          <w:b/>
          <w:color w:val="auto"/>
        </w:rPr>
        <w:t>9.3 治安保卫</w:t>
      </w:r>
    </w:p>
    <w:p w14:paraId="1A635831">
      <w:pPr>
        <w:pStyle w:val="188"/>
        <w:ind w:right="100" w:firstLine="560"/>
        <w:jc w:val="both"/>
        <w:rPr>
          <w:rFonts w:hAnsi="宋体" w:cs="宋体"/>
          <w:color w:val="auto"/>
        </w:rPr>
      </w:pPr>
      <w:r>
        <w:rPr>
          <w:rFonts w:hint="eastAsia" w:hAnsi="宋体" w:cs="宋体"/>
          <w:color w:val="auto"/>
        </w:rPr>
        <w:t>9.3.1 除合同另有约定外，发包人应与当地公安部门协商，在现场建立治安管理机构或联防组织，统一管理施工场地的治安保卫事项，履行合同工程的治安保卫职责。</w:t>
      </w:r>
    </w:p>
    <w:p w14:paraId="53AA6B28">
      <w:pPr>
        <w:pStyle w:val="188"/>
        <w:ind w:right="100" w:firstLine="560"/>
        <w:jc w:val="both"/>
        <w:rPr>
          <w:rFonts w:hAnsi="宋体" w:cs="宋体"/>
          <w:color w:val="auto"/>
        </w:rPr>
      </w:pPr>
      <w:r>
        <w:rPr>
          <w:rFonts w:hint="eastAsia" w:hAnsi="宋体" w:cs="宋体"/>
          <w:color w:val="auto"/>
        </w:rPr>
        <w:t>9.3.2 发包人和承包人除应协助现场治安管理机构或联防组织维护施工场地的社会治安外，还应做好包括生活区在内的各自管辖区的治安保卫工作。</w:t>
      </w:r>
    </w:p>
    <w:p w14:paraId="2F77923F">
      <w:pPr>
        <w:pStyle w:val="188"/>
        <w:ind w:right="100" w:firstLine="560"/>
        <w:jc w:val="both"/>
        <w:rPr>
          <w:rFonts w:hAnsi="宋体" w:cs="宋体"/>
          <w:color w:val="auto"/>
        </w:rPr>
      </w:pPr>
      <w:r>
        <w:rPr>
          <w:rFonts w:hint="eastAsia" w:hAnsi="宋体" w:cs="宋体"/>
          <w:color w:val="auto"/>
        </w:rPr>
        <w:t>9.3.3 除合同另有约定外，发包人和承包人应在工程开工后，共同编制施工场地治安管理计划，并制定应对突发治安事件的紧急预案。在工程施工过程中，发生暴乱、爆炸等恐怖事件，以及群殴、械斗等群体性突发治安事件的，发包人和承包人应立即向当地政府报告。发包人和承包人应积极协助当地有关部门采取措施平息事态，防止事态扩大，尽量减少财产损失和避免人员伤亡。</w:t>
      </w:r>
    </w:p>
    <w:p w14:paraId="4ACCC3D8">
      <w:pPr>
        <w:pStyle w:val="180"/>
        <w:spacing w:after="0" w:line="400" w:lineRule="exact"/>
        <w:ind w:firstLine="562"/>
        <w:jc w:val="both"/>
        <w:rPr>
          <w:rFonts w:hAnsi="宋体" w:cs="宋体"/>
          <w:b/>
          <w:color w:val="auto"/>
        </w:rPr>
      </w:pPr>
      <w:r>
        <w:rPr>
          <w:rFonts w:hint="eastAsia" w:hAnsi="宋体" w:cs="宋体"/>
          <w:b/>
          <w:color w:val="auto"/>
        </w:rPr>
        <w:t>9.4 环境保护</w:t>
      </w:r>
    </w:p>
    <w:p w14:paraId="39FC3B49">
      <w:pPr>
        <w:pStyle w:val="188"/>
        <w:ind w:right="100" w:firstLine="560"/>
        <w:jc w:val="both"/>
        <w:rPr>
          <w:rFonts w:hAnsi="宋体" w:cs="宋体"/>
          <w:color w:val="auto"/>
        </w:rPr>
      </w:pPr>
      <w:r>
        <w:rPr>
          <w:rFonts w:hint="eastAsia" w:hAnsi="宋体" w:cs="宋体"/>
          <w:color w:val="auto"/>
        </w:rPr>
        <w:t>9.4.1 承包人在施工过程中，应遵守有关环境保护的法律，履行合同约定的环境保护义务，并对违反法律和合同约定义务所造成的环境破坏、人身伤害和财产损失负责。</w:t>
      </w:r>
    </w:p>
    <w:p w14:paraId="318D7D66">
      <w:pPr>
        <w:pStyle w:val="188"/>
        <w:ind w:right="100" w:firstLine="560"/>
        <w:jc w:val="both"/>
        <w:rPr>
          <w:rFonts w:hAnsi="宋体" w:cs="宋体"/>
          <w:color w:val="auto"/>
        </w:rPr>
      </w:pPr>
      <w:r>
        <w:rPr>
          <w:rFonts w:hint="eastAsia" w:hAnsi="宋体" w:cs="宋体"/>
          <w:color w:val="auto"/>
        </w:rPr>
        <w:t>9.4.2 承包人应按合同约定的环保工作内容，编制施工环保措施计划，报送监理人审批。</w:t>
      </w:r>
    </w:p>
    <w:p w14:paraId="7BB20768">
      <w:pPr>
        <w:pStyle w:val="188"/>
        <w:ind w:right="100" w:firstLine="560"/>
        <w:jc w:val="both"/>
        <w:rPr>
          <w:rFonts w:hAnsi="宋体" w:cs="宋体"/>
          <w:color w:val="auto"/>
        </w:rPr>
      </w:pPr>
      <w:r>
        <w:rPr>
          <w:rFonts w:hint="eastAsia" w:hAnsi="宋体" w:cs="宋体"/>
          <w:color w:val="auto"/>
        </w:rPr>
        <w:t>9.4.3 承包人应按照批准的施工环保措施计划有序地堆放和处理施工废弃物，避免对环境造成破坏。因承包人任意堆放或弃置施工废弃物造成妨碍公共交通、影响城镇居民生活、降低河流行洪能力、危及居民安全、破坏周边环境，或者影响其他承包人施工等后果的，承包人应承担责任。</w:t>
      </w:r>
    </w:p>
    <w:p w14:paraId="4883C805">
      <w:pPr>
        <w:pStyle w:val="188"/>
        <w:ind w:right="100" w:firstLine="560"/>
        <w:jc w:val="both"/>
        <w:rPr>
          <w:rFonts w:hAnsi="宋体" w:cs="宋体"/>
          <w:color w:val="auto"/>
        </w:rPr>
      </w:pPr>
      <w:r>
        <w:rPr>
          <w:rFonts w:hint="eastAsia" w:hAnsi="宋体" w:cs="宋体"/>
          <w:color w:val="auto"/>
        </w:rPr>
        <w:t>9.4.4 承包人应按合同约定采取有效措施，对施工开挖的边坡及时进行支护,维护排水设施，并进行水土保护，避免因施工造成的地质灾害。</w:t>
      </w:r>
    </w:p>
    <w:p w14:paraId="098B133E">
      <w:pPr>
        <w:pStyle w:val="188"/>
        <w:ind w:right="100" w:firstLine="560"/>
        <w:jc w:val="both"/>
        <w:rPr>
          <w:rFonts w:hAnsi="宋体" w:cs="宋体"/>
          <w:color w:val="auto"/>
        </w:rPr>
      </w:pPr>
      <w:r>
        <w:rPr>
          <w:rFonts w:hint="eastAsia" w:hAnsi="宋体" w:cs="宋体"/>
          <w:color w:val="auto"/>
        </w:rPr>
        <w:t>9.4.5 承包人应按国家饮用水管理标准定期对饮用水源进行监测，防止施工活动污染饮用水源。</w:t>
      </w:r>
    </w:p>
    <w:p w14:paraId="3D9C3D7E">
      <w:pPr>
        <w:pStyle w:val="188"/>
        <w:ind w:right="100" w:firstLine="560"/>
        <w:jc w:val="both"/>
        <w:rPr>
          <w:rFonts w:hAnsi="宋体" w:cs="宋体"/>
          <w:color w:val="auto"/>
        </w:rPr>
      </w:pPr>
      <w:r>
        <w:rPr>
          <w:rFonts w:hint="eastAsia" w:hAnsi="宋体" w:cs="宋体"/>
          <w:color w:val="auto"/>
        </w:rPr>
        <w:t>9.4.6 承包人应按合同约定，加强对噪声、粉尘、废气、废水和废油的控制，努力降低噪声，控制粉尘和废气浓度，做好废水和废油的治理和排放。</w:t>
      </w:r>
    </w:p>
    <w:p w14:paraId="476D9994">
      <w:pPr>
        <w:pStyle w:val="180"/>
        <w:spacing w:after="0" w:line="400" w:lineRule="exact"/>
        <w:ind w:firstLine="562"/>
        <w:jc w:val="both"/>
        <w:rPr>
          <w:rFonts w:hAnsi="宋体" w:cs="宋体"/>
          <w:b/>
          <w:color w:val="auto"/>
        </w:rPr>
      </w:pPr>
      <w:r>
        <w:rPr>
          <w:rFonts w:hint="eastAsia" w:hAnsi="宋体" w:cs="宋体"/>
          <w:b/>
          <w:color w:val="auto"/>
        </w:rPr>
        <w:t>9.5 事故处理</w:t>
      </w:r>
    </w:p>
    <w:p w14:paraId="05F188E5">
      <w:pPr>
        <w:pStyle w:val="25"/>
        <w:spacing w:line="400" w:lineRule="exact"/>
        <w:ind w:firstLine="630" w:firstLineChars="225"/>
        <w:rPr>
          <w:rFonts w:hAnsi="宋体" w:cs="宋体"/>
          <w:color w:val="auto"/>
        </w:rPr>
      </w:pPr>
      <w:r>
        <w:rPr>
          <w:rFonts w:hint="eastAsia" w:hAnsi="宋体" w:cs="宋体"/>
          <w:color w:val="auto"/>
        </w:rPr>
        <w:t>9.5.1  发包人负责组织参建单位制定本工程的质量与安全事故应急预案，建立质量与安全事故应急处置指挥部。</w:t>
      </w:r>
    </w:p>
    <w:p w14:paraId="56997ECF">
      <w:pPr>
        <w:pStyle w:val="25"/>
        <w:spacing w:line="400" w:lineRule="exact"/>
        <w:ind w:firstLine="630" w:firstLineChars="225"/>
        <w:rPr>
          <w:rFonts w:hAnsi="宋体" w:cs="宋体"/>
          <w:color w:val="auto"/>
        </w:rPr>
      </w:pPr>
      <w:r>
        <w:rPr>
          <w:rFonts w:hint="eastAsia" w:hAnsi="宋体" w:cs="宋体"/>
          <w:color w:val="auto"/>
        </w:rPr>
        <w:t>9.5.2承包人应对施工现场易发生重大事故的部位、环节进行监控，配备救援器材、设备，并定期组织演练。</w:t>
      </w:r>
    </w:p>
    <w:p w14:paraId="708CE965">
      <w:pPr>
        <w:pStyle w:val="25"/>
        <w:spacing w:line="400" w:lineRule="exact"/>
        <w:ind w:firstLine="630" w:firstLineChars="225"/>
        <w:rPr>
          <w:rFonts w:hAnsi="宋体" w:cs="宋体"/>
          <w:color w:val="auto"/>
        </w:rPr>
      </w:pPr>
      <w:r>
        <w:rPr>
          <w:rFonts w:hint="eastAsia" w:hAnsi="宋体" w:cs="宋体"/>
          <w:color w:val="auto"/>
        </w:rPr>
        <w:t>9.5.3工程开工前，承包人应根据本工程的特点制定施工现场施工质量与安全事故应急预案，并报发包人备案。</w:t>
      </w:r>
    </w:p>
    <w:p w14:paraId="5B71B0FD">
      <w:pPr>
        <w:pStyle w:val="25"/>
        <w:spacing w:line="400" w:lineRule="exact"/>
        <w:ind w:firstLine="630" w:firstLineChars="225"/>
        <w:rPr>
          <w:rFonts w:hAnsi="宋体" w:cs="宋体"/>
          <w:color w:val="auto"/>
        </w:rPr>
      </w:pPr>
      <w:r>
        <w:rPr>
          <w:rFonts w:hint="eastAsia" w:hAnsi="宋体" w:cs="宋体"/>
          <w:color w:val="auto"/>
        </w:rPr>
        <w:t>9.5.4 施工过程中发生事故时，发包人、承包人应立即启动应急预案。</w:t>
      </w:r>
    </w:p>
    <w:p w14:paraId="03D849EE">
      <w:pPr>
        <w:pStyle w:val="25"/>
        <w:spacing w:line="400" w:lineRule="exact"/>
        <w:ind w:firstLine="630" w:firstLineChars="225"/>
        <w:rPr>
          <w:rFonts w:hAnsi="宋体" w:cs="宋体"/>
          <w:color w:val="auto"/>
        </w:rPr>
      </w:pPr>
      <w:r>
        <w:rPr>
          <w:rFonts w:hint="eastAsia" w:hAnsi="宋体" w:cs="宋体"/>
          <w:color w:val="auto"/>
        </w:rPr>
        <w:t>9.5.5  事故调查处理由发包人按相关规定履行手续，承包人应配合。</w:t>
      </w:r>
    </w:p>
    <w:p w14:paraId="1EC27887">
      <w:pPr>
        <w:pStyle w:val="180"/>
        <w:spacing w:after="0" w:line="400" w:lineRule="exact"/>
        <w:ind w:firstLine="562"/>
        <w:jc w:val="both"/>
        <w:rPr>
          <w:rFonts w:hAnsi="宋体" w:cs="宋体"/>
          <w:b/>
          <w:color w:val="auto"/>
        </w:rPr>
      </w:pPr>
      <w:r>
        <w:rPr>
          <w:rFonts w:hint="eastAsia" w:hAnsi="宋体" w:cs="宋体"/>
          <w:b/>
          <w:color w:val="auto"/>
        </w:rPr>
        <w:t>9.6水土保持</w:t>
      </w:r>
    </w:p>
    <w:p w14:paraId="10D239A1">
      <w:pPr>
        <w:pStyle w:val="25"/>
        <w:spacing w:line="400" w:lineRule="exact"/>
        <w:ind w:firstLine="560"/>
        <w:rPr>
          <w:rFonts w:hAnsi="宋体" w:cs="宋体"/>
          <w:color w:val="auto"/>
        </w:rPr>
      </w:pPr>
      <w:r>
        <w:rPr>
          <w:rFonts w:hint="eastAsia" w:hAnsi="宋体" w:cs="宋体"/>
          <w:color w:val="auto"/>
        </w:rPr>
        <w:t xml:space="preserve">    9.6.1 发包人应及时向承包人提供水土保持方案。</w:t>
      </w:r>
    </w:p>
    <w:p w14:paraId="44CAEAE7">
      <w:pPr>
        <w:pStyle w:val="25"/>
        <w:spacing w:line="400" w:lineRule="exact"/>
        <w:ind w:firstLine="560"/>
        <w:rPr>
          <w:rFonts w:hAnsi="宋体" w:cs="宋体"/>
          <w:color w:val="auto"/>
        </w:rPr>
      </w:pPr>
      <w:r>
        <w:rPr>
          <w:rFonts w:hint="eastAsia" w:hAnsi="宋体" w:cs="宋体"/>
          <w:color w:val="auto"/>
        </w:rPr>
        <w:t xml:space="preserve">    9.6.2承包人在施工过程中，应遵守有关水土保持的法律法规和规章，履行合同约定的水土保持义务，并对其违反法律和合同约定义务所造成的水土流失灾害、人身伤害和财产损失负责。</w:t>
      </w:r>
    </w:p>
    <w:p w14:paraId="2A238D20">
      <w:pPr>
        <w:pStyle w:val="25"/>
        <w:spacing w:line="400" w:lineRule="exact"/>
        <w:ind w:firstLine="560"/>
        <w:rPr>
          <w:rFonts w:hAnsi="宋体" w:cs="宋体"/>
          <w:color w:val="auto"/>
        </w:rPr>
      </w:pPr>
      <w:r>
        <w:rPr>
          <w:rFonts w:hint="eastAsia" w:hAnsi="宋体" w:cs="宋体"/>
          <w:color w:val="auto"/>
        </w:rPr>
        <w:t xml:space="preserve">    9.6.3 承包人的水土保持措施计划，应满足技术标准和要求(合同技术条款)约定的要求。</w:t>
      </w:r>
    </w:p>
    <w:p w14:paraId="5CD180CE">
      <w:pPr>
        <w:pStyle w:val="180"/>
        <w:spacing w:after="0" w:line="400" w:lineRule="exact"/>
        <w:ind w:firstLine="562"/>
        <w:jc w:val="both"/>
        <w:rPr>
          <w:rFonts w:hAnsi="宋体" w:cs="宋体"/>
          <w:b/>
          <w:color w:val="auto"/>
        </w:rPr>
      </w:pPr>
      <w:r>
        <w:rPr>
          <w:rFonts w:hint="eastAsia" w:hAnsi="宋体" w:cs="宋体"/>
          <w:b/>
          <w:color w:val="auto"/>
        </w:rPr>
        <w:t>9.7 文明工地</w:t>
      </w:r>
    </w:p>
    <w:p w14:paraId="3E6CEFB1">
      <w:pPr>
        <w:pStyle w:val="25"/>
        <w:spacing w:line="400" w:lineRule="exact"/>
        <w:ind w:firstLine="560"/>
        <w:rPr>
          <w:rFonts w:hAnsi="宋体" w:cs="宋体"/>
          <w:color w:val="auto"/>
        </w:rPr>
      </w:pPr>
      <w:r>
        <w:rPr>
          <w:rFonts w:hint="eastAsia" w:hAnsi="宋体" w:cs="宋体"/>
          <w:color w:val="auto"/>
        </w:rPr>
        <w:t xml:space="preserve">    9.7.1 发包人应按专用合同条款的约定，负责建立创建文明建设工地的组织机构，制定创建文明建设工地的规划和办法。</w:t>
      </w:r>
    </w:p>
    <w:p w14:paraId="2F3FE09F">
      <w:pPr>
        <w:pStyle w:val="25"/>
        <w:spacing w:line="400" w:lineRule="exact"/>
        <w:ind w:firstLine="560"/>
        <w:rPr>
          <w:rFonts w:hAnsi="宋体" w:cs="宋体"/>
          <w:color w:val="auto"/>
        </w:rPr>
      </w:pPr>
      <w:r>
        <w:rPr>
          <w:rFonts w:hint="eastAsia" w:hAnsi="宋体" w:cs="宋体"/>
          <w:color w:val="auto"/>
        </w:rPr>
        <w:t xml:space="preserve">    9.7.2  承包人应按创建文明建设工地的规划和办法，履行职责，承担相应责任。所需费用应含在工程量清单中。</w:t>
      </w:r>
    </w:p>
    <w:p w14:paraId="08DAD25D">
      <w:pPr>
        <w:pStyle w:val="180"/>
        <w:spacing w:after="0" w:line="400" w:lineRule="exact"/>
        <w:ind w:firstLine="562"/>
        <w:jc w:val="both"/>
        <w:rPr>
          <w:rFonts w:hAnsi="宋体" w:cs="宋体"/>
          <w:b/>
          <w:color w:val="auto"/>
        </w:rPr>
      </w:pPr>
      <w:r>
        <w:rPr>
          <w:rFonts w:hint="eastAsia" w:hAnsi="宋体" w:cs="宋体"/>
          <w:b/>
          <w:color w:val="auto"/>
        </w:rPr>
        <w:t>9.8 防汛度汛</w:t>
      </w:r>
    </w:p>
    <w:p w14:paraId="7D6B98C8">
      <w:pPr>
        <w:pStyle w:val="25"/>
        <w:spacing w:line="400" w:lineRule="exact"/>
        <w:ind w:firstLine="560"/>
        <w:rPr>
          <w:rFonts w:hAnsi="宋体" w:cs="宋体"/>
          <w:color w:val="auto"/>
        </w:rPr>
      </w:pPr>
      <w:r>
        <w:rPr>
          <w:rFonts w:hint="eastAsia" w:hAnsi="宋体" w:cs="宋体"/>
          <w:color w:val="auto"/>
        </w:rPr>
        <w:t xml:space="preserve">    9.8.1  发包人负责组织工程参建单位编制本工程的度汛方案和措施。</w:t>
      </w:r>
    </w:p>
    <w:p w14:paraId="765DBD21">
      <w:pPr>
        <w:pStyle w:val="25"/>
        <w:spacing w:line="400" w:lineRule="exact"/>
        <w:ind w:firstLine="560"/>
        <w:rPr>
          <w:rFonts w:hAnsi="宋体" w:cs="宋体"/>
          <w:color w:val="auto"/>
        </w:rPr>
      </w:pPr>
      <w:r>
        <w:rPr>
          <w:rFonts w:hint="eastAsia" w:hAnsi="宋体" w:cs="宋体"/>
          <w:color w:val="auto"/>
        </w:rPr>
        <w:t xml:space="preserve">    9.8.2  承包人应根据发包人编制的本工程度汛方案和措施，制定相应的度汛方案，报发包人批准后实施。</w:t>
      </w:r>
    </w:p>
    <w:p w14:paraId="189608DD">
      <w:pPr>
        <w:pStyle w:val="180"/>
        <w:spacing w:before="100" w:after="100" w:line="400" w:lineRule="exact"/>
        <w:ind w:firstLine="643"/>
        <w:jc w:val="both"/>
        <w:rPr>
          <w:rFonts w:hAnsi="宋体" w:cs="宋体"/>
          <w:b/>
          <w:color w:val="auto"/>
          <w:sz w:val="32"/>
          <w:szCs w:val="32"/>
        </w:rPr>
      </w:pPr>
      <w:bookmarkStart w:id="546" w:name="_Toc27427"/>
      <w:bookmarkStart w:id="547" w:name="_Toc215561210"/>
      <w:bookmarkStart w:id="548" w:name="_Toc450123134"/>
      <w:bookmarkStart w:id="549" w:name="_Toc450123368"/>
      <w:bookmarkStart w:id="550" w:name="_Toc206830023"/>
      <w:bookmarkStart w:id="551" w:name="_Toc215556192"/>
      <w:bookmarkStart w:id="552" w:name="_Toc305763056"/>
      <w:bookmarkStart w:id="553" w:name="_Toc436309595"/>
      <w:bookmarkStart w:id="554" w:name="_Toc460581180"/>
      <w:bookmarkStart w:id="555" w:name="_Toc453768100"/>
      <w:bookmarkStart w:id="556" w:name="_Toc274500898"/>
      <w:bookmarkStart w:id="557" w:name="_Toc510197474"/>
      <w:bookmarkStart w:id="558" w:name="_Toc342046316"/>
      <w:bookmarkStart w:id="559" w:name="_Toc7975"/>
      <w:bookmarkStart w:id="560" w:name="_Toc371937194"/>
      <w:bookmarkStart w:id="561" w:name="_Toc338778042"/>
      <w:bookmarkStart w:id="562" w:name="_Toc255741931"/>
      <w:bookmarkStart w:id="563" w:name="_Toc257202835"/>
      <w:bookmarkStart w:id="564" w:name="_Toc260230302"/>
      <w:bookmarkStart w:id="565" w:name="_Toc340222905"/>
      <w:bookmarkStart w:id="566" w:name="_Toc209862332"/>
      <w:bookmarkStart w:id="567" w:name="_Toc436998788"/>
      <w:bookmarkStart w:id="568" w:name="_Toc215805053"/>
      <w:bookmarkStart w:id="569" w:name="_Toc270517144"/>
      <w:bookmarkStart w:id="570" w:name="_Toc254774411"/>
      <w:bookmarkStart w:id="571" w:name="_Toc477164662"/>
      <w:bookmarkStart w:id="572" w:name="_Toc255470044"/>
      <w:bookmarkStart w:id="573" w:name="_Toc222804526"/>
      <w:bookmarkStart w:id="574" w:name="_Toc504565689"/>
      <w:bookmarkStart w:id="575" w:name="_Toc452986502"/>
      <w:bookmarkStart w:id="576" w:name="_Toc249848952"/>
      <w:bookmarkStart w:id="577" w:name="_Toc439772701"/>
      <w:bookmarkStart w:id="578" w:name="_Toc306293166"/>
      <w:bookmarkStart w:id="579" w:name="_Toc351898547"/>
      <w:bookmarkStart w:id="580" w:name="_Toc458599278"/>
      <w:bookmarkStart w:id="581" w:name="_Toc260649030"/>
      <w:bookmarkStart w:id="582" w:name="_Toc504565802"/>
      <w:bookmarkStart w:id="583" w:name="_Toc436133238"/>
      <w:bookmarkStart w:id="584" w:name="_Toc510197612"/>
      <w:bookmarkStart w:id="585" w:name="_Toc208734410"/>
      <w:bookmarkStart w:id="586" w:name="_Toc255470267"/>
      <w:bookmarkStart w:id="587" w:name="_Toc368145486"/>
      <w:bookmarkStart w:id="588" w:name="_Toc214355673"/>
      <w:bookmarkStart w:id="589" w:name="_Toc187846002"/>
      <w:bookmarkStart w:id="590" w:name="_Toc245110740"/>
      <w:bookmarkStart w:id="591" w:name="_Toc187475842"/>
      <w:bookmarkStart w:id="592" w:name="_Toc389226397"/>
      <w:bookmarkStart w:id="593" w:name="_Toc350857429"/>
      <w:bookmarkStart w:id="594" w:name="_Toc227658500"/>
      <w:bookmarkStart w:id="595" w:name="_Toc476231301"/>
      <w:bookmarkStart w:id="596" w:name="_Toc260229975"/>
      <w:bookmarkStart w:id="597" w:name="_Toc436309947"/>
      <w:bookmarkStart w:id="598" w:name="_Toc219172339"/>
      <w:bookmarkStart w:id="599" w:name="_Toc449111928"/>
      <w:bookmarkStart w:id="600" w:name="_Toc248294423"/>
      <w:bookmarkStart w:id="601" w:name="_Toc340436795"/>
      <w:bookmarkStart w:id="602" w:name="_Toc211175334"/>
      <w:bookmarkStart w:id="603" w:name="_Toc445105537"/>
      <w:bookmarkStart w:id="604" w:name="_Toc195864497"/>
      <w:bookmarkStart w:id="605" w:name="_Toc388633677"/>
      <w:r>
        <w:rPr>
          <w:rFonts w:hint="eastAsia" w:hAnsi="宋体" w:cs="宋体"/>
          <w:b/>
          <w:color w:val="auto"/>
          <w:sz w:val="32"/>
          <w:szCs w:val="32"/>
        </w:rPr>
        <w:t>10. 进度计划</w:t>
      </w:r>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3251C8CF">
      <w:pPr>
        <w:pStyle w:val="180"/>
        <w:spacing w:after="0" w:line="400" w:lineRule="exact"/>
        <w:ind w:firstLine="562"/>
        <w:jc w:val="both"/>
        <w:rPr>
          <w:rFonts w:hAnsi="宋体" w:cs="宋体"/>
          <w:b/>
          <w:color w:val="auto"/>
        </w:rPr>
      </w:pPr>
      <w:r>
        <w:rPr>
          <w:rFonts w:hint="eastAsia" w:hAnsi="宋体" w:cs="宋体"/>
          <w:b/>
          <w:color w:val="auto"/>
        </w:rPr>
        <w:t>10.1 合同进度计划</w:t>
      </w:r>
    </w:p>
    <w:p w14:paraId="04A4FE88">
      <w:pPr>
        <w:pStyle w:val="188"/>
        <w:ind w:right="100" w:firstLine="560"/>
        <w:jc w:val="both"/>
        <w:rPr>
          <w:rFonts w:hAnsi="宋体" w:cs="宋体"/>
          <w:color w:val="auto"/>
        </w:rPr>
      </w:pPr>
      <w:r>
        <w:rPr>
          <w:rFonts w:hint="eastAsia" w:hAnsi="宋体" w:cs="宋体"/>
          <w:color w:val="auto"/>
        </w:rPr>
        <w:t>承包人应按技术标准和要求(合同技术条款)约定的内容和期限以及监理人的指示，编制详细的施工总进度计划及其说明提交监理人审批。监理人应在技术标准和要求(合同技术条款)约定的期限内批复承包人，否则该进度计划视为已得到批准。经监理人批准的施工进度计划称为合同进度计划，是控制合同工程进度的依据。承包人还应根据合同进度计划，编制更为详细的分阶段或单位工程或分部工程进度计划，报监理人审批。</w:t>
      </w:r>
    </w:p>
    <w:p w14:paraId="760AC2DC">
      <w:pPr>
        <w:pStyle w:val="180"/>
        <w:spacing w:after="0" w:line="400" w:lineRule="exact"/>
        <w:ind w:firstLine="562"/>
        <w:jc w:val="both"/>
        <w:rPr>
          <w:rFonts w:hAnsi="宋体" w:cs="宋体"/>
          <w:b/>
          <w:color w:val="auto"/>
        </w:rPr>
      </w:pPr>
      <w:r>
        <w:rPr>
          <w:rFonts w:hint="eastAsia" w:hAnsi="宋体" w:cs="宋体"/>
          <w:b/>
          <w:color w:val="auto"/>
        </w:rPr>
        <w:t>10.2 合同进度计划的修订</w:t>
      </w:r>
    </w:p>
    <w:p w14:paraId="3DFD5694">
      <w:pPr>
        <w:pStyle w:val="25"/>
        <w:spacing w:line="400" w:lineRule="exact"/>
        <w:ind w:firstLine="719" w:firstLineChars="257"/>
        <w:rPr>
          <w:rFonts w:hAnsi="宋体" w:cs="宋体"/>
          <w:color w:val="auto"/>
        </w:rPr>
      </w:pPr>
      <w:r>
        <w:rPr>
          <w:rFonts w:hint="eastAsia" w:hAnsi="宋体" w:cs="宋体"/>
          <w:color w:val="auto"/>
        </w:rPr>
        <w:t>不论何种原因造成工程的实际进度与第10.1款的合同进度计划不符时，承包人均应在14天内向监理人提交修订合同进度计划的申请报告，并附有关措施和相关资料，报监理人审批，监理人应在收到申请报告后的14天内批复。当监理人认为需要修订合同进度计划时，承包人应按监理人的指示，在14天内向监理人提交修订的合同进度计划，并附调整计划的相关资料，提交监理人审批。监理人应在收到进度计划后的14天内批复。</w:t>
      </w:r>
    </w:p>
    <w:p w14:paraId="0544402A">
      <w:pPr>
        <w:pStyle w:val="25"/>
        <w:spacing w:line="400" w:lineRule="exact"/>
        <w:ind w:firstLine="719" w:firstLineChars="257"/>
        <w:rPr>
          <w:rFonts w:hAnsi="宋体" w:cs="宋体"/>
          <w:color w:val="auto"/>
        </w:rPr>
      </w:pPr>
      <w:r>
        <w:rPr>
          <w:rFonts w:hint="eastAsia" w:hAnsi="宋体" w:cs="宋体"/>
          <w:color w:val="auto"/>
        </w:rPr>
        <w:t>不论何种原因造成施工进度延迟，承包人均应按监理人的指示，采取有效措施赶上进度。承包人应在向监理人提交修订合同进度计划的同时，编制一份赶工措施报告提交监理人审批。由于发包人原因造成施工进度延迟，应按第11.3款的约定办理；由于承包人原因造成施工进度延迟，应按第11.5款的约定办理。</w:t>
      </w:r>
    </w:p>
    <w:p w14:paraId="3B925BB5">
      <w:pPr>
        <w:pStyle w:val="180"/>
        <w:spacing w:after="0" w:line="400" w:lineRule="exact"/>
        <w:ind w:firstLine="562"/>
        <w:jc w:val="both"/>
        <w:rPr>
          <w:rFonts w:hAnsi="宋体" w:cs="宋体"/>
          <w:b/>
          <w:color w:val="auto"/>
        </w:rPr>
      </w:pPr>
      <w:r>
        <w:rPr>
          <w:rFonts w:hint="eastAsia" w:hAnsi="宋体" w:cs="宋体"/>
          <w:b/>
          <w:color w:val="auto"/>
        </w:rPr>
        <w:t>10.3 单位工程进度计划</w:t>
      </w:r>
    </w:p>
    <w:p w14:paraId="1710171D">
      <w:pPr>
        <w:pStyle w:val="25"/>
        <w:spacing w:line="400" w:lineRule="exact"/>
        <w:ind w:firstLine="630" w:firstLineChars="225"/>
        <w:rPr>
          <w:rFonts w:hAnsi="宋体" w:cs="宋体"/>
          <w:color w:val="auto"/>
        </w:rPr>
      </w:pPr>
      <w:r>
        <w:rPr>
          <w:rFonts w:hint="eastAsia" w:hAnsi="宋体" w:cs="宋体"/>
          <w:color w:val="auto"/>
        </w:rPr>
        <w:t>监理人认为有必要时，承包人应按监理人指示的内容和期限，并根据合同进度计划的进度控制要求，编制单位工程进度计划，提交监理人审批。</w:t>
      </w:r>
    </w:p>
    <w:p w14:paraId="4FBE19B6">
      <w:pPr>
        <w:pStyle w:val="180"/>
        <w:spacing w:after="0" w:line="400" w:lineRule="exact"/>
        <w:ind w:firstLine="562"/>
        <w:jc w:val="both"/>
        <w:rPr>
          <w:rFonts w:hAnsi="宋体" w:cs="宋体"/>
          <w:b/>
          <w:color w:val="auto"/>
        </w:rPr>
      </w:pPr>
      <w:r>
        <w:rPr>
          <w:rFonts w:hint="eastAsia" w:hAnsi="宋体" w:cs="宋体"/>
          <w:b/>
          <w:color w:val="auto"/>
        </w:rPr>
        <w:t>10.4 提交资金流估算表</w:t>
      </w:r>
    </w:p>
    <w:p w14:paraId="647A4568">
      <w:pPr>
        <w:pStyle w:val="25"/>
        <w:spacing w:line="400" w:lineRule="exact"/>
        <w:ind w:firstLine="630" w:firstLineChars="225"/>
        <w:rPr>
          <w:rFonts w:hAnsi="宋体" w:cs="宋体"/>
          <w:color w:val="auto"/>
        </w:rPr>
      </w:pPr>
      <w:r>
        <w:rPr>
          <w:rFonts w:hint="eastAsia" w:hAnsi="宋体" w:cs="宋体"/>
          <w:color w:val="auto"/>
        </w:rPr>
        <w:t>承包人应在按第10.1款约定向监理人提交施工总进度计划的同时，按下表约定的格式，向监理人提交按月的资金流估算表。估算表应包括承包人计划可从发包人处得到的全部款额，以供发包人参考。此后，当监理人提出要求时，承包人应在监理人指定的期限内提交修订的资金流估算表。</w:t>
      </w:r>
    </w:p>
    <w:p w14:paraId="198683F5">
      <w:pPr>
        <w:pStyle w:val="25"/>
        <w:spacing w:line="400" w:lineRule="exact"/>
        <w:ind w:firstLine="562"/>
        <w:rPr>
          <w:rFonts w:hAnsi="宋体" w:cs="宋体"/>
          <w:color w:val="auto"/>
        </w:rPr>
      </w:pPr>
      <w:r>
        <w:rPr>
          <w:rFonts w:hint="eastAsia" w:hAnsi="宋体" w:cs="宋体"/>
          <w:b/>
          <w:color w:val="auto"/>
        </w:rPr>
        <w:t>资金流估算表</w:t>
      </w:r>
      <w:r>
        <w:rPr>
          <w:rFonts w:hint="eastAsia" w:hAnsi="宋体" w:cs="宋体"/>
          <w:color w:val="auto"/>
        </w:rPr>
        <w:t>(参考格式)                        金额单位</w:t>
      </w:r>
    </w:p>
    <w:tbl>
      <w:tblPr>
        <w:tblStyle w:val="4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8"/>
        <w:gridCol w:w="540"/>
        <w:gridCol w:w="1228"/>
        <w:gridCol w:w="1054"/>
        <w:gridCol w:w="1054"/>
        <w:gridCol w:w="1054"/>
        <w:gridCol w:w="1054"/>
        <w:gridCol w:w="655"/>
        <w:gridCol w:w="936"/>
        <w:gridCol w:w="862"/>
      </w:tblGrid>
      <w:tr w14:paraId="750E9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68" w:type="dxa"/>
          </w:tcPr>
          <w:p w14:paraId="2F86E099">
            <w:pPr>
              <w:pStyle w:val="25"/>
              <w:spacing w:line="400" w:lineRule="exact"/>
              <w:ind w:firstLine="560"/>
              <w:rPr>
                <w:rFonts w:hAnsi="宋体" w:cs="宋体"/>
                <w:color w:val="auto"/>
              </w:rPr>
            </w:pPr>
            <w:r>
              <w:rPr>
                <w:rFonts w:hint="eastAsia" w:hAnsi="宋体" w:cs="宋体"/>
                <w:color w:val="auto"/>
              </w:rPr>
              <w:t>年</w:t>
            </w:r>
          </w:p>
        </w:tc>
        <w:tc>
          <w:tcPr>
            <w:tcW w:w="540" w:type="dxa"/>
          </w:tcPr>
          <w:p w14:paraId="4585AEA8">
            <w:pPr>
              <w:pStyle w:val="25"/>
              <w:spacing w:line="400" w:lineRule="exact"/>
              <w:ind w:firstLine="560"/>
              <w:rPr>
                <w:rFonts w:hAnsi="宋体" w:cs="宋体"/>
                <w:color w:val="auto"/>
              </w:rPr>
            </w:pPr>
            <w:r>
              <w:rPr>
                <w:rFonts w:hint="eastAsia" w:hAnsi="宋体" w:cs="宋体"/>
                <w:color w:val="auto"/>
              </w:rPr>
              <w:t>月</w:t>
            </w:r>
          </w:p>
        </w:tc>
        <w:tc>
          <w:tcPr>
            <w:tcW w:w="1228" w:type="dxa"/>
          </w:tcPr>
          <w:p w14:paraId="31C694F4">
            <w:pPr>
              <w:pStyle w:val="25"/>
              <w:spacing w:line="400" w:lineRule="exact"/>
              <w:ind w:firstLine="560"/>
              <w:rPr>
                <w:rFonts w:hAnsi="宋体" w:cs="宋体"/>
                <w:color w:val="auto"/>
              </w:rPr>
            </w:pPr>
            <w:r>
              <w:rPr>
                <w:rFonts w:hint="eastAsia" w:hAnsi="宋体" w:cs="宋体"/>
                <w:color w:val="auto"/>
              </w:rPr>
              <w:t>工程预付款</w:t>
            </w:r>
          </w:p>
        </w:tc>
        <w:tc>
          <w:tcPr>
            <w:tcW w:w="1054" w:type="dxa"/>
          </w:tcPr>
          <w:p w14:paraId="7C404006">
            <w:pPr>
              <w:pStyle w:val="25"/>
              <w:spacing w:line="400" w:lineRule="exact"/>
              <w:ind w:firstLine="560"/>
              <w:rPr>
                <w:rFonts w:hAnsi="宋体" w:cs="宋体"/>
                <w:color w:val="auto"/>
              </w:rPr>
            </w:pPr>
            <w:r>
              <w:rPr>
                <w:rFonts w:hint="eastAsia" w:hAnsi="宋体" w:cs="宋体"/>
                <w:color w:val="auto"/>
              </w:rPr>
              <w:t>完成工作量付款</w:t>
            </w:r>
          </w:p>
        </w:tc>
        <w:tc>
          <w:tcPr>
            <w:tcW w:w="1054" w:type="dxa"/>
          </w:tcPr>
          <w:p w14:paraId="450AECDB">
            <w:pPr>
              <w:pStyle w:val="25"/>
              <w:spacing w:line="400" w:lineRule="exact"/>
              <w:ind w:firstLine="560"/>
              <w:rPr>
                <w:rFonts w:hAnsi="宋体" w:cs="宋体"/>
                <w:color w:val="auto"/>
              </w:rPr>
            </w:pPr>
            <w:r>
              <w:rPr>
                <w:rFonts w:hint="eastAsia" w:hAnsi="宋体" w:cs="宋体"/>
                <w:color w:val="auto"/>
              </w:rPr>
              <w:t>质量保证金扣留</w:t>
            </w:r>
          </w:p>
        </w:tc>
        <w:tc>
          <w:tcPr>
            <w:tcW w:w="1054" w:type="dxa"/>
          </w:tcPr>
          <w:p w14:paraId="38DB95CD">
            <w:pPr>
              <w:pStyle w:val="25"/>
              <w:spacing w:line="400" w:lineRule="exact"/>
              <w:ind w:firstLine="560"/>
              <w:rPr>
                <w:rFonts w:hAnsi="宋体" w:cs="宋体"/>
                <w:color w:val="auto"/>
              </w:rPr>
            </w:pPr>
            <w:r>
              <w:rPr>
                <w:rFonts w:hint="eastAsia" w:hAnsi="宋体" w:cs="宋体"/>
                <w:color w:val="auto"/>
              </w:rPr>
              <w:t>材料款扣除</w:t>
            </w:r>
          </w:p>
        </w:tc>
        <w:tc>
          <w:tcPr>
            <w:tcW w:w="1054" w:type="dxa"/>
          </w:tcPr>
          <w:p w14:paraId="1FFB1E20">
            <w:pPr>
              <w:pStyle w:val="25"/>
              <w:spacing w:line="400" w:lineRule="exact"/>
              <w:ind w:firstLine="560"/>
              <w:rPr>
                <w:rFonts w:hAnsi="宋体" w:cs="宋体"/>
                <w:color w:val="auto"/>
              </w:rPr>
            </w:pPr>
            <w:r>
              <w:rPr>
                <w:rFonts w:hint="eastAsia" w:hAnsi="宋体" w:cs="宋体"/>
                <w:color w:val="auto"/>
              </w:rPr>
              <w:t>预付款扣还</w:t>
            </w:r>
          </w:p>
        </w:tc>
        <w:tc>
          <w:tcPr>
            <w:tcW w:w="655" w:type="dxa"/>
          </w:tcPr>
          <w:p w14:paraId="736603C0">
            <w:pPr>
              <w:pStyle w:val="25"/>
              <w:spacing w:line="400" w:lineRule="exact"/>
              <w:ind w:firstLine="560"/>
              <w:rPr>
                <w:rFonts w:hAnsi="宋体" w:cs="宋体"/>
                <w:color w:val="auto"/>
              </w:rPr>
            </w:pPr>
            <w:r>
              <w:rPr>
                <w:rFonts w:hint="eastAsia" w:hAnsi="宋体" w:cs="宋体"/>
                <w:color w:val="auto"/>
              </w:rPr>
              <w:t>其它</w:t>
            </w:r>
          </w:p>
        </w:tc>
        <w:tc>
          <w:tcPr>
            <w:tcW w:w="936" w:type="dxa"/>
          </w:tcPr>
          <w:p w14:paraId="032BE7D4">
            <w:pPr>
              <w:pStyle w:val="25"/>
              <w:spacing w:line="400" w:lineRule="exact"/>
              <w:ind w:firstLine="560"/>
              <w:rPr>
                <w:rFonts w:hAnsi="宋体" w:cs="宋体"/>
                <w:color w:val="auto"/>
              </w:rPr>
            </w:pPr>
            <w:r>
              <w:rPr>
                <w:rFonts w:hint="eastAsia" w:hAnsi="宋体" w:cs="宋体"/>
                <w:color w:val="auto"/>
              </w:rPr>
              <w:t>应收款</w:t>
            </w:r>
          </w:p>
        </w:tc>
        <w:tc>
          <w:tcPr>
            <w:tcW w:w="862" w:type="dxa"/>
          </w:tcPr>
          <w:p w14:paraId="352D8897">
            <w:pPr>
              <w:pStyle w:val="25"/>
              <w:spacing w:line="400" w:lineRule="exact"/>
              <w:ind w:firstLine="560"/>
              <w:rPr>
                <w:rFonts w:hAnsi="宋体" w:cs="宋体"/>
                <w:color w:val="auto"/>
              </w:rPr>
            </w:pPr>
            <w:r>
              <w:rPr>
                <w:rFonts w:hint="eastAsia" w:hAnsi="宋体" w:cs="宋体"/>
                <w:color w:val="auto"/>
              </w:rPr>
              <w:t>累计应收款</w:t>
            </w:r>
          </w:p>
        </w:tc>
      </w:tr>
      <w:tr w14:paraId="5D3E8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468" w:type="dxa"/>
          </w:tcPr>
          <w:p w14:paraId="5D802511">
            <w:pPr>
              <w:pStyle w:val="25"/>
              <w:spacing w:line="400" w:lineRule="exact"/>
              <w:ind w:firstLine="560"/>
              <w:rPr>
                <w:rFonts w:hAnsi="宋体" w:cs="宋体"/>
                <w:color w:val="auto"/>
              </w:rPr>
            </w:pPr>
          </w:p>
        </w:tc>
        <w:tc>
          <w:tcPr>
            <w:tcW w:w="540" w:type="dxa"/>
          </w:tcPr>
          <w:p w14:paraId="670BA40F">
            <w:pPr>
              <w:pStyle w:val="25"/>
              <w:spacing w:line="400" w:lineRule="exact"/>
              <w:ind w:firstLine="560"/>
              <w:rPr>
                <w:rFonts w:hAnsi="宋体" w:cs="宋体"/>
                <w:color w:val="auto"/>
              </w:rPr>
            </w:pPr>
          </w:p>
        </w:tc>
        <w:tc>
          <w:tcPr>
            <w:tcW w:w="1228" w:type="dxa"/>
          </w:tcPr>
          <w:p w14:paraId="03E29110">
            <w:pPr>
              <w:pStyle w:val="25"/>
              <w:spacing w:line="400" w:lineRule="exact"/>
              <w:ind w:firstLine="560"/>
              <w:rPr>
                <w:rFonts w:hAnsi="宋体" w:cs="宋体"/>
                <w:color w:val="auto"/>
              </w:rPr>
            </w:pPr>
          </w:p>
        </w:tc>
        <w:tc>
          <w:tcPr>
            <w:tcW w:w="1054" w:type="dxa"/>
          </w:tcPr>
          <w:p w14:paraId="5FFEC96A">
            <w:pPr>
              <w:pStyle w:val="25"/>
              <w:spacing w:line="400" w:lineRule="exact"/>
              <w:ind w:firstLine="560"/>
              <w:rPr>
                <w:rFonts w:hAnsi="宋体" w:cs="宋体"/>
                <w:color w:val="auto"/>
              </w:rPr>
            </w:pPr>
          </w:p>
        </w:tc>
        <w:tc>
          <w:tcPr>
            <w:tcW w:w="1054" w:type="dxa"/>
          </w:tcPr>
          <w:p w14:paraId="26FB75FA">
            <w:pPr>
              <w:pStyle w:val="25"/>
              <w:spacing w:line="400" w:lineRule="exact"/>
              <w:ind w:firstLine="560"/>
              <w:rPr>
                <w:rFonts w:hAnsi="宋体" w:cs="宋体"/>
                <w:color w:val="auto"/>
              </w:rPr>
            </w:pPr>
          </w:p>
        </w:tc>
        <w:tc>
          <w:tcPr>
            <w:tcW w:w="1054" w:type="dxa"/>
          </w:tcPr>
          <w:p w14:paraId="372A2E15">
            <w:pPr>
              <w:pStyle w:val="25"/>
              <w:spacing w:line="400" w:lineRule="exact"/>
              <w:ind w:firstLine="560"/>
              <w:rPr>
                <w:rFonts w:hAnsi="宋体" w:cs="宋体"/>
                <w:color w:val="auto"/>
              </w:rPr>
            </w:pPr>
          </w:p>
        </w:tc>
        <w:tc>
          <w:tcPr>
            <w:tcW w:w="1054" w:type="dxa"/>
          </w:tcPr>
          <w:p w14:paraId="2A6E6B74">
            <w:pPr>
              <w:pStyle w:val="25"/>
              <w:spacing w:line="400" w:lineRule="exact"/>
              <w:ind w:firstLine="560"/>
              <w:rPr>
                <w:rFonts w:hAnsi="宋体" w:cs="宋体"/>
                <w:color w:val="auto"/>
              </w:rPr>
            </w:pPr>
          </w:p>
        </w:tc>
        <w:tc>
          <w:tcPr>
            <w:tcW w:w="655" w:type="dxa"/>
          </w:tcPr>
          <w:p w14:paraId="4AAF4976">
            <w:pPr>
              <w:pStyle w:val="25"/>
              <w:spacing w:line="400" w:lineRule="exact"/>
              <w:ind w:firstLine="560"/>
              <w:rPr>
                <w:rFonts w:hAnsi="宋体" w:cs="宋体"/>
                <w:color w:val="auto"/>
              </w:rPr>
            </w:pPr>
          </w:p>
        </w:tc>
        <w:tc>
          <w:tcPr>
            <w:tcW w:w="936" w:type="dxa"/>
          </w:tcPr>
          <w:p w14:paraId="37C41BD1">
            <w:pPr>
              <w:pStyle w:val="25"/>
              <w:spacing w:line="400" w:lineRule="exact"/>
              <w:ind w:firstLine="560"/>
              <w:rPr>
                <w:rFonts w:hAnsi="宋体" w:cs="宋体"/>
                <w:color w:val="auto"/>
              </w:rPr>
            </w:pPr>
          </w:p>
        </w:tc>
        <w:tc>
          <w:tcPr>
            <w:tcW w:w="862" w:type="dxa"/>
          </w:tcPr>
          <w:p w14:paraId="019A52D9">
            <w:pPr>
              <w:pStyle w:val="25"/>
              <w:spacing w:line="400" w:lineRule="exact"/>
              <w:ind w:firstLine="560"/>
              <w:rPr>
                <w:rFonts w:hAnsi="宋体" w:cs="宋体"/>
                <w:color w:val="auto"/>
              </w:rPr>
            </w:pPr>
          </w:p>
        </w:tc>
      </w:tr>
      <w:tr w14:paraId="12652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468" w:type="dxa"/>
          </w:tcPr>
          <w:p w14:paraId="324CDC4A">
            <w:pPr>
              <w:pStyle w:val="25"/>
              <w:spacing w:line="400" w:lineRule="exact"/>
              <w:ind w:firstLine="560"/>
              <w:rPr>
                <w:rFonts w:hAnsi="宋体" w:cs="宋体"/>
                <w:color w:val="auto"/>
              </w:rPr>
            </w:pPr>
          </w:p>
        </w:tc>
        <w:tc>
          <w:tcPr>
            <w:tcW w:w="540" w:type="dxa"/>
          </w:tcPr>
          <w:p w14:paraId="20BF53BE">
            <w:pPr>
              <w:pStyle w:val="25"/>
              <w:spacing w:line="400" w:lineRule="exact"/>
              <w:ind w:firstLine="560"/>
              <w:rPr>
                <w:rFonts w:hAnsi="宋体" w:cs="宋体"/>
                <w:color w:val="auto"/>
              </w:rPr>
            </w:pPr>
          </w:p>
        </w:tc>
        <w:tc>
          <w:tcPr>
            <w:tcW w:w="1228" w:type="dxa"/>
          </w:tcPr>
          <w:p w14:paraId="47CA183C">
            <w:pPr>
              <w:pStyle w:val="25"/>
              <w:spacing w:line="400" w:lineRule="exact"/>
              <w:ind w:firstLine="560"/>
              <w:rPr>
                <w:rFonts w:hAnsi="宋体" w:cs="宋体"/>
                <w:color w:val="auto"/>
              </w:rPr>
            </w:pPr>
          </w:p>
        </w:tc>
        <w:tc>
          <w:tcPr>
            <w:tcW w:w="1054" w:type="dxa"/>
          </w:tcPr>
          <w:p w14:paraId="2EBD0D76">
            <w:pPr>
              <w:pStyle w:val="25"/>
              <w:spacing w:line="400" w:lineRule="exact"/>
              <w:ind w:firstLine="560"/>
              <w:rPr>
                <w:rFonts w:hAnsi="宋体" w:cs="宋体"/>
                <w:color w:val="auto"/>
              </w:rPr>
            </w:pPr>
          </w:p>
        </w:tc>
        <w:tc>
          <w:tcPr>
            <w:tcW w:w="1054" w:type="dxa"/>
          </w:tcPr>
          <w:p w14:paraId="7F96730B">
            <w:pPr>
              <w:pStyle w:val="25"/>
              <w:spacing w:line="400" w:lineRule="exact"/>
              <w:ind w:firstLine="560"/>
              <w:rPr>
                <w:rFonts w:hAnsi="宋体" w:cs="宋体"/>
                <w:color w:val="auto"/>
              </w:rPr>
            </w:pPr>
          </w:p>
        </w:tc>
        <w:tc>
          <w:tcPr>
            <w:tcW w:w="1054" w:type="dxa"/>
          </w:tcPr>
          <w:p w14:paraId="1A69E079">
            <w:pPr>
              <w:pStyle w:val="25"/>
              <w:spacing w:line="400" w:lineRule="exact"/>
              <w:ind w:firstLine="560"/>
              <w:rPr>
                <w:rFonts w:hAnsi="宋体" w:cs="宋体"/>
                <w:color w:val="auto"/>
              </w:rPr>
            </w:pPr>
          </w:p>
        </w:tc>
        <w:tc>
          <w:tcPr>
            <w:tcW w:w="1054" w:type="dxa"/>
          </w:tcPr>
          <w:p w14:paraId="3DCC2448">
            <w:pPr>
              <w:pStyle w:val="25"/>
              <w:spacing w:line="400" w:lineRule="exact"/>
              <w:ind w:firstLine="560"/>
              <w:rPr>
                <w:rFonts w:hAnsi="宋体" w:cs="宋体"/>
                <w:color w:val="auto"/>
              </w:rPr>
            </w:pPr>
          </w:p>
        </w:tc>
        <w:tc>
          <w:tcPr>
            <w:tcW w:w="655" w:type="dxa"/>
          </w:tcPr>
          <w:p w14:paraId="5DAC67FE">
            <w:pPr>
              <w:pStyle w:val="25"/>
              <w:spacing w:line="400" w:lineRule="exact"/>
              <w:ind w:firstLine="560"/>
              <w:rPr>
                <w:rFonts w:hAnsi="宋体" w:cs="宋体"/>
                <w:color w:val="auto"/>
              </w:rPr>
            </w:pPr>
          </w:p>
        </w:tc>
        <w:tc>
          <w:tcPr>
            <w:tcW w:w="936" w:type="dxa"/>
          </w:tcPr>
          <w:p w14:paraId="40A4B03B">
            <w:pPr>
              <w:pStyle w:val="25"/>
              <w:spacing w:line="400" w:lineRule="exact"/>
              <w:ind w:firstLine="560"/>
              <w:rPr>
                <w:rFonts w:hAnsi="宋体" w:cs="宋体"/>
                <w:color w:val="auto"/>
              </w:rPr>
            </w:pPr>
          </w:p>
        </w:tc>
        <w:tc>
          <w:tcPr>
            <w:tcW w:w="862" w:type="dxa"/>
          </w:tcPr>
          <w:p w14:paraId="27DCD06F">
            <w:pPr>
              <w:pStyle w:val="25"/>
              <w:spacing w:line="400" w:lineRule="exact"/>
              <w:ind w:firstLine="560"/>
              <w:rPr>
                <w:rFonts w:hAnsi="宋体" w:cs="宋体"/>
                <w:color w:val="auto"/>
              </w:rPr>
            </w:pPr>
          </w:p>
        </w:tc>
      </w:tr>
      <w:tr w14:paraId="00B57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468" w:type="dxa"/>
          </w:tcPr>
          <w:p w14:paraId="6E27668A">
            <w:pPr>
              <w:pStyle w:val="25"/>
              <w:spacing w:line="400" w:lineRule="exact"/>
              <w:ind w:firstLine="560"/>
              <w:rPr>
                <w:rFonts w:hAnsi="宋体" w:cs="宋体"/>
                <w:color w:val="auto"/>
              </w:rPr>
            </w:pPr>
          </w:p>
        </w:tc>
        <w:tc>
          <w:tcPr>
            <w:tcW w:w="540" w:type="dxa"/>
          </w:tcPr>
          <w:p w14:paraId="2EC07654">
            <w:pPr>
              <w:pStyle w:val="25"/>
              <w:spacing w:line="400" w:lineRule="exact"/>
              <w:ind w:firstLine="560"/>
              <w:rPr>
                <w:rFonts w:hAnsi="宋体" w:cs="宋体"/>
                <w:color w:val="auto"/>
              </w:rPr>
            </w:pPr>
          </w:p>
        </w:tc>
        <w:tc>
          <w:tcPr>
            <w:tcW w:w="1228" w:type="dxa"/>
          </w:tcPr>
          <w:p w14:paraId="75B9F091">
            <w:pPr>
              <w:pStyle w:val="25"/>
              <w:spacing w:line="400" w:lineRule="exact"/>
              <w:ind w:firstLine="560"/>
              <w:rPr>
                <w:rFonts w:hAnsi="宋体" w:cs="宋体"/>
                <w:color w:val="auto"/>
              </w:rPr>
            </w:pPr>
          </w:p>
        </w:tc>
        <w:tc>
          <w:tcPr>
            <w:tcW w:w="1054" w:type="dxa"/>
          </w:tcPr>
          <w:p w14:paraId="67E8AFDA">
            <w:pPr>
              <w:pStyle w:val="25"/>
              <w:spacing w:line="400" w:lineRule="exact"/>
              <w:ind w:firstLine="560"/>
              <w:rPr>
                <w:rFonts w:hAnsi="宋体" w:cs="宋体"/>
                <w:color w:val="auto"/>
              </w:rPr>
            </w:pPr>
          </w:p>
        </w:tc>
        <w:tc>
          <w:tcPr>
            <w:tcW w:w="1054" w:type="dxa"/>
          </w:tcPr>
          <w:p w14:paraId="3326102C">
            <w:pPr>
              <w:pStyle w:val="25"/>
              <w:spacing w:line="400" w:lineRule="exact"/>
              <w:ind w:firstLine="560"/>
              <w:rPr>
                <w:rFonts w:hAnsi="宋体" w:cs="宋体"/>
                <w:color w:val="auto"/>
              </w:rPr>
            </w:pPr>
          </w:p>
        </w:tc>
        <w:tc>
          <w:tcPr>
            <w:tcW w:w="1054" w:type="dxa"/>
          </w:tcPr>
          <w:p w14:paraId="2AA0B40F">
            <w:pPr>
              <w:pStyle w:val="25"/>
              <w:spacing w:line="400" w:lineRule="exact"/>
              <w:ind w:firstLine="560"/>
              <w:rPr>
                <w:rFonts w:hAnsi="宋体" w:cs="宋体"/>
                <w:color w:val="auto"/>
              </w:rPr>
            </w:pPr>
          </w:p>
        </w:tc>
        <w:tc>
          <w:tcPr>
            <w:tcW w:w="1054" w:type="dxa"/>
          </w:tcPr>
          <w:p w14:paraId="498045FC">
            <w:pPr>
              <w:pStyle w:val="25"/>
              <w:spacing w:line="400" w:lineRule="exact"/>
              <w:ind w:firstLine="560"/>
              <w:rPr>
                <w:rFonts w:hAnsi="宋体" w:cs="宋体"/>
                <w:color w:val="auto"/>
              </w:rPr>
            </w:pPr>
          </w:p>
        </w:tc>
        <w:tc>
          <w:tcPr>
            <w:tcW w:w="655" w:type="dxa"/>
          </w:tcPr>
          <w:p w14:paraId="3A623BDD">
            <w:pPr>
              <w:pStyle w:val="25"/>
              <w:spacing w:line="400" w:lineRule="exact"/>
              <w:ind w:firstLine="560"/>
              <w:rPr>
                <w:rFonts w:hAnsi="宋体" w:cs="宋体"/>
                <w:color w:val="auto"/>
              </w:rPr>
            </w:pPr>
          </w:p>
        </w:tc>
        <w:tc>
          <w:tcPr>
            <w:tcW w:w="936" w:type="dxa"/>
          </w:tcPr>
          <w:p w14:paraId="23880F1A">
            <w:pPr>
              <w:pStyle w:val="25"/>
              <w:spacing w:line="400" w:lineRule="exact"/>
              <w:ind w:firstLine="560"/>
              <w:rPr>
                <w:rFonts w:hAnsi="宋体" w:cs="宋体"/>
                <w:color w:val="auto"/>
              </w:rPr>
            </w:pPr>
          </w:p>
        </w:tc>
        <w:tc>
          <w:tcPr>
            <w:tcW w:w="862" w:type="dxa"/>
          </w:tcPr>
          <w:p w14:paraId="0C8679C3">
            <w:pPr>
              <w:pStyle w:val="25"/>
              <w:spacing w:line="400" w:lineRule="exact"/>
              <w:ind w:firstLine="560"/>
              <w:rPr>
                <w:rFonts w:hAnsi="宋体" w:cs="宋体"/>
                <w:color w:val="auto"/>
              </w:rPr>
            </w:pPr>
          </w:p>
        </w:tc>
      </w:tr>
    </w:tbl>
    <w:p w14:paraId="6B036EA5">
      <w:pPr>
        <w:pStyle w:val="180"/>
        <w:spacing w:before="100" w:after="100" w:line="400" w:lineRule="exact"/>
        <w:ind w:firstLine="643"/>
        <w:jc w:val="both"/>
        <w:rPr>
          <w:rFonts w:hAnsi="宋体" w:cs="宋体"/>
          <w:b/>
          <w:color w:val="auto"/>
          <w:sz w:val="32"/>
          <w:szCs w:val="32"/>
        </w:rPr>
      </w:pPr>
      <w:bookmarkStart w:id="606" w:name="_Toc255741932"/>
      <w:bookmarkStart w:id="607" w:name="_Toc187846003"/>
      <w:bookmarkStart w:id="608" w:name="_Toc254774412"/>
      <w:bookmarkStart w:id="609" w:name="_Toc215556193"/>
      <w:bookmarkStart w:id="610" w:name="_Toc195864498"/>
      <w:bookmarkStart w:id="611" w:name="_Toc227658501"/>
      <w:bookmarkStart w:id="612" w:name="_Toc255470045"/>
      <w:bookmarkStart w:id="613" w:name="_Toc206830024"/>
      <w:bookmarkStart w:id="614" w:name="_Toc214355674"/>
      <w:bookmarkStart w:id="615" w:name="_Toc208734411"/>
      <w:bookmarkStart w:id="616" w:name="_Toc219172340"/>
      <w:bookmarkStart w:id="617" w:name="_Toc248294424"/>
      <w:bookmarkStart w:id="618" w:name="_Toc245110741"/>
      <w:bookmarkStart w:id="619" w:name="_Toc249848953"/>
      <w:bookmarkStart w:id="620" w:name="_Toc211175335"/>
      <w:bookmarkStart w:id="621" w:name="_Toc255470268"/>
      <w:bookmarkStart w:id="622" w:name="_Toc187475843"/>
      <w:bookmarkStart w:id="623" w:name="_Toc257202836"/>
      <w:bookmarkStart w:id="624" w:name="_Toc209862333"/>
      <w:bookmarkStart w:id="625" w:name="_Toc215805054"/>
      <w:bookmarkStart w:id="626" w:name="_Toc215561211"/>
      <w:bookmarkStart w:id="627" w:name="_Toc222804527"/>
      <w:bookmarkStart w:id="628" w:name="_Toc439772702"/>
      <w:bookmarkStart w:id="629" w:name="_Toc450123135"/>
      <w:bookmarkStart w:id="630" w:name="_Toc504565690"/>
      <w:bookmarkStart w:id="631" w:name="_Toc338778043"/>
      <w:bookmarkStart w:id="632" w:name="_Toc340222906"/>
      <w:bookmarkStart w:id="633" w:name="_Toc476231302"/>
      <w:bookmarkStart w:id="634" w:name="_Toc4413"/>
      <w:bookmarkStart w:id="635" w:name="_Toc450123369"/>
      <w:bookmarkStart w:id="636" w:name="_Toc436133239"/>
      <w:bookmarkStart w:id="637" w:name="_Toc436998789"/>
      <w:bookmarkStart w:id="638" w:name="_Toc452986503"/>
      <w:bookmarkStart w:id="639" w:name="_Toc306293167"/>
      <w:bookmarkStart w:id="640" w:name="_Toc350857430"/>
      <w:bookmarkStart w:id="641" w:name="_Toc340436796"/>
      <w:bookmarkStart w:id="642" w:name="_Toc26169"/>
      <w:bookmarkStart w:id="643" w:name="_Toc388633678"/>
      <w:bookmarkStart w:id="644" w:name="_Toc436309948"/>
      <w:bookmarkStart w:id="645" w:name="_Toc453768101"/>
      <w:bookmarkStart w:id="646" w:name="_Toc305763057"/>
      <w:bookmarkStart w:id="647" w:name="_Toc458599279"/>
      <w:bookmarkStart w:id="648" w:name="_Toc260229976"/>
      <w:bookmarkStart w:id="649" w:name="_Toc510197613"/>
      <w:bookmarkStart w:id="650" w:name="_Toc274500899"/>
      <w:bookmarkStart w:id="651" w:name="_Toc351898548"/>
      <w:bookmarkStart w:id="652" w:name="_Toc510197475"/>
      <w:bookmarkStart w:id="653" w:name="_Toc270517145"/>
      <w:bookmarkStart w:id="654" w:name="_Toc477164663"/>
      <w:bookmarkStart w:id="655" w:name="_Toc260230303"/>
      <w:bookmarkStart w:id="656" w:name="_Toc445105538"/>
      <w:bookmarkStart w:id="657" w:name="_Toc460581181"/>
      <w:bookmarkStart w:id="658" w:name="_Toc368145487"/>
      <w:bookmarkStart w:id="659" w:name="_Toc371937195"/>
      <w:bookmarkStart w:id="660" w:name="_Toc449111929"/>
      <w:bookmarkStart w:id="661" w:name="_Toc342046317"/>
      <w:bookmarkStart w:id="662" w:name="_Toc504565803"/>
      <w:bookmarkStart w:id="663" w:name="_Toc436309596"/>
      <w:bookmarkStart w:id="664" w:name="_Toc389226398"/>
      <w:bookmarkStart w:id="665" w:name="_Toc260649031"/>
      <w:r>
        <w:rPr>
          <w:rFonts w:hint="eastAsia" w:hAnsi="宋体" w:cs="宋体"/>
          <w:b/>
          <w:color w:val="auto"/>
          <w:sz w:val="32"/>
          <w:szCs w:val="32"/>
        </w:rPr>
        <w:t>11. 开工和竣工</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r>
        <w:rPr>
          <w:rFonts w:hint="eastAsia" w:hAnsi="宋体" w:cs="宋体"/>
          <w:b/>
          <w:color w:val="auto"/>
          <w:sz w:val="32"/>
          <w:szCs w:val="32"/>
        </w:rPr>
        <w:t>（完工）</w:t>
      </w:r>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1988D4DC">
      <w:pPr>
        <w:pStyle w:val="180"/>
        <w:spacing w:after="0" w:line="400" w:lineRule="exact"/>
        <w:ind w:firstLine="562"/>
        <w:jc w:val="both"/>
        <w:rPr>
          <w:rFonts w:hAnsi="宋体" w:cs="宋体"/>
          <w:b/>
          <w:color w:val="auto"/>
        </w:rPr>
      </w:pPr>
      <w:r>
        <w:rPr>
          <w:rFonts w:hint="eastAsia" w:hAnsi="宋体" w:cs="宋体"/>
          <w:b/>
          <w:color w:val="auto"/>
        </w:rPr>
        <w:t>11.1 开工</w:t>
      </w:r>
    </w:p>
    <w:p w14:paraId="396CA1E6">
      <w:pPr>
        <w:pStyle w:val="87"/>
        <w:spacing w:line="400" w:lineRule="exact"/>
        <w:ind w:firstLine="540" w:firstLineChars="225"/>
        <w:jc w:val="both"/>
        <w:rPr>
          <w:rFonts w:hAnsi="宋体"/>
          <w:color w:val="auto"/>
        </w:rPr>
      </w:pPr>
      <w:r>
        <w:rPr>
          <w:rFonts w:hint="eastAsia" w:hAnsi="宋体"/>
          <w:color w:val="auto"/>
        </w:rPr>
        <w:t>11.1.1 监理人应在开工日期7 天前向承包人发出开工通知。监理人在发出开工通知前应获得发包人同意。工期自监理人发出的开工通知中载明的开工日期起计算。承包人应在开工日期后尽快施工。</w:t>
      </w:r>
    </w:p>
    <w:p w14:paraId="3AECE291">
      <w:pPr>
        <w:pStyle w:val="87"/>
        <w:spacing w:line="400" w:lineRule="exact"/>
        <w:ind w:firstLine="540" w:firstLineChars="225"/>
        <w:jc w:val="both"/>
        <w:rPr>
          <w:rFonts w:hAnsi="宋体"/>
          <w:color w:val="auto"/>
        </w:rPr>
      </w:pPr>
      <w:r>
        <w:rPr>
          <w:rFonts w:hint="eastAsia" w:hAnsi="宋体"/>
          <w:color w:val="auto"/>
        </w:rPr>
        <w:t>11.1.2 承包人应按第10.1 款约定的合同进度计划，向监理人提交工程开工报审表，经监理人审批后执行。开工报审表应详细说明按合同进度计划正常施工所需的施工道路、临时设施、材料设备、施工人员等施工组织措施的落实情况以及工程的进度安排。</w:t>
      </w:r>
    </w:p>
    <w:p w14:paraId="464EFC7A">
      <w:pPr>
        <w:pStyle w:val="25"/>
        <w:spacing w:line="400" w:lineRule="exact"/>
        <w:ind w:firstLine="630" w:firstLineChars="225"/>
        <w:rPr>
          <w:rFonts w:hAnsi="宋体" w:cs="宋体"/>
          <w:color w:val="auto"/>
        </w:rPr>
      </w:pPr>
      <w:r>
        <w:rPr>
          <w:rFonts w:hint="eastAsia" w:hAnsi="宋体" w:cs="宋体"/>
          <w:color w:val="auto"/>
        </w:rPr>
        <w:t>11.1.3 若发包人未能按合同约定向承包人提供开工的必要条件，承包人有权要求延长工期。监理人应在收到承包人的书面要求后，按第3.5款的约定，与合同双方商定或确定增加的费用和延长的工期。</w:t>
      </w:r>
    </w:p>
    <w:p w14:paraId="67323464">
      <w:pPr>
        <w:pStyle w:val="25"/>
        <w:spacing w:line="400" w:lineRule="exact"/>
        <w:ind w:firstLine="630" w:firstLineChars="225"/>
        <w:rPr>
          <w:rFonts w:hAnsi="宋体" w:cs="宋体"/>
          <w:color w:val="auto"/>
        </w:rPr>
      </w:pPr>
      <w:r>
        <w:rPr>
          <w:rFonts w:hint="eastAsia" w:hAnsi="宋体" w:cs="宋体"/>
          <w:color w:val="auto"/>
        </w:rPr>
        <w:t>11.1.4 承包人在接到开工通知后14天内未按进度计划要求及时进场组织施工，监理人可通知承包人在接到通知后7天内提交一份说明其进场延误的书面报告，报送监理人。书面报告应说明不能及时进场的原因和补救措施，由此增加的费用和工期延误责任由承包人承担。</w:t>
      </w:r>
    </w:p>
    <w:p w14:paraId="2487F07C">
      <w:pPr>
        <w:pStyle w:val="180"/>
        <w:spacing w:after="0" w:line="400" w:lineRule="exact"/>
        <w:ind w:firstLine="562"/>
        <w:jc w:val="both"/>
        <w:rPr>
          <w:rFonts w:hAnsi="宋体" w:cs="宋体"/>
          <w:b/>
          <w:color w:val="auto"/>
        </w:rPr>
      </w:pPr>
      <w:r>
        <w:rPr>
          <w:rFonts w:hint="eastAsia" w:hAnsi="宋体" w:cs="宋体"/>
          <w:b/>
          <w:color w:val="auto"/>
        </w:rPr>
        <w:t>11.2 竣工（完工）</w:t>
      </w:r>
    </w:p>
    <w:p w14:paraId="12589EF5">
      <w:pPr>
        <w:pStyle w:val="87"/>
        <w:spacing w:line="400" w:lineRule="exact"/>
        <w:ind w:firstLine="540" w:firstLineChars="225"/>
        <w:jc w:val="both"/>
        <w:rPr>
          <w:rFonts w:hAnsi="宋体"/>
          <w:color w:val="auto"/>
        </w:rPr>
      </w:pPr>
      <w:r>
        <w:rPr>
          <w:rFonts w:hint="eastAsia" w:hAnsi="宋体"/>
          <w:color w:val="auto"/>
        </w:rPr>
        <w:t>承包人应在第1.1.4.3 目约定的期限内完成合同工程。合同工程实际完工日期在合同工程完工证书中明确。</w:t>
      </w:r>
    </w:p>
    <w:p w14:paraId="1867E20E">
      <w:pPr>
        <w:pStyle w:val="180"/>
        <w:spacing w:after="0" w:line="400" w:lineRule="exact"/>
        <w:ind w:firstLine="562"/>
        <w:jc w:val="both"/>
        <w:rPr>
          <w:rFonts w:hAnsi="宋体" w:cs="宋体"/>
          <w:b/>
          <w:color w:val="auto"/>
        </w:rPr>
      </w:pPr>
      <w:r>
        <w:rPr>
          <w:rFonts w:hint="eastAsia" w:hAnsi="宋体" w:cs="宋体"/>
          <w:b/>
          <w:color w:val="auto"/>
        </w:rPr>
        <w:t>11.3 发包人的工期延误</w:t>
      </w:r>
    </w:p>
    <w:p w14:paraId="61463E42">
      <w:pPr>
        <w:pStyle w:val="87"/>
        <w:spacing w:line="400" w:lineRule="exact"/>
        <w:ind w:firstLine="540" w:firstLineChars="225"/>
        <w:jc w:val="both"/>
        <w:rPr>
          <w:rFonts w:hAnsi="宋体"/>
          <w:color w:val="auto"/>
        </w:rPr>
      </w:pPr>
      <w:r>
        <w:rPr>
          <w:rFonts w:hint="eastAsia" w:hAnsi="宋体"/>
          <w:color w:val="auto"/>
        </w:rPr>
        <w:t>在履行合同过程中，由于发包人的下列原因造成工期延误的，承包人有权要求发包人延长工期和（或）增加费用，并支付合理利润。需要修订合同进度计划的，按照第10.2 款的约定办理。</w:t>
      </w:r>
    </w:p>
    <w:p w14:paraId="2D44DA0C">
      <w:pPr>
        <w:pStyle w:val="87"/>
        <w:spacing w:line="400" w:lineRule="exact"/>
        <w:ind w:firstLine="540" w:firstLineChars="225"/>
        <w:jc w:val="both"/>
        <w:rPr>
          <w:rFonts w:hAnsi="宋体"/>
          <w:color w:val="auto"/>
        </w:rPr>
      </w:pPr>
      <w:r>
        <w:rPr>
          <w:rFonts w:hint="eastAsia" w:hAnsi="宋体"/>
          <w:color w:val="auto"/>
        </w:rPr>
        <w:t>（1）增加合同工作内容；</w:t>
      </w:r>
    </w:p>
    <w:p w14:paraId="4992F5F8">
      <w:pPr>
        <w:pStyle w:val="87"/>
        <w:spacing w:line="400" w:lineRule="exact"/>
        <w:ind w:firstLine="540" w:firstLineChars="225"/>
        <w:jc w:val="both"/>
        <w:rPr>
          <w:rFonts w:hAnsi="宋体"/>
          <w:color w:val="auto"/>
        </w:rPr>
      </w:pPr>
      <w:r>
        <w:rPr>
          <w:rFonts w:hint="eastAsia" w:hAnsi="宋体"/>
          <w:color w:val="auto"/>
        </w:rPr>
        <w:t>（2）改变合同中任何一项工作的质量要求或其他特性；</w:t>
      </w:r>
    </w:p>
    <w:p w14:paraId="1FD432F9">
      <w:pPr>
        <w:pStyle w:val="87"/>
        <w:spacing w:line="400" w:lineRule="exact"/>
        <w:ind w:firstLine="540" w:firstLineChars="225"/>
        <w:jc w:val="both"/>
        <w:rPr>
          <w:rFonts w:hAnsi="宋体"/>
          <w:color w:val="auto"/>
        </w:rPr>
      </w:pPr>
      <w:r>
        <w:rPr>
          <w:rFonts w:hint="eastAsia" w:hAnsi="宋体"/>
          <w:color w:val="auto"/>
        </w:rPr>
        <w:t>（3）发包人迟延提供材料、工程设备或变更交货地点的；</w:t>
      </w:r>
    </w:p>
    <w:p w14:paraId="2BA335C6">
      <w:pPr>
        <w:pStyle w:val="87"/>
        <w:spacing w:line="400" w:lineRule="exact"/>
        <w:ind w:firstLine="540" w:firstLineChars="225"/>
        <w:jc w:val="both"/>
        <w:rPr>
          <w:rFonts w:hAnsi="宋体"/>
          <w:color w:val="auto"/>
        </w:rPr>
      </w:pPr>
      <w:r>
        <w:rPr>
          <w:rFonts w:hint="eastAsia" w:hAnsi="宋体"/>
          <w:color w:val="auto"/>
        </w:rPr>
        <w:t>（4）因发包人原因导致的暂停施工；</w:t>
      </w:r>
    </w:p>
    <w:p w14:paraId="050BB088">
      <w:pPr>
        <w:pStyle w:val="87"/>
        <w:spacing w:line="400" w:lineRule="exact"/>
        <w:ind w:firstLine="540" w:firstLineChars="225"/>
        <w:jc w:val="both"/>
        <w:rPr>
          <w:rFonts w:hAnsi="宋体"/>
          <w:color w:val="auto"/>
        </w:rPr>
      </w:pPr>
      <w:r>
        <w:rPr>
          <w:rFonts w:hint="eastAsia" w:hAnsi="宋体"/>
          <w:color w:val="auto"/>
        </w:rPr>
        <w:t>（5）提供图纸延误；</w:t>
      </w:r>
    </w:p>
    <w:p w14:paraId="3BF42113">
      <w:pPr>
        <w:pStyle w:val="87"/>
        <w:spacing w:line="400" w:lineRule="exact"/>
        <w:ind w:firstLine="540" w:firstLineChars="225"/>
        <w:jc w:val="both"/>
        <w:rPr>
          <w:rFonts w:hAnsi="宋体"/>
          <w:color w:val="auto"/>
        </w:rPr>
      </w:pPr>
      <w:r>
        <w:rPr>
          <w:rFonts w:hint="eastAsia" w:hAnsi="宋体"/>
          <w:color w:val="auto"/>
        </w:rPr>
        <w:t>（6）未按合同约定及时支付预付款、进度款；</w:t>
      </w:r>
    </w:p>
    <w:p w14:paraId="3C67625E">
      <w:pPr>
        <w:pStyle w:val="87"/>
        <w:spacing w:line="400" w:lineRule="exact"/>
        <w:ind w:firstLine="540" w:firstLineChars="225"/>
        <w:jc w:val="both"/>
        <w:rPr>
          <w:rFonts w:hAnsi="宋体"/>
          <w:color w:val="auto"/>
        </w:rPr>
      </w:pPr>
      <w:r>
        <w:rPr>
          <w:rFonts w:hint="eastAsia" w:hAnsi="宋体"/>
          <w:color w:val="auto"/>
        </w:rPr>
        <w:t>（7）发包人造成工期延误的其他原因。</w:t>
      </w:r>
    </w:p>
    <w:p w14:paraId="6ABA88E1">
      <w:pPr>
        <w:pStyle w:val="180"/>
        <w:spacing w:after="0" w:line="400" w:lineRule="exact"/>
        <w:ind w:firstLine="562"/>
        <w:jc w:val="both"/>
        <w:rPr>
          <w:rFonts w:hAnsi="宋体" w:cs="宋体"/>
          <w:b/>
          <w:color w:val="auto"/>
        </w:rPr>
      </w:pPr>
      <w:r>
        <w:rPr>
          <w:rFonts w:hint="eastAsia" w:hAnsi="宋体" w:cs="宋体"/>
          <w:b/>
          <w:color w:val="auto"/>
        </w:rPr>
        <w:t>11.4 异常恶劣的气候条件</w:t>
      </w:r>
    </w:p>
    <w:p w14:paraId="4BC7016D">
      <w:pPr>
        <w:pStyle w:val="25"/>
        <w:spacing w:line="400" w:lineRule="exact"/>
        <w:ind w:firstLine="630" w:firstLineChars="225"/>
        <w:rPr>
          <w:rFonts w:hAnsi="宋体" w:cs="宋体"/>
          <w:color w:val="auto"/>
        </w:rPr>
      </w:pPr>
      <w:r>
        <w:rPr>
          <w:rFonts w:hint="eastAsia" w:hAnsi="宋体" w:cs="宋体"/>
          <w:color w:val="auto"/>
        </w:rPr>
        <w:t>11.4.1 当工程所在地发生危及施工安全的异常恶劣气候时，发包人和承包人应按本合同通用合同条款第12条的约定，及时采取暂停施工或部分暂停施工措施。异常恶劣气候条件解除后，承包人应及时安排复工。</w:t>
      </w:r>
    </w:p>
    <w:p w14:paraId="50A153ED">
      <w:pPr>
        <w:pStyle w:val="25"/>
        <w:spacing w:line="400" w:lineRule="exact"/>
        <w:ind w:firstLine="630" w:firstLineChars="225"/>
        <w:rPr>
          <w:rFonts w:hAnsi="宋体" w:cs="宋体"/>
          <w:color w:val="auto"/>
        </w:rPr>
      </w:pPr>
      <w:r>
        <w:rPr>
          <w:rFonts w:hint="eastAsia" w:hAnsi="宋体" w:cs="宋体"/>
          <w:color w:val="auto"/>
        </w:rPr>
        <w:t>11.4.2 异常恶劣气候条件造成的工期延误和工程损坏，应由发包人与承包人参照本合同通用合同条款第21.3款的约定协商处理。</w:t>
      </w:r>
    </w:p>
    <w:p w14:paraId="2091B139">
      <w:pPr>
        <w:pStyle w:val="25"/>
        <w:spacing w:line="400" w:lineRule="exact"/>
        <w:ind w:firstLine="630" w:firstLineChars="225"/>
        <w:rPr>
          <w:rFonts w:hAnsi="宋体" w:cs="宋体"/>
          <w:color w:val="auto"/>
        </w:rPr>
      </w:pPr>
      <w:r>
        <w:rPr>
          <w:rFonts w:hint="eastAsia" w:hAnsi="宋体" w:cs="宋体"/>
          <w:color w:val="auto"/>
        </w:rPr>
        <w:t>11.4.3 本合同工程界定异常恶劣气候条件的范围在专用合同条款中约定。</w:t>
      </w:r>
    </w:p>
    <w:p w14:paraId="641BAE48">
      <w:pPr>
        <w:pStyle w:val="180"/>
        <w:spacing w:after="0" w:line="400" w:lineRule="exact"/>
        <w:ind w:firstLine="562"/>
        <w:jc w:val="both"/>
        <w:rPr>
          <w:rFonts w:hAnsi="宋体" w:cs="宋体"/>
          <w:b/>
          <w:color w:val="auto"/>
        </w:rPr>
      </w:pPr>
      <w:r>
        <w:rPr>
          <w:rFonts w:hint="eastAsia" w:hAnsi="宋体" w:cs="宋体"/>
          <w:b/>
          <w:color w:val="auto"/>
        </w:rPr>
        <w:t>11.5 承包人的工期延误</w:t>
      </w:r>
    </w:p>
    <w:p w14:paraId="5CD4328A">
      <w:pPr>
        <w:pStyle w:val="87"/>
        <w:spacing w:line="400" w:lineRule="exact"/>
        <w:ind w:firstLine="540" w:firstLineChars="225"/>
        <w:jc w:val="both"/>
        <w:rPr>
          <w:rFonts w:hAnsi="宋体"/>
          <w:color w:val="auto"/>
        </w:rPr>
      </w:pPr>
      <w:r>
        <w:rPr>
          <w:rFonts w:hint="eastAsia" w:hAnsi="宋体"/>
          <w:color w:val="auto"/>
        </w:rPr>
        <w:t>由于承包人原因，未能按合同进度计划完成工作，或监理人认为承包人施工进度不能满足合同工期要求的，承包人应采取措施加快进度，并承担加快进度所增加的费用。由于承包人原因造成工期延误，承包人应支付逾期竣工违约金。逾期竣工违约金的计算方法在专用合同条款中约定。承包人支付逾期竣工违约金，不免除承包人完成工程及修补缺陷的义务。</w:t>
      </w:r>
    </w:p>
    <w:p w14:paraId="53A410BF">
      <w:pPr>
        <w:pStyle w:val="180"/>
        <w:spacing w:after="0" w:line="400" w:lineRule="exact"/>
        <w:ind w:firstLine="562"/>
        <w:jc w:val="both"/>
        <w:rPr>
          <w:rFonts w:hAnsi="宋体" w:cs="宋体"/>
          <w:b/>
          <w:color w:val="auto"/>
        </w:rPr>
      </w:pPr>
      <w:r>
        <w:rPr>
          <w:rFonts w:hint="eastAsia" w:hAnsi="宋体" w:cs="宋体"/>
          <w:b/>
          <w:color w:val="auto"/>
        </w:rPr>
        <w:t>11.6 工期提前</w:t>
      </w:r>
    </w:p>
    <w:p w14:paraId="4DD76825">
      <w:pPr>
        <w:pStyle w:val="25"/>
        <w:spacing w:line="400" w:lineRule="exact"/>
        <w:ind w:firstLine="630" w:firstLineChars="225"/>
        <w:rPr>
          <w:rFonts w:hAnsi="宋体" w:cs="宋体"/>
          <w:color w:val="auto"/>
        </w:rPr>
      </w:pPr>
      <w:r>
        <w:rPr>
          <w:rFonts w:hint="eastAsia" w:hAnsi="宋体" w:cs="宋体"/>
          <w:color w:val="auto"/>
        </w:rPr>
        <w:t>发包人要求承包人提前完工，或承包人提出提前完工的建议能够给发包人带来效益的，应由监理人与承包人共同协商采取加快工程进度的措施和修订合同进度计划。发包人应承担承包人由此增加的费用，并向承包人支付专用合同条款约定的相应奖金。</w:t>
      </w:r>
    </w:p>
    <w:p w14:paraId="3EDAE036">
      <w:pPr>
        <w:pStyle w:val="25"/>
        <w:spacing w:line="400" w:lineRule="exact"/>
        <w:ind w:firstLine="560"/>
        <w:rPr>
          <w:rFonts w:hAnsi="宋体" w:cs="宋体"/>
          <w:color w:val="auto"/>
        </w:rPr>
      </w:pPr>
      <w:r>
        <w:rPr>
          <w:rFonts w:hint="eastAsia" w:hAnsi="宋体" w:cs="宋体"/>
          <w:color w:val="auto"/>
        </w:rPr>
        <w:t>发包人要求提前完工的，双方协商一致后应签订提前完工协议，协议内容包括：</w:t>
      </w:r>
    </w:p>
    <w:p w14:paraId="31395B06">
      <w:pPr>
        <w:pStyle w:val="25"/>
        <w:spacing w:line="400" w:lineRule="exact"/>
        <w:ind w:firstLine="560"/>
        <w:rPr>
          <w:rFonts w:hAnsi="宋体" w:cs="宋体"/>
          <w:color w:val="auto"/>
        </w:rPr>
      </w:pPr>
      <w:r>
        <w:rPr>
          <w:rFonts w:hint="eastAsia" w:hAnsi="宋体" w:cs="宋体"/>
          <w:color w:val="auto"/>
        </w:rPr>
        <w:t xml:space="preserve">    (1)提前的时间和修订后的进度计划；</w:t>
      </w:r>
    </w:p>
    <w:p w14:paraId="382F8FD7">
      <w:pPr>
        <w:pStyle w:val="25"/>
        <w:spacing w:line="400" w:lineRule="exact"/>
        <w:ind w:firstLine="560"/>
        <w:rPr>
          <w:rFonts w:hAnsi="宋体" w:cs="宋体"/>
          <w:color w:val="auto"/>
        </w:rPr>
      </w:pPr>
      <w:r>
        <w:rPr>
          <w:rFonts w:hint="eastAsia" w:hAnsi="宋体" w:cs="宋体"/>
          <w:color w:val="auto"/>
        </w:rPr>
        <w:t xml:space="preserve">    (2)承包人的赶工措施；</w:t>
      </w:r>
    </w:p>
    <w:p w14:paraId="08F36A64">
      <w:pPr>
        <w:pStyle w:val="25"/>
        <w:spacing w:line="400" w:lineRule="exact"/>
        <w:ind w:firstLine="560"/>
        <w:rPr>
          <w:rFonts w:hAnsi="宋体" w:cs="宋体"/>
          <w:color w:val="auto"/>
        </w:rPr>
      </w:pPr>
      <w:r>
        <w:rPr>
          <w:rFonts w:hint="eastAsia" w:hAnsi="宋体" w:cs="宋体"/>
          <w:color w:val="auto"/>
        </w:rPr>
        <w:t xml:space="preserve">    (3)发包人为赶工提供的条件；</w:t>
      </w:r>
    </w:p>
    <w:p w14:paraId="2B602ECC">
      <w:pPr>
        <w:pStyle w:val="87"/>
        <w:spacing w:line="400" w:lineRule="exact"/>
        <w:ind w:firstLine="540" w:firstLineChars="225"/>
        <w:jc w:val="both"/>
        <w:rPr>
          <w:rFonts w:hAnsi="宋体"/>
          <w:color w:val="auto"/>
        </w:rPr>
      </w:pPr>
      <w:r>
        <w:rPr>
          <w:rFonts w:hint="eastAsia" w:hAnsi="宋体"/>
          <w:color w:val="auto"/>
        </w:rPr>
        <w:t>(4)赶工费用(包括利润和奖金)。</w:t>
      </w:r>
    </w:p>
    <w:p w14:paraId="4252AEF7">
      <w:pPr>
        <w:pStyle w:val="180"/>
        <w:spacing w:before="100" w:after="100" w:line="400" w:lineRule="exact"/>
        <w:ind w:firstLine="643"/>
        <w:jc w:val="both"/>
        <w:rPr>
          <w:rFonts w:hAnsi="宋体" w:cs="宋体"/>
          <w:b/>
          <w:color w:val="auto"/>
          <w:sz w:val="32"/>
          <w:szCs w:val="32"/>
        </w:rPr>
      </w:pPr>
      <w:bookmarkStart w:id="666" w:name="_Toc388633679"/>
      <w:bookmarkStart w:id="667" w:name="_Toc215805055"/>
      <w:bookmarkStart w:id="668" w:name="_Toc436309949"/>
      <w:bookmarkStart w:id="669" w:name="_Toc249848954"/>
      <w:bookmarkStart w:id="670" w:name="_Toc477164664"/>
      <w:bookmarkStart w:id="671" w:name="_Toc214355675"/>
      <w:bookmarkStart w:id="672" w:name="_Toc245110742"/>
      <w:bookmarkStart w:id="673" w:name="_Toc255470046"/>
      <w:bookmarkStart w:id="674" w:name="_Toc445105539"/>
      <w:bookmarkStart w:id="675" w:name="_Toc305763058"/>
      <w:bookmarkStart w:id="676" w:name="_Toc211175336"/>
      <w:bookmarkStart w:id="677" w:name="_Toc458599280"/>
      <w:bookmarkStart w:id="678" w:name="_Toc510197476"/>
      <w:bookmarkStart w:id="679" w:name="_Toc9368"/>
      <w:bookmarkStart w:id="680" w:name="_Toc436998790"/>
      <w:bookmarkStart w:id="681" w:name="_Toc270517146"/>
      <w:bookmarkStart w:id="682" w:name="_Toc504565804"/>
      <w:bookmarkStart w:id="683" w:name="_Toc187846004"/>
      <w:bookmarkStart w:id="684" w:name="_Toc338778044"/>
      <w:bookmarkStart w:id="685" w:name="_Toc215561212"/>
      <w:bookmarkStart w:id="686" w:name="_Toc222804528"/>
      <w:bookmarkStart w:id="687" w:name="_Toc476231303"/>
      <w:bookmarkStart w:id="688" w:name="_Toc439772703"/>
      <w:bookmarkStart w:id="689" w:name="_Toc306293168"/>
      <w:bookmarkStart w:id="690" w:name="_Toc460581182"/>
      <w:bookmarkStart w:id="691" w:name="_Toc436133240"/>
      <w:bookmarkStart w:id="692" w:name="_Toc274500900"/>
      <w:bookmarkStart w:id="693" w:name="_Toc187475844"/>
      <w:bookmarkStart w:id="694" w:name="_Toc368145488"/>
      <w:bookmarkStart w:id="695" w:name="_Toc260649032"/>
      <w:bookmarkStart w:id="696" w:name="_Toc215556194"/>
      <w:bookmarkStart w:id="697" w:name="_Toc260230304"/>
      <w:bookmarkStart w:id="698" w:name="_Toc260229977"/>
      <w:bookmarkStart w:id="699" w:name="_Toc206830025"/>
      <w:bookmarkStart w:id="700" w:name="_Toc351898549"/>
      <w:bookmarkStart w:id="701" w:name="_Toc504565691"/>
      <w:bookmarkStart w:id="702" w:name="_Toc255741933"/>
      <w:bookmarkStart w:id="703" w:name="_Toc450123370"/>
      <w:bookmarkStart w:id="704" w:name="_Toc1484"/>
      <w:bookmarkStart w:id="705" w:name="_Toc209862334"/>
      <w:bookmarkStart w:id="706" w:name="_Toc340436797"/>
      <w:bookmarkStart w:id="707" w:name="_Toc340222907"/>
      <w:bookmarkStart w:id="708" w:name="_Toc510197614"/>
      <w:bookmarkStart w:id="709" w:name="_Toc195864499"/>
      <w:bookmarkStart w:id="710" w:name="_Toc350857431"/>
      <w:bookmarkStart w:id="711" w:name="_Toc255470269"/>
      <w:bookmarkStart w:id="712" w:name="_Toc389226399"/>
      <w:bookmarkStart w:id="713" w:name="_Toc449111930"/>
      <w:bookmarkStart w:id="714" w:name="_Toc219172341"/>
      <w:bookmarkStart w:id="715" w:name="_Toc257202837"/>
      <w:bookmarkStart w:id="716" w:name="_Toc450123136"/>
      <w:bookmarkStart w:id="717" w:name="_Toc254774413"/>
      <w:bookmarkStart w:id="718" w:name="_Toc371937196"/>
      <w:bookmarkStart w:id="719" w:name="_Toc248294425"/>
      <w:bookmarkStart w:id="720" w:name="_Toc227658502"/>
      <w:bookmarkStart w:id="721" w:name="_Toc436309597"/>
      <w:bookmarkStart w:id="722" w:name="_Toc208734412"/>
      <w:bookmarkStart w:id="723" w:name="_Toc342046318"/>
      <w:bookmarkStart w:id="724" w:name="_Toc453768102"/>
      <w:bookmarkStart w:id="725" w:name="_Toc452986504"/>
      <w:r>
        <w:rPr>
          <w:rFonts w:hint="eastAsia" w:hAnsi="宋体" w:cs="宋体"/>
          <w:b/>
          <w:color w:val="auto"/>
          <w:sz w:val="32"/>
          <w:szCs w:val="32"/>
        </w:rPr>
        <w:t>12. 暂停施工</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p>
    <w:p w14:paraId="36B39429">
      <w:pPr>
        <w:pStyle w:val="180"/>
        <w:spacing w:after="0" w:line="400" w:lineRule="exact"/>
        <w:ind w:firstLine="562"/>
        <w:jc w:val="both"/>
        <w:rPr>
          <w:rFonts w:hAnsi="宋体" w:cs="宋体"/>
          <w:b/>
          <w:color w:val="auto"/>
        </w:rPr>
      </w:pPr>
      <w:r>
        <w:rPr>
          <w:rFonts w:hint="eastAsia" w:hAnsi="宋体" w:cs="宋体"/>
          <w:b/>
          <w:color w:val="auto"/>
        </w:rPr>
        <w:t>12.1 承包人暂停施工的责任</w:t>
      </w:r>
    </w:p>
    <w:p w14:paraId="50E993DB">
      <w:pPr>
        <w:pStyle w:val="87"/>
        <w:spacing w:line="400" w:lineRule="exact"/>
        <w:ind w:firstLine="540" w:firstLineChars="225"/>
        <w:jc w:val="both"/>
        <w:rPr>
          <w:rFonts w:hAnsi="宋体"/>
          <w:color w:val="auto"/>
        </w:rPr>
      </w:pPr>
      <w:r>
        <w:rPr>
          <w:rFonts w:hint="eastAsia" w:hAnsi="宋体"/>
          <w:color w:val="auto"/>
        </w:rPr>
        <w:t>因下列暂停施工增加的费用和（或）工期延误由承包人承担：</w:t>
      </w:r>
    </w:p>
    <w:p w14:paraId="17677D08">
      <w:pPr>
        <w:pStyle w:val="87"/>
        <w:spacing w:line="400" w:lineRule="exact"/>
        <w:ind w:firstLine="540" w:firstLineChars="225"/>
        <w:jc w:val="both"/>
        <w:rPr>
          <w:rFonts w:hAnsi="宋体"/>
          <w:color w:val="auto"/>
        </w:rPr>
      </w:pPr>
      <w:r>
        <w:rPr>
          <w:rFonts w:hint="eastAsia" w:hAnsi="宋体"/>
          <w:color w:val="auto"/>
        </w:rPr>
        <w:t>（1）承包人违约引起的暂停施工；</w:t>
      </w:r>
    </w:p>
    <w:p w14:paraId="6A11A642">
      <w:pPr>
        <w:pStyle w:val="87"/>
        <w:spacing w:line="400" w:lineRule="exact"/>
        <w:ind w:firstLine="540" w:firstLineChars="225"/>
        <w:jc w:val="both"/>
        <w:rPr>
          <w:rFonts w:hAnsi="宋体"/>
          <w:color w:val="auto"/>
        </w:rPr>
      </w:pPr>
      <w:r>
        <w:rPr>
          <w:rFonts w:hint="eastAsia" w:hAnsi="宋体"/>
          <w:color w:val="auto"/>
        </w:rPr>
        <w:t>（2）由于承包人原因为工程合理施工和安全保障所必需的暂停施工；</w:t>
      </w:r>
    </w:p>
    <w:p w14:paraId="75DBE24F">
      <w:pPr>
        <w:pStyle w:val="87"/>
        <w:spacing w:line="400" w:lineRule="exact"/>
        <w:ind w:firstLine="540" w:firstLineChars="225"/>
        <w:jc w:val="both"/>
        <w:rPr>
          <w:rFonts w:hAnsi="宋体"/>
          <w:color w:val="auto"/>
        </w:rPr>
      </w:pPr>
      <w:r>
        <w:rPr>
          <w:rFonts w:hint="eastAsia" w:hAnsi="宋体"/>
          <w:color w:val="auto"/>
        </w:rPr>
        <w:t>（3）承包人擅自暂停施工；</w:t>
      </w:r>
    </w:p>
    <w:p w14:paraId="5207B3F9">
      <w:pPr>
        <w:pStyle w:val="87"/>
        <w:spacing w:line="400" w:lineRule="exact"/>
        <w:ind w:firstLine="540" w:firstLineChars="225"/>
        <w:jc w:val="both"/>
        <w:rPr>
          <w:rFonts w:hAnsi="宋体"/>
          <w:color w:val="auto"/>
        </w:rPr>
      </w:pPr>
      <w:r>
        <w:rPr>
          <w:rFonts w:hint="eastAsia" w:hAnsi="宋体"/>
          <w:color w:val="auto"/>
        </w:rPr>
        <w:t>（4）承包人其他原因引起的暂停施工；</w:t>
      </w:r>
    </w:p>
    <w:p w14:paraId="61CA7133">
      <w:pPr>
        <w:pStyle w:val="87"/>
        <w:spacing w:line="400" w:lineRule="exact"/>
        <w:ind w:firstLine="540" w:firstLineChars="225"/>
        <w:jc w:val="both"/>
        <w:rPr>
          <w:rFonts w:hAnsi="宋体"/>
          <w:color w:val="auto"/>
        </w:rPr>
      </w:pPr>
      <w:r>
        <w:rPr>
          <w:rFonts w:hint="eastAsia" w:hAnsi="宋体"/>
          <w:color w:val="auto"/>
        </w:rPr>
        <w:t>（5）专用合同条款约定由承包人承担的其他暂停施工。</w:t>
      </w:r>
    </w:p>
    <w:p w14:paraId="482B3DD8">
      <w:pPr>
        <w:pStyle w:val="180"/>
        <w:spacing w:after="0" w:line="400" w:lineRule="exact"/>
        <w:ind w:firstLine="562"/>
        <w:jc w:val="both"/>
        <w:rPr>
          <w:rFonts w:hAnsi="宋体" w:cs="宋体"/>
          <w:b/>
          <w:color w:val="auto"/>
        </w:rPr>
      </w:pPr>
      <w:r>
        <w:rPr>
          <w:rFonts w:hint="eastAsia" w:hAnsi="宋体" w:cs="宋体"/>
          <w:b/>
          <w:color w:val="auto"/>
        </w:rPr>
        <w:t>12.2 发包人暂停施工的责任</w:t>
      </w:r>
    </w:p>
    <w:p w14:paraId="4669FB62">
      <w:pPr>
        <w:pStyle w:val="25"/>
        <w:spacing w:line="400" w:lineRule="exact"/>
        <w:ind w:firstLine="630" w:firstLineChars="225"/>
        <w:rPr>
          <w:rFonts w:hAnsi="宋体" w:cs="宋体"/>
          <w:color w:val="auto"/>
        </w:rPr>
      </w:pPr>
      <w:r>
        <w:rPr>
          <w:rFonts w:hint="eastAsia" w:hAnsi="宋体" w:cs="宋体"/>
          <w:color w:val="auto"/>
        </w:rPr>
        <w:t>由于发包人原因引起的暂停施工造成工期延误的，承包人有权要求发包人延长工期和(或)增加费用，并支付合理利润。</w:t>
      </w:r>
    </w:p>
    <w:p w14:paraId="0112207F">
      <w:pPr>
        <w:pStyle w:val="25"/>
        <w:spacing w:line="400" w:lineRule="exact"/>
        <w:ind w:firstLine="630" w:firstLineChars="225"/>
        <w:rPr>
          <w:rFonts w:hAnsi="宋体" w:cs="宋体"/>
          <w:color w:val="auto"/>
        </w:rPr>
      </w:pPr>
      <w:r>
        <w:rPr>
          <w:rFonts w:hint="eastAsia" w:hAnsi="宋体" w:cs="宋体"/>
          <w:color w:val="auto"/>
        </w:rPr>
        <w:t>属于下列任何一种情况引起的暂停施工，均为发包人的责任：</w:t>
      </w:r>
    </w:p>
    <w:p w14:paraId="6093861A">
      <w:pPr>
        <w:pStyle w:val="25"/>
        <w:spacing w:line="400" w:lineRule="exact"/>
        <w:ind w:firstLine="630" w:firstLineChars="225"/>
        <w:rPr>
          <w:rFonts w:hAnsi="宋体" w:cs="宋体"/>
          <w:color w:val="auto"/>
        </w:rPr>
      </w:pPr>
      <w:r>
        <w:rPr>
          <w:rFonts w:hint="eastAsia" w:hAnsi="宋体" w:cs="宋体"/>
          <w:color w:val="auto"/>
        </w:rPr>
        <w:t>(1)由于发包人违约引起的暂停施工；</w:t>
      </w:r>
    </w:p>
    <w:p w14:paraId="6794B8A1">
      <w:pPr>
        <w:pStyle w:val="25"/>
        <w:spacing w:line="400" w:lineRule="exact"/>
        <w:ind w:firstLine="630" w:firstLineChars="225"/>
        <w:rPr>
          <w:rFonts w:hAnsi="宋体" w:cs="宋体"/>
          <w:color w:val="auto"/>
        </w:rPr>
      </w:pPr>
      <w:r>
        <w:rPr>
          <w:rFonts w:hint="eastAsia" w:hAnsi="宋体" w:cs="宋体"/>
          <w:color w:val="auto"/>
        </w:rPr>
        <w:t>(2)由于不可抗力的自然或社会因素引起的暂停施工；</w:t>
      </w:r>
    </w:p>
    <w:p w14:paraId="0AD4C5E1">
      <w:pPr>
        <w:pStyle w:val="25"/>
        <w:spacing w:line="400" w:lineRule="exact"/>
        <w:ind w:firstLine="630" w:firstLineChars="225"/>
        <w:rPr>
          <w:rFonts w:hAnsi="宋体" w:cs="宋体"/>
          <w:color w:val="auto"/>
        </w:rPr>
      </w:pPr>
      <w:r>
        <w:rPr>
          <w:rFonts w:hint="eastAsia" w:hAnsi="宋体" w:cs="宋体"/>
          <w:color w:val="auto"/>
        </w:rPr>
        <w:t>(3)专用合同条款中约定的其它由于发包人原因引起的暂停施工。</w:t>
      </w:r>
    </w:p>
    <w:p w14:paraId="22D42284">
      <w:pPr>
        <w:pStyle w:val="180"/>
        <w:spacing w:after="0" w:line="400" w:lineRule="exact"/>
        <w:ind w:firstLine="562"/>
        <w:jc w:val="both"/>
        <w:rPr>
          <w:rFonts w:hAnsi="宋体" w:cs="宋体"/>
          <w:b/>
          <w:color w:val="auto"/>
        </w:rPr>
      </w:pPr>
      <w:r>
        <w:rPr>
          <w:rFonts w:hint="eastAsia" w:hAnsi="宋体" w:cs="宋体"/>
          <w:b/>
          <w:color w:val="auto"/>
        </w:rPr>
        <w:t>12.3 监理人暂停施工指示</w:t>
      </w:r>
    </w:p>
    <w:p w14:paraId="46DFB17B">
      <w:pPr>
        <w:pStyle w:val="175"/>
        <w:spacing w:after="0" w:line="400" w:lineRule="exact"/>
        <w:ind w:right="100" w:firstLine="361"/>
        <w:jc w:val="both"/>
        <w:rPr>
          <w:rFonts w:hAnsi="宋体" w:cs="宋体"/>
          <w:color w:val="auto"/>
        </w:rPr>
      </w:pPr>
      <w:r>
        <w:rPr>
          <w:rFonts w:hint="eastAsia" w:hAnsi="宋体" w:cs="宋体"/>
          <w:color w:val="auto"/>
        </w:rPr>
        <w:t>12.3.1 监理人认为有必要时，可向承包人作出暂停施工的指示，承包人应按监理人指示暂停施工。不论由于何种原因引起的暂停施工，暂停施工期间承包人应负责妥善保护工程并提供安全保障。</w:t>
      </w:r>
    </w:p>
    <w:p w14:paraId="5DE28A6E">
      <w:pPr>
        <w:pStyle w:val="175"/>
        <w:spacing w:after="0" w:line="400" w:lineRule="exact"/>
        <w:ind w:right="100" w:firstLine="361"/>
        <w:jc w:val="both"/>
        <w:rPr>
          <w:rFonts w:hAnsi="宋体" w:cs="宋体"/>
          <w:color w:val="auto"/>
        </w:rPr>
      </w:pPr>
      <w:r>
        <w:rPr>
          <w:rFonts w:hint="eastAsia" w:hAnsi="宋体" w:cs="宋体"/>
          <w:color w:val="auto"/>
        </w:rPr>
        <w:t>12.3.2 由于发包人的原因发生暂停施工的紧急情况，且监理人未及时下达暂停施工指示的，承包人可先暂停施工，并及时向监理人提出暂停施工的书面请求。监理人应在接到书面请求后的24 小时内予以答复，逾期未答复的，视为同意承包人的暂停施工请求。</w:t>
      </w:r>
    </w:p>
    <w:p w14:paraId="023B549D">
      <w:pPr>
        <w:pStyle w:val="180"/>
        <w:spacing w:after="0" w:line="400" w:lineRule="exact"/>
        <w:ind w:firstLine="562"/>
        <w:jc w:val="both"/>
        <w:rPr>
          <w:rFonts w:hAnsi="宋体" w:cs="宋体"/>
          <w:b/>
          <w:color w:val="auto"/>
        </w:rPr>
      </w:pPr>
      <w:r>
        <w:rPr>
          <w:rFonts w:hint="eastAsia" w:hAnsi="宋体" w:cs="宋体"/>
          <w:b/>
          <w:color w:val="auto"/>
        </w:rPr>
        <w:t>12.4 暂停施工后的复工</w:t>
      </w:r>
    </w:p>
    <w:p w14:paraId="0AE4297A">
      <w:pPr>
        <w:pStyle w:val="175"/>
        <w:spacing w:after="0" w:line="400" w:lineRule="exact"/>
        <w:ind w:right="100" w:firstLine="361"/>
        <w:jc w:val="both"/>
        <w:rPr>
          <w:rFonts w:hAnsi="宋体" w:cs="宋体"/>
          <w:color w:val="auto"/>
        </w:rPr>
      </w:pPr>
      <w:r>
        <w:rPr>
          <w:rFonts w:hint="eastAsia" w:hAnsi="宋体" w:cs="宋体"/>
          <w:color w:val="auto"/>
        </w:rPr>
        <w:t>12.4.1 暂停施工后，监理人应与发包人和承包人协商，采取有效措施积极消除暂停施工的影响。当工程具备复工条件时，监理人应立即向承包人发出复工通知。承包人收到复工通知后，应在监理人指定的期限内复工。</w:t>
      </w:r>
    </w:p>
    <w:p w14:paraId="51B44591">
      <w:pPr>
        <w:pStyle w:val="175"/>
        <w:spacing w:after="0" w:line="400" w:lineRule="exact"/>
        <w:ind w:right="100" w:firstLine="361"/>
        <w:jc w:val="both"/>
        <w:rPr>
          <w:rFonts w:hAnsi="宋体" w:cs="宋体"/>
          <w:color w:val="auto"/>
        </w:rPr>
      </w:pPr>
      <w:r>
        <w:rPr>
          <w:rFonts w:hint="eastAsia" w:hAnsi="宋体" w:cs="宋体"/>
          <w:color w:val="auto"/>
        </w:rPr>
        <w:t>12.4.2 承包人无故拖延和拒绝复工的，由此增加的费用和工期延误由承包人承担；因发包人原因无法按时复工的，承包人有权要求发包人延长工期和（或）增加费用，并支付合理利润。</w:t>
      </w:r>
    </w:p>
    <w:p w14:paraId="4B630C9C">
      <w:pPr>
        <w:pStyle w:val="180"/>
        <w:spacing w:after="0" w:line="400" w:lineRule="exact"/>
        <w:ind w:firstLine="562"/>
        <w:jc w:val="both"/>
        <w:rPr>
          <w:rFonts w:hAnsi="宋体" w:cs="宋体"/>
          <w:b/>
          <w:color w:val="auto"/>
        </w:rPr>
      </w:pPr>
      <w:r>
        <w:rPr>
          <w:rFonts w:hint="eastAsia" w:hAnsi="宋体" w:cs="宋体"/>
          <w:b/>
          <w:color w:val="auto"/>
        </w:rPr>
        <w:t>12.5 暂停施工持续56 天以上</w:t>
      </w:r>
    </w:p>
    <w:p w14:paraId="4F3A25F6">
      <w:pPr>
        <w:pStyle w:val="175"/>
        <w:spacing w:after="0" w:line="400" w:lineRule="exact"/>
        <w:ind w:right="100" w:firstLine="361"/>
        <w:jc w:val="both"/>
        <w:rPr>
          <w:rFonts w:hAnsi="宋体" w:cs="宋体"/>
          <w:color w:val="auto"/>
        </w:rPr>
      </w:pPr>
      <w:r>
        <w:rPr>
          <w:rFonts w:hint="eastAsia" w:hAnsi="宋体" w:cs="宋体"/>
          <w:color w:val="auto"/>
        </w:rPr>
        <w:t>12.5.1 监理人发出暂停施工指示后56 天内未向承包人发出复工通知，除了该项停工属于第12.1 款的情况外，承包人可向监理人提交书面通知，要求监理人在收到书面通知后28 天内准许已暂停施工的工程或其中一部分工程继续施工。如监理人逾期不予批准，则承包人可以通知监理人，将工程受影响的部分视为按第15.1（1）项的可取消工作。如暂停施工影响到整个工程，可视为发包人违约，应按第22.2 款的规定办理。</w:t>
      </w:r>
    </w:p>
    <w:p w14:paraId="45AF16FC">
      <w:pPr>
        <w:pStyle w:val="175"/>
        <w:spacing w:after="0" w:line="400" w:lineRule="exact"/>
        <w:ind w:right="100" w:firstLine="361"/>
        <w:jc w:val="both"/>
        <w:rPr>
          <w:rFonts w:hAnsi="宋体" w:cs="宋体"/>
          <w:color w:val="auto"/>
        </w:rPr>
      </w:pPr>
      <w:r>
        <w:rPr>
          <w:rFonts w:hint="eastAsia" w:hAnsi="宋体" w:cs="宋体"/>
          <w:color w:val="auto"/>
        </w:rPr>
        <w:t>12.5.2 由于承包人责任引起的暂停施工，如承包人在收到监理人暂停施工指示后56 天内不认真采取有效的复工措施，造成工期延误，可视为承包人违约，应按第22.1 款的规定办理。</w:t>
      </w:r>
    </w:p>
    <w:p w14:paraId="2FF46352">
      <w:pPr>
        <w:pStyle w:val="180"/>
        <w:spacing w:before="100" w:after="100" w:line="400" w:lineRule="exact"/>
        <w:ind w:firstLine="643"/>
        <w:jc w:val="both"/>
        <w:rPr>
          <w:rFonts w:hAnsi="宋体" w:cs="宋体"/>
          <w:b/>
          <w:color w:val="auto"/>
          <w:sz w:val="32"/>
          <w:szCs w:val="32"/>
        </w:rPr>
      </w:pPr>
      <w:bookmarkStart w:id="726" w:name="_Toc452986505"/>
      <w:bookmarkStart w:id="727" w:name="_Toc255741934"/>
      <w:bookmarkStart w:id="728" w:name="_Toc504565805"/>
      <w:bookmarkStart w:id="729" w:name="_Toc436998791"/>
      <w:bookmarkStart w:id="730" w:name="_Toc389226400"/>
      <w:bookmarkStart w:id="731" w:name="_Toc215561213"/>
      <w:bookmarkStart w:id="732" w:name="_Toc340222908"/>
      <w:bookmarkStart w:id="733" w:name="_Toc255470047"/>
      <w:bookmarkStart w:id="734" w:name="_Toc504565692"/>
      <w:bookmarkStart w:id="735" w:name="_Toc436133241"/>
      <w:bookmarkStart w:id="736" w:name="_Toc445105540"/>
      <w:bookmarkStart w:id="737" w:name="_Toc439772704"/>
      <w:bookmarkStart w:id="738" w:name="_Toc187846005"/>
      <w:bookmarkStart w:id="739" w:name="_Toc222804529"/>
      <w:bookmarkStart w:id="740" w:name="_Toc219172342"/>
      <w:bookmarkStart w:id="741" w:name="_Toc211175337"/>
      <w:bookmarkStart w:id="742" w:name="_Toc195864500"/>
      <w:bookmarkStart w:id="743" w:name="_Toc257202838"/>
      <w:bookmarkStart w:id="744" w:name="_Toc453768103"/>
      <w:bookmarkStart w:id="745" w:name="_Toc305763059"/>
      <w:bookmarkStart w:id="746" w:name="_Toc215556195"/>
      <w:bookmarkStart w:id="747" w:name="_Toc21494"/>
      <w:bookmarkStart w:id="748" w:name="_Toc510197477"/>
      <w:bookmarkStart w:id="749" w:name="_Toc214355676"/>
      <w:bookmarkStart w:id="750" w:name="_Toc338778045"/>
      <w:bookmarkStart w:id="751" w:name="_Toc245110743"/>
      <w:bookmarkStart w:id="752" w:name="_Toc436309598"/>
      <w:bookmarkStart w:id="753" w:name="_Toc215805056"/>
      <w:bookmarkStart w:id="754" w:name="_Toc260230305"/>
      <w:bookmarkStart w:id="755" w:name="_Toc255470270"/>
      <w:bookmarkStart w:id="756" w:name="_Toc460581183"/>
      <w:bookmarkStart w:id="757" w:name="_Toc248294426"/>
      <w:bookmarkStart w:id="758" w:name="_Toc350857432"/>
      <w:bookmarkStart w:id="759" w:name="_Toc371937197"/>
      <w:bookmarkStart w:id="760" w:name="_Toc249848955"/>
      <w:bookmarkStart w:id="761" w:name="_Toc449111931"/>
      <w:bookmarkStart w:id="762" w:name="_Toc306293169"/>
      <w:bookmarkStart w:id="763" w:name="_Toc340436798"/>
      <w:bookmarkStart w:id="764" w:name="_Toc187475845"/>
      <w:bookmarkStart w:id="765" w:name="_Toc458599281"/>
      <w:bookmarkStart w:id="766" w:name="_Toc260229978"/>
      <w:bookmarkStart w:id="767" w:name="_Toc476231304"/>
      <w:bookmarkStart w:id="768" w:name="_Toc436309950"/>
      <w:bookmarkStart w:id="769" w:name="_Toc254774414"/>
      <w:bookmarkStart w:id="770" w:name="_Toc3048"/>
      <w:bookmarkStart w:id="771" w:name="_Toc342046319"/>
      <w:bookmarkStart w:id="772" w:name="_Toc388633680"/>
      <w:bookmarkStart w:id="773" w:name="_Toc351898550"/>
      <w:bookmarkStart w:id="774" w:name="_Toc206830026"/>
      <w:bookmarkStart w:id="775" w:name="_Toc510197615"/>
      <w:bookmarkStart w:id="776" w:name="_Toc227658503"/>
      <w:bookmarkStart w:id="777" w:name="_Toc368145489"/>
      <w:bookmarkStart w:id="778" w:name="_Toc274500901"/>
      <w:bookmarkStart w:id="779" w:name="_Toc270517147"/>
      <w:bookmarkStart w:id="780" w:name="_Toc260649033"/>
      <w:bookmarkStart w:id="781" w:name="_Toc208734413"/>
      <w:bookmarkStart w:id="782" w:name="_Toc450123137"/>
      <w:bookmarkStart w:id="783" w:name="_Toc477164665"/>
      <w:bookmarkStart w:id="784" w:name="_Toc450123371"/>
      <w:bookmarkStart w:id="785" w:name="_Toc209862335"/>
      <w:r>
        <w:rPr>
          <w:rFonts w:hint="eastAsia" w:hAnsi="宋体" w:cs="宋体"/>
          <w:b/>
          <w:color w:val="auto"/>
          <w:sz w:val="32"/>
          <w:szCs w:val="32"/>
        </w:rPr>
        <w:t>13. 工程质量</w:t>
      </w:r>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p>
    <w:p w14:paraId="46BF053F">
      <w:pPr>
        <w:pStyle w:val="180"/>
        <w:spacing w:after="0" w:line="400" w:lineRule="exact"/>
        <w:ind w:firstLine="562"/>
        <w:jc w:val="both"/>
        <w:rPr>
          <w:rFonts w:hAnsi="宋体" w:cs="宋体"/>
          <w:b/>
          <w:color w:val="auto"/>
        </w:rPr>
      </w:pPr>
      <w:r>
        <w:rPr>
          <w:rFonts w:hint="eastAsia" w:hAnsi="宋体" w:cs="宋体"/>
          <w:b/>
          <w:color w:val="auto"/>
        </w:rPr>
        <w:t>13.1 工程质量要求</w:t>
      </w:r>
    </w:p>
    <w:p w14:paraId="663B3994">
      <w:pPr>
        <w:pStyle w:val="175"/>
        <w:spacing w:after="0" w:line="400" w:lineRule="exact"/>
        <w:ind w:right="100" w:firstLine="361"/>
        <w:jc w:val="both"/>
        <w:rPr>
          <w:rFonts w:hAnsi="宋体" w:cs="宋体"/>
          <w:color w:val="auto"/>
        </w:rPr>
      </w:pPr>
      <w:r>
        <w:rPr>
          <w:rFonts w:hint="eastAsia" w:hAnsi="宋体" w:cs="宋体"/>
          <w:color w:val="auto"/>
        </w:rPr>
        <w:t>13.1.1 工程质量验收按合同约定验收标准执行。</w:t>
      </w:r>
    </w:p>
    <w:p w14:paraId="67A034AB">
      <w:pPr>
        <w:pStyle w:val="175"/>
        <w:spacing w:after="0" w:line="400" w:lineRule="exact"/>
        <w:ind w:right="100" w:firstLine="361"/>
        <w:jc w:val="both"/>
        <w:rPr>
          <w:rFonts w:hAnsi="宋体" w:cs="宋体"/>
          <w:color w:val="auto"/>
        </w:rPr>
      </w:pPr>
      <w:r>
        <w:rPr>
          <w:rFonts w:hint="eastAsia" w:hAnsi="宋体" w:cs="宋体"/>
          <w:color w:val="auto"/>
        </w:rPr>
        <w:t>13.1.2 因承包人原因造成工程质量达不到合同约定验收标准的，监理人有权要求承包人返工直至符合合同要求为止，由此造成的费用增加和（或）工期延误由承包人承担。</w:t>
      </w:r>
    </w:p>
    <w:p w14:paraId="1B100FA8">
      <w:pPr>
        <w:pStyle w:val="175"/>
        <w:spacing w:after="0" w:line="400" w:lineRule="exact"/>
        <w:ind w:right="100" w:firstLine="361"/>
        <w:jc w:val="both"/>
        <w:rPr>
          <w:rFonts w:hAnsi="宋体" w:cs="宋体"/>
          <w:color w:val="auto"/>
        </w:rPr>
      </w:pPr>
      <w:r>
        <w:rPr>
          <w:rFonts w:hint="eastAsia" w:hAnsi="宋体" w:cs="宋体"/>
          <w:color w:val="auto"/>
        </w:rPr>
        <w:t>13.1.3 因发包人原因造成工程质量达不到合同约定验收标准的，发包人应承担由于承包人返工造成的费用增加和（或）工期延误，并支付承包人合理利润。</w:t>
      </w:r>
    </w:p>
    <w:p w14:paraId="4F305E95">
      <w:pPr>
        <w:pStyle w:val="180"/>
        <w:spacing w:after="0" w:line="400" w:lineRule="exact"/>
        <w:ind w:firstLine="562"/>
        <w:jc w:val="both"/>
        <w:rPr>
          <w:rFonts w:hAnsi="宋体" w:cs="宋体"/>
          <w:b/>
          <w:color w:val="auto"/>
        </w:rPr>
      </w:pPr>
      <w:r>
        <w:rPr>
          <w:rFonts w:hint="eastAsia" w:hAnsi="宋体" w:cs="宋体"/>
          <w:b/>
          <w:color w:val="auto"/>
        </w:rPr>
        <w:t>13.2 承包人的质量管理</w:t>
      </w:r>
    </w:p>
    <w:p w14:paraId="28D817B8">
      <w:pPr>
        <w:pStyle w:val="175"/>
        <w:spacing w:after="0" w:line="400" w:lineRule="exact"/>
        <w:ind w:right="100" w:firstLine="361"/>
        <w:jc w:val="both"/>
        <w:rPr>
          <w:rFonts w:hAnsi="宋体" w:cs="宋体"/>
          <w:color w:val="auto"/>
        </w:rPr>
      </w:pPr>
      <w:r>
        <w:rPr>
          <w:rFonts w:hint="eastAsia" w:hAnsi="宋体" w:cs="宋体"/>
          <w:color w:val="auto"/>
        </w:rPr>
        <w:t>13.2.1 承包人应在施工场地设置专门的质量检查机构，配备专职质量检查人员，建立完善的质量检查制度。承包人应按技术标准和要求(合同技术条款)约定的内容和期限，编制工程质量保证措施文件，包括质量检查机构的组织和岗位责任、质量检查人员的组成、质量检查程序和实施细则等，提交监理人审批。监理人应在技术标准和要求(合同技术条款)约定的期限内批复承包人。</w:t>
      </w:r>
    </w:p>
    <w:p w14:paraId="26E91972">
      <w:pPr>
        <w:pStyle w:val="175"/>
        <w:spacing w:after="0" w:line="400" w:lineRule="exact"/>
        <w:ind w:right="100" w:firstLine="361"/>
        <w:jc w:val="both"/>
        <w:rPr>
          <w:rFonts w:hAnsi="宋体" w:cs="宋体"/>
          <w:color w:val="auto"/>
        </w:rPr>
      </w:pPr>
      <w:r>
        <w:rPr>
          <w:rFonts w:hint="eastAsia" w:hAnsi="宋体" w:cs="宋体"/>
          <w:color w:val="auto"/>
        </w:rPr>
        <w:t>13.2.2 承包人应加强对施工人员的质量教育和技术培训，定期考核施工人员的劳动技能，严格执行规范和操作规程。</w:t>
      </w:r>
    </w:p>
    <w:p w14:paraId="63C1622B">
      <w:pPr>
        <w:pStyle w:val="180"/>
        <w:spacing w:after="0" w:line="400" w:lineRule="exact"/>
        <w:ind w:firstLine="562"/>
        <w:jc w:val="both"/>
        <w:rPr>
          <w:rFonts w:hAnsi="宋体" w:cs="宋体"/>
          <w:b/>
          <w:color w:val="auto"/>
        </w:rPr>
      </w:pPr>
      <w:r>
        <w:rPr>
          <w:rFonts w:hint="eastAsia" w:hAnsi="宋体" w:cs="宋体"/>
          <w:b/>
          <w:color w:val="auto"/>
        </w:rPr>
        <w:t>13.3 承包人的质量检查</w:t>
      </w:r>
    </w:p>
    <w:p w14:paraId="1C3A2454">
      <w:pPr>
        <w:pStyle w:val="175"/>
        <w:spacing w:after="0" w:line="400" w:lineRule="exact"/>
        <w:ind w:right="100" w:firstLine="361"/>
        <w:jc w:val="both"/>
        <w:rPr>
          <w:rFonts w:hAnsi="宋体" w:cs="宋体"/>
          <w:color w:val="auto"/>
        </w:rPr>
      </w:pPr>
      <w:r>
        <w:rPr>
          <w:rFonts w:hint="eastAsia" w:hAnsi="宋体" w:cs="宋体"/>
          <w:color w:val="auto"/>
        </w:rPr>
        <w:t>承包人应按合同约定对材料、工程设备以及工程的所有部位及其施工工艺进行全过程的质量检查和检验，并作详细记录，编制工程质量报表，报送监理人审查。</w:t>
      </w:r>
    </w:p>
    <w:p w14:paraId="69FD0524">
      <w:pPr>
        <w:pStyle w:val="180"/>
        <w:spacing w:after="0" w:line="400" w:lineRule="exact"/>
        <w:ind w:firstLine="562"/>
        <w:jc w:val="both"/>
        <w:rPr>
          <w:rFonts w:hAnsi="宋体" w:cs="宋体"/>
          <w:b/>
          <w:color w:val="auto"/>
        </w:rPr>
      </w:pPr>
      <w:r>
        <w:rPr>
          <w:rFonts w:hint="eastAsia" w:hAnsi="宋体" w:cs="宋体"/>
          <w:b/>
          <w:color w:val="auto"/>
        </w:rPr>
        <w:t>13.4 监理人的质量检查</w:t>
      </w:r>
    </w:p>
    <w:p w14:paraId="0A70CC69">
      <w:pPr>
        <w:pStyle w:val="175"/>
        <w:spacing w:after="0" w:line="400" w:lineRule="exact"/>
        <w:ind w:right="100" w:firstLine="361"/>
        <w:jc w:val="both"/>
        <w:rPr>
          <w:rFonts w:hAnsi="宋体" w:cs="宋体"/>
          <w:color w:val="auto"/>
        </w:rPr>
      </w:pPr>
      <w:r>
        <w:rPr>
          <w:rFonts w:hint="eastAsia" w:hAnsi="宋体" w:cs="宋体"/>
          <w:color w:val="auto"/>
        </w:rPr>
        <w:t>监理人有权对工程的所有部位及其施工工艺、材料和工程设备进行检查和检验。承包人应为监理人的检查和检验提供方便，包括监理人到施工场地，或制造、加工地点，或合同约定的其他地方进行察看和查阅施工原始记录。承包人还应按监理人指示，进行施工场地取样试验、工程复核测量和设备性能检测，提供试验样品、提交试验报告和测量成果以及监理人要求进行的其他工作。监理人的检查和检验，不免除承包人按合同约定应负的责任。</w:t>
      </w:r>
    </w:p>
    <w:p w14:paraId="700FCFAE">
      <w:pPr>
        <w:pStyle w:val="180"/>
        <w:spacing w:after="0" w:line="400" w:lineRule="exact"/>
        <w:ind w:firstLine="562"/>
        <w:jc w:val="both"/>
        <w:rPr>
          <w:rFonts w:hAnsi="宋体" w:cs="宋体"/>
          <w:b/>
          <w:color w:val="auto"/>
        </w:rPr>
      </w:pPr>
      <w:r>
        <w:rPr>
          <w:rFonts w:hint="eastAsia" w:hAnsi="宋体" w:cs="宋体"/>
          <w:b/>
          <w:color w:val="auto"/>
        </w:rPr>
        <w:t>13.5 工程隐蔽部位覆盖前的检查</w:t>
      </w:r>
    </w:p>
    <w:p w14:paraId="4BC69211">
      <w:pPr>
        <w:pStyle w:val="191"/>
        <w:ind w:firstLine="562"/>
        <w:jc w:val="both"/>
        <w:rPr>
          <w:rFonts w:hAnsi="宋体" w:cs="宋体"/>
          <w:b/>
          <w:color w:val="auto"/>
        </w:rPr>
      </w:pPr>
      <w:r>
        <w:rPr>
          <w:rFonts w:hint="eastAsia" w:hAnsi="宋体" w:cs="宋体"/>
          <w:b/>
          <w:color w:val="auto"/>
        </w:rPr>
        <w:t>13.5.1 通知监理人检查</w:t>
      </w:r>
    </w:p>
    <w:p w14:paraId="36184EC8">
      <w:pPr>
        <w:pStyle w:val="191"/>
        <w:ind w:firstLine="560"/>
        <w:jc w:val="both"/>
        <w:rPr>
          <w:rFonts w:hAnsi="宋体" w:cs="宋体"/>
          <w:color w:val="auto"/>
        </w:rPr>
      </w:pPr>
      <w:r>
        <w:rPr>
          <w:rFonts w:hint="eastAsia" w:hAnsi="宋体" w:cs="宋体"/>
          <w:color w:val="auto"/>
        </w:rPr>
        <w:t>经承包人自检确认的工程隐蔽部位具备覆盖条件后，承包人应通知监理人在约定的期限内检查。承包人的通知应附有自检记录和必要的检查资料。监理人应按时到场检查。经监理人检查确认质量符合隐蔽要求，并在检查记录上签字后，承包人才能进行覆盖。监理人检查确认质量不合格的，承包人应在监理人指示的时间内修整返工后，由监理人重新检查。</w:t>
      </w:r>
    </w:p>
    <w:p w14:paraId="462B27CA">
      <w:pPr>
        <w:pStyle w:val="191"/>
        <w:ind w:firstLine="562"/>
        <w:jc w:val="both"/>
        <w:rPr>
          <w:rFonts w:hAnsi="宋体" w:cs="宋体"/>
          <w:b/>
          <w:color w:val="auto"/>
        </w:rPr>
      </w:pPr>
      <w:r>
        <w:rPr>
          <w:rFonts w:hint="eastAsia" w:hAnsi="宋体" w:cs="宋体"/>
          <w:b/>
          <w:color w:val="auto"/>
        </w:rPr>
        <w:t>13.5.2 监理人未到场检查</w:t>
      </w:r>
    </w:p>
    <w:p w14:paraId="3876DAAD">
      <w:pPr>
        <w:pStyle w:val="191"/>
        <w:ind w:firstLine="560"/>
        <w:jc w:val="both"/>
        <w:rPr>
          <w:rFonts w:hAnsi="宋体" w:cs="宋体"/>
          <w:color w:val="auto"/>
        </w:rPr>
      </w:pPr>
      <w:r>
        <w:rPr>
          <w:rFonts w:hint="eastAsia" w:hAnsi="宋体" w:cs="宋体"/>
          <w:color w:val="auto"/>
        </w:rPr>
        <w:t>监理人未按第13.5.1 项约定的时间进行检查的，除监理人另有指示外，承包人可自行完成覆盖工作，并作相应记录报送监理人，监理人应签字确认。监理人事后对检查记录有疑问的，可按第13.5.3 项的约定重新检查。</w:t>
      </w:r>
    </w:p>
    <w:p w14:paraId="58B86D06">
      <w:pPr>
        <w:pStyle w:val="191"/>
        <w:ind w:firstLine="562"/>
        <w:jc w:val="both"/>
        <w:rPr>
          <w:rFonts w:hAnsi="宋体" w:cs="宋体"/>
          <w:b/>
          <w:color w:val="auto"/>
        </w:rPr>
      </w:pPr>
      <w:r>
        <w:rPr>
          <w:rFonts w:hint="eastAsia" w:hAnsi="宋体" w:cs="宋体"/>
          <w:b/>
          <w:color w:val="auto"/>
        </w:rPr>
        <w:t>13.5.3 监理人重新检查</w:t>
      </w:r>
    </w:p>
    <w:p w14:paraId="23DE5AFB">
      <w:pPr>
        <w:pStyle w:val="191"/>
        <w:ind w:firstLine="560"/>
        <w:jc w:val="both"/>
        <w:rPr>
          <w:rFonts w:hAnsi="宋体" w:cs="宋体"/>
          <w:color w:val="auto"/>
        </w:rPr>
      </w:pPr>
      <w:r>
        <w:rPr>
          <w:rFonts w:hint="eastAsia" w:hAnsi="宋体" w:cs="宋体"/>
          <w:color w:val="auto"/>
        </w:rPr>
        <w:t>承包人按第13.5.1 项或第13.5.2 项覆盖工程隐蔽部位后，监理人对质量有疑问的，可要求承包人对已覆盖的部位进行钻孔探测或揭开重新检验，承包人应遵照执行，并在检验后重新覆盖恢复原状。经检验证明工程质量符合合同要求的，由发包人承担由此增加的费用和（或）工期延误，并支付承包人合理利润；经检验证明工程质量不符合合同要求的，由此增加的费用和（或）工期延误由承包人承担。</w:t>
      </w:r>
    </w:p>
    <w:p w14:paraId="04AC31BC">
      <w:pPr>
        <w:pStyle w:val="191"/>
        <w:ind w:firstLine="562"/>
        <w:jc w:val="both"/>
        <w:rPr>
          <w:rFonts w:hAnsi="宋体" w:cs="宋体"/>
          <w:b/>
          <w:color w:val="auto"/>
        </w:rPr>
      </w:pPr>
      <w:r>
        <w:rPr>
          <w:rFonts w:hint="eastAsia" w:hAnsi="宋体" w:cs="宋体"/>
          <w:b/>
          <w:color w:val="auto"/>
        </w:rPr>
        <w:t>13.5.4 承包人私自覆盖</w:t>
      </w:r>
    </w:p>
    <w:p w14:paraId="5A55A2C5">
      <w:pPr>
        <w:pStyle w:val="175"/>
        <w:spacing w:after="0" w:line="400" w:lineRule="atLeast"/>
        <w:ind w:firstLine="361"/>
        <w:jc w:val="both"/>
        <w:rPr>
          <w:rFonts w:hAnsi="宋体" w:cs="宋体"/>
          <w:color w:val="auto"/>
        </w:rPr>
      </w:pPr>
      <w:r>
        <w:rPr>
          <w:rFonts w:hint="eastAsia" w:hAnsi="宋体" w:cs="宋体"/>
          <w:color w:val="auto"/>
        </w:rPr>
        <w:t>承包人未通知监理人到场检查，私自将工程隐蔽部位覆盖的，监理人有权指示承包人钻孔探测或揭开检查，由此增加的费用和（或）工期延误由承包人承担。</w:t>
      </w:r>
    </w:p>
    <w:p w14:paraId="304E80C2">
      <w:pPr>
        <w:pStyle w:val="180"/>
        <w:spacing w:after="0" w:line="400" w:lineRule="exact"/>
        <w:ind w:firstLine="562"/>
        <w:jc w:val="both"/>
        <w:rPr>
          <w:rFonts w:hAnsi="宋体" w:cs="宋体"/>
          <w:b/>
          <w:color w:val="auto"/>
        </w:rPr>
      </w:pPr>
      <w:r>
        <w:rPr>
          <w:rFonts w:hint="eastAsia" w:hAnsi="宋体" w:cs="宋体"/>
          <w:b/>
          <w:color w:val="auto"/>
        </w:rPr>
        <w:t>13.6 清除不合格工程</w:t>
      </w:r>
    </w:p>
    <w:p w14:paraId="5D0967D0">
      <w:pPr>
        <w:pStyle w:val="175"/>
        <w:spacing w:after="0" w:line="400" w:lineRule="exact"/>
        <w:ind w:right="100" w:firstLine="361"/>
        <w:jc w:val="both"/>
        <w:rPr>
          <w:rFonts w:hAnsi="宋体" w:cs="宋体"/>
          <w:color w:val="auto"/>
        </w:rPr>
      </w:pPr>
      <w:r>
        <w:rPr>
          <w:rFonts w:hint="eastAsia" w:hAnsi="宋体" w:cs="宋体"/>
          <w:color w:val="auto"/>
        </w:rPr>
        <w:t>13.6.1 承包人使用不合格材料、工程设备，或采用不适当的施工工艺，或施工不当，造成工程不合格的，监理人可以随时发出指示，要求承包人立即采取措施进行补救，直至达到合同要求的质量标准，由此增加的费用和（或）工期延误由承包人承担。</w:t>
      </w:r>
    </w:p>
    <w:p w14:paraId="58FC6687">
      <w:pPr>
        <w:pStyle w:val="175"/>
        <w:spacing w:after="0" w:line="400" w:lineRule="exact"/>
        <w:ind w:right="100" w:firstLine="361"/>
        <w:jc w:val="both"/>
        <w:rPr>
          <w:rFonts w:hAnsi="宋体" w:cs="宋体"/>
          <w:color w:val="auto"/>
        </w:rPr>
      </w:pPr>
      <w:r>
        <w:rPr>
          <w:rFonts w:hint="eastAsia" w:hAnsi="宋体" w:cs="宋体"/>
          <w:color w:val="auto"/>
        </w:rPr>
        <w:t>13.6.2 由于发包人提供的材料或工程设备不合格造成的工程不合格，需要承包人采取措施补救的，发包人应承担由此增加的费用和（或）工期延误，并支付承包人合理利润。</w:t>
      </w:r>
    </w:p>
    <w:p w14:paraId="7CE70720">
      <w:pPr>
        <w:pStyle w:val="180"/>
        <w:spacing w:after="0" w:line="400" w:lineRule="exact"/>
        <w:ind w:firstLine="562"/>
        <w:jc w:val="both"/>
        <w:rPr>
          <w:rFonts w:hAnsi="宋体" w:cs="宋体"/>
          <w:b/>
          <w:color w:val="auto"/>
        </w:rPr>
      </w:pPr>
      <w:r>
        <w:rPr>
          <w:rFonts w:hint="eastAsia" w:hAnsi="宋体" w:cs="宋体"/>
          <w:b/>
          <w:color w:val="auto"/>
        </w:rPr>
        <w:t>13.7质量评定</w:t>
      </w:r>
    </w:p>
    <w:p w14:paraId="60F8C76D">
      <w:pPr>
        <w:pStyle w:val="25"/>
        <w:spacing w:line="400" w:lineRule="exact"/>
        <w:ind w:firstLine="630" w:firstLineChars="225"/>
        <w:rPr>
          <w:rFonts w:hAnsi="宋体" w:cs="宋体"/>
          <w:color w:val="auto"/>
        </w:rPr>
      </w:pPr>
      <w:r>
        <w:rPr>
          <w:rFonts w:hint="eastAsia" w:hAnsi="宋体" w:cs="宋体"/>
          <w:color w:val="auto"/>
        </w:rPr>
        <w:t>13.7.1  发包人应组织承包人进行工程项目划分，并确定单位工程、主要分部工程、重要隐蔽单元工程和关键部位单元工程。</w:t>
      </w:r>
    </w:p>
    <w:p w14:paraId="09A57999">
      <w:pPr>
        <w:pStyle w:val="25"/>
        <w:spacing w:line="400" w:lineRule="exact"/>
        <w:ind w:firstLine="630" w:firstLineChars="225"/>
        <w:rPr>
          <w:rFonts w:hAnsi="宋体" w:cs="宋体"/>
          <w:color w:val="auto"/>
        </w:rPr>
      </w:pPr>
      <w:r>
        <w:rPr>
          <w:rFonts w:hint="eastAsia" w:hAnsi="宋体" w:cs="宋体"/>
          <w:color w:val="auto"/>
        </w:rPr>
        <w:t>13.7.2  工程实施过程中，单位工程、主要分部工程、重要隐蔽单元工程和关键部位单元工程的项目划分需要调整时，承包人应报发包人确认。</w:t>
      </w:r>
    </w:p>
    <w:p w14:paraId="4D47A6EC">
      <w:pPr>
        <w:pStyle w:val="25"/>
        <w:spacing w:line="400" w:lineRule="exact"/>
        <w:ind w:firstLine="630" w:firstLineChars="225"/>
        <w:rPr>
          <w:rFonts w:hAnsi="宋体" w:cs="宋体"/>
          <w:color w:val="auto"/>
        </w:rPr>
      </w:pPr>
      <w:r>
        <w:rPr>
          <w:rFonts w:hint="eastAsia" w:hAnsi="宋体" w:cs="宋体"/>
          <w:color w:val="auto"/>
        </w:rPr>
        <w:t>13.7.3  承包人应在单元(工序)工程质量自评合格后，报监理人核定质量等级并签证认可。</w:t>
      </w:r>
    </w:p>
    <w:p w14:paraId="6C1F7A98">
      <w:pPr>
        <w:pStyle w:val="25"/>
        <w:spacing w:line="400" w:lineRule="exact"/>
        <w:ind w:firstLine="630" w:firstLineChars="225"/>
        <w:rPr>
          <w:rFonts w:hAnsi="宋体" w:cs="宋体"/>
          <w:color w:val="auto"/>
        </w:rPr>
      </w:pPr>
      <w:r>
        <w:rPr>
          <w:rFonts w:hint="eastAsia" w:hAnsi="宋体" w:cs="宋体"/>
          <w:color w:val="auto"/>
        </w:rPr>
        <w:t>13.7.4  除专用合同条款另有约定外，承包人应在重要隐蔽单元工程和关键部位单元工程质量自评合格以及监理人抽检后，由监理人组织承包人等单位组成的联合小组，共同检查核定其质量等级并填写签证表。发包人按有关规定完成质量结论报工程质量监督机构核备手续。</w:t>
      </w:r>
    </w:p>
    <w:p w14:paraId="2D8BAB2F">
      <w:pPr>
        <w:pStyle w:val="25"/>
        <w:spacing w:line="400" w:lineRule="exact"/>
        <w:ind w:firstLine="630" w:firstLineChars="225"/>
        <w:rPr>
          <w:rFonts w:hAnsi="宋体" w:cs="宋体"/>
          <w:color w:val="auto"/>
        </w:rPr>
      </w:pPr>
      <w:r>
        <w:rPr>
          <w:rFonts w:hint="eastAsia" w:hAnsi="宋体" w:cs="宋体"/>
          <w:color w:val="auto"/>
        </w:rPr>
        <w:t>13.7.5  承包人应在分部工程质量自评合格后，报监理人复核和发包人认定。发包人负责按有关规定完成分部工程质量结论报工程质量监督机构核备(核定)手续。</w:t>
      </w:r>
    </w:p>
    <w:p w14:paraId="148CC142">
      <w:pPr>
        <w:pStyle w:val="25"/>
        <w:spacing w:line="400" w:lineRule="exact"/>
        <w:ind w:firstLine="630" w:firstLineChars="225"/>
        <w:rPr>
          <w:rFonts w:hAnsi="宋体" w:cs="宋体"/>
          <w:color w:val="auto"/>
        </w:rPr>
      </w:pPr>
      <w:r>
        <w:rPr>
          <w:rFonts w:hint="eastAsia" w:hAnsi="宋体" w:cs="宋体"/>
          <w:color w:val="auto"/>
        </w:rPr>
        <w:t>13.7.6  承包人应在单位工程质量自评合格后，报监理人复核和发包人认定。发包人负责按有关规定完成单位工程质量结论报工程质量监督机构核定手续。</w:t>
      </w:r>
    </w:p>
    <w:p w14:paraId="5E0B3910">
      <w:pPr>
        <w:pStyle w:val="25"/>
        <w:spacing w:line="400" w:lineRule="exact"/>
        <w:ind w:firstLine="630" w:firstLineChars="225"/>
        <w:rPr>
          <w:rFonts w:hAnsi="宋体" w:cs="宋体"/>
          <w:color w:val="auto"/>
        </w:rPr>
      </w:pPr>
      <w:r>
        <w:rPr>
          <w:rFonts w:hint="eastAsia" w:hAnsi="宋体" w:cs="宋体"/>
          <w:color w:val="auto"/>
        </w:rPr>
        <w:t>13.7.7  除专用合同条款另有约定外，工程质量等级分为合格和优良，应分别达到约定的标准。</w:t>
      </w:r>
    </w:p>
    <w:p w14:paraId="04570277">
      <w:pPr>
        <w:pStyle w:val="180"/>
        <w:spacing w:after="0" w:line="400" w:lineRule="exact"/>
        <w:ind w:firstLine="562"/>
        <w:jc w:val="both"/>
        <w:rPr>
          <w:rFonts w:hAnsi="宋体" w:cs="宋体"/>
          <w:b/>
          <w:color w:val="auto"/>
        </w:rPr>
      </w:pPr>
      <w:r>
        <w:rPr>
          <w:rFonts w:hint="eastAsia" w:hAnsi="宋体" w:cs="宋体"/>
          <w:b/>
          <w:color w:val="auto"/>
        </w:rPr>
        <w:t>13.8质量事故处理</w:t>
      </w:r>
    </w:p>
    <w:p w14:paraId="26555488">
      <w:pPr>
        <w:pStyle w:val="25"/>
        <w:spacing w:line="400" w:lineRule="exact"/>
        <w:ind w:firstLine="630" w:firstLineChars="225"/>
        <w:rPr>
          <w:rFonts w:hAnsi="宋体" w:cs="宋体"/>
          <w:color w:val="auto"/>
        </w:rPr>
      </w:pPr>
      <w:r>
        <w:rPr>
          <w:rFonts w:hint="eastAsia" w:hAnsi="宋体" w:cs="宋体"/>
          <w:color w:val="auto"/>
        </w:rPr>
        <w:t>13.8.1  发生质量事故时，承包人应及时向发包人和监理人报告。</w:t>
      </w:r>
    </w:p>
    <w:p w14:paraId="4876A9F0">
      <w:pPr>
        <w:pStyle w:val="25"/>
        <w:spacing w:line="400" w:lineRule="exact"/>
        <w:ind w:firstLine="630" w:firstLineChars="225"/>
        <w:rPr>
          <w:rFonts w:hAnsi="宋体" w:cs="宋体"/>
          <w:color w:val="auto"/>
        </w:rPr>
      </w:pPr>
      <w:r>
        <w:rPr>
          <w:rFonts w:hint="eastAsia" w:hAnsi="宋体" w:cs="宋体"/>
          <w:color w:val="auto"/>
        </w:rPr>
        <w:t>13.8.2  质量事故调查处理由发包人按相关规定履行手续，承包人应配合。</w:t>
      </w:r>
    </w:p>
    <w:p w14:paraId="4EE06E23">
      <w:pPr>
        <w:pStyle w:val="25"/>
        <w:spacing w:line="400" w:lineRule="exact"/>
        <w:ind w:firstLine="630" w:firstLineChars="225"/>
        <w:rPr>
          <w:rFonts w:hAnsi="宋体" w:cs="宋体"/>
          <w:color w:val="auto"/>
        </w:rPr>
      </w:pPr>
      <w:r>
        <w:rPr>
          <w:rFonts w:hint="eastAsia" w:hAnsi="宋体" w:cs="宋体"/>
          <w:color w:val="auto"/>
        </w:rPr>
        <w:t>13.8.3  承包人应对质量缺陷进行备案。发包人委托监理人对质量缺陷备案情况进行监督检查并履行相关手续。</w:t>
      </w:r>
    </w:p>
    <w:p w14:paraId="48B7F668">
      <w:pPr>
        <w:pStyle w:val="25"/>
        <w:spacing w:line="400" w:lineRule="exact"/>
        <w:ind w:firstLine="630" w:firstLineChars="225"/>
        <w:rPr>
          <w:rFonts w:hAnsi="宋体" w:cs="宋体"/>
          <w:color w:val="auto"/>
        </w:rPr>
      </w:pPr>
      <w:r>
        <w:rPr>
          <w:rFonts w:hint="eastAsia" w:hAnsi="宋体" w:cs="宋体"/>
          <w:color w:val="auto"/>
        </w:rPr>
        <w:t>13.8.4除专用合同条款另有约定外，工程竣工验收时，发包人负责向竣工验收委员会汇报并提交历次质量缺陷处理的备案资料。</w:t>
      </w:r>
    </w:p>
    <w:p w14:paraId="0785891B">
      <w:pPr>
        <w:pStyle w:val="180"/>
        <w:spacing w:before="100" w:after="100" w:line="400" w:lineRule="exact"/>
        <w:ind w:firstLine="643"/>
        <w:jc w:val="both"/>
        <w:rPr>
          <w:rFonts w:hAnsi="宋体" w:cs="宋体"/>
          <w:b/>
          <w:color w:val="auto"/>
          <w:sz w:val="32"/>
          <w:szCs w:val="32"/>
        </w:rPr>
      </w:pPr>
      <w:bookmarkStart w:id="786" w:name="_Toc270517148"/>
      <w:bookmarkStart w:id="787" w:name="_Toc195864501"/>
      <w:bookmarkStart w:id="788" w:name="_Toc368145490"/>
      <w:bookmarkStart w:id="789" w:name="_Toc245110744"/>
      <w:bookmarkStart w:id="790" w:name="_Toc436133242"/>
      <w:bookmarkStart w:id="791" w:name="_Toc371937198"/>
      <w:bookmarkStart w:id="792" w:name="_Toc255470048"/>
      <w:bookmarkStart w:id="793" w:name="_Toc449111932"/>
      <w:bookmarkStart w:id="794" w:name="_Toc458599282"/>
      <w:bookmarkStart w:id="795" w:name="_Toc208734414"/>
      <w:bookmarkStart w:id="796" w:name="_Toc219172343"/>
      <w:bookmarkStart w:id="797" w:name="_Toc5914"/>
      <w:bookmarkStart w:id="798" w:name="_Toc257202839"/>
      <w:bookmarkStart w:id="799" w:name="_Toc260649034"/>
      <w:bookmarkStart w:id="800" w:name="_Toc206830027"/>
      <w:bookmarkStart w:id="801" w:name="_Toc476231305"/>
      <w:bookmarkStart w:id="802" w:name="_Toc255470271"/>
      <w:bookmarkStart w:id="803" w:name="_Toc388633681"/>
      <w:bookmarkStart w:id="804" w:name="_Toc254774415"/>
      <w:bookmarkStart w:id="805" w:name="_Toc389226401"/>
      <w:bookmarkStart w:id="806" w:name="_Toc450123138"/>
      <w:bookmarkStart w:id="807" w:name="_Toc187846006"/>
      <w:bookmarkStart w:id="808" w:name="_Toc1185"/>
      <w:bookmarkStart w:id="809" w:name="_Toc340436799"/>
      <w:bookmarkStart w:id="810" w:name="_Toc477164666"/>
      <w:bookmarkStart w:id="811" w:name="_Toc255741935"/>
      <w:bookmarkStart w:id="812" w:name="_Toc504565806"/>
      <w:bookmarkStart w:id="813" w:name="_Toc248294427"/>
      <w:bookmarkStart w:id="814" w:name="_Toc436309951"/>
      <w:bookmarkStart w:id="815" w:name="_Toc342046320"/>
      <w:bookmarkStart w:id="816" w:name="_Toc436309599"/>
      <w:bookmarkStart w:id="817" w:name="_Toc187475846"/>
      <w:bookmarkStart w:id="818" w:name="_Toc215561214"/>
      <w:bookmarkStart w:id="819" w:name="_Toc260230306"/>
      <w:bookmarkStart w:id="820" w:name="_Toc460581184"/>
      <w:bookmarkStart w:id="821" w:name="_Toc350857433"/>
      <w:bookmarkStart w:id="822" w:name="_Toc211175338"/>
      <w:bookmarkStart w:id="823" w:name="_Toc215556196"/>
      <w:bookmarkStart w:id="824" w:name="_Toc305763060"/>
      <w:bookmarkStart w:id="825" w:name="_Toc249848956"/>
      <w:bookmarkStart w:id="826" w:name="_Toc351898551"/>
      <w:bookmarkStart w:id="827" w:name="_Toc215805057"/>
      <w:bookmarkStart w:id="828" w:name="_Toc445105541"/>
      <w:bookmarkStart w:id="829" w:name="_Toc306293170"/>
      <w:bookmarkStart w:id="830" w:name="_Toc260229979"/>
      <w:bookmarkStart w:id="831" w:name="_Toc510197616"/>
      <w:bookmarkStart w:id="832" w:name="_Toc510197478"/>
      <w:bookmarkStart w:id="833" w:name="_Toc452986506"/>
      <w:bookmarkStart w:id="834" w:name="_Toc453768104"/>
      <w:bookmarkStart w:id="835" w:name="_Toc504565693"/>
      <w:bookmarkStart w:id="836" w:name="_Toc450123372"/>
      <w:bookmarkStart w:id="837" w:name="_Toc439772705"/>
      <w:bookmarkStart w:id="838" w:name="_Toc274500902"/>
      <w:bookmarkStart w:id="839" w:name="_Toc338778046"/>
      <w:bookmarkStart w:id="840" w:name="_Toc209862336"/>
      <w:bookmarkStart w:id="841" w:name="_Toc222804530"/>
      <w:bookmarkStart w:id="842" w:name="_Toc227658504"/>
      <w:bookmarkStart w:id="843" w:name="_Toc340222909"/>
      <w:bookmarkStart w:id="844" w:name="_Toc214355677"/>
      <w:bookmarkStart w:id="845" w:name="_Toc436998792"/>
      <w:r>
        <w:rPr>
          <w:rFonts w:hint="eastAsia" w:hAnsi="宋体" w:cs="宋体"/>
          <w:b/>
          <w:color w:val="auto"/>
          <w:sz w:val="32"/>
          <w:szCs w:val="32"/>
        </w:rPr>
        <w:t>14. 试验和检验</w:t>
      </w:r>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2B4199AE">
      <w:pPr>
        <w:pStyle w:val="180"/>
        <w:spacing w:after="0" w:line="400" w:lineRule="exact"/>
        <w:ind w:firstLine="562"/>
        <w:jc w:val="both"/>
        <w:rPr>
          <w:rFonts w:hAnsi="宋体" w:cs="宋体"/>
          <w:b/>
          <w:color w:val="auto"/>
        </w:rPr>
      </w:pPr>
      <w:r>
        <w:rPr>
          <w:rFonts w:hint="eastAsia" w:hAnsi="宋体" w:cs="宋体"/>
          <w:b/>
          <w:color w:val="auto"/>
        </w:rPr>
        <w:t>14.1 材料、工程设备和工程的试验和检验</w:t>
      </w:r>
    </w:p>
    <w:p w14:paraId="16BCAEFC">
      <w:pPr>
        <w:pStyle w:val="175"/>
        <w:spacing w:after="0" w:line="400" w:lineRule="exact"/>
        <w:ind w:right="100" w:firstLine="361"/>
        <w:jc w:val="both"/>
        <w:rPr>
          <w:rFonts w:hAnsi="宋体" w:cs="宋体"/>
          <w:color w:val="auto"/>
        </w:rPr>
      </w:pPr>
      <w:r>
        <w:rPr>
          <w:rFonts w:hint="eastAsia" w:hAnsi="宋体" w:cs="宋体"/>
          <w:color w:val="auto"/>
        </w:rPr>
        <w:t>14.1.1 承包人应按合同约定进行材料、工程设备和工程的试验和检验，并为监理人对上述材料、工程设备和工程的质量检查提供必要的试验资料和原始记录。按合同约定应由监理人与承包人共同进行试验和检验的，由承包人负责提供必要的试验资料和原始记录。</w:t>
      </w:r>
    </w:p>
    <w:p w14:paraId="04ABDBE1">
      <w:pPr>
        <w:pStyle w:val="175"/>
        <w:spacing w:after="0" w:line="400" w:lineRule="exact"/>
        <w:ind w:right="100" w:firstLine="361"/>
        <w:jc w:val="both"/>
        <w:rPr>
          <w:rFonts w:hAnsi="宋体" w:cs="宋体"/>
          <w:color w:val="auto"/>
        </w:rPr>
      </w:pPr>
      <w:r>
        <w:rPr>
          <w:rFonts w:hint="eastAsia" w:hAnsi="宋体" w:cs="宋体"/>
          <w:color w:val="auto"/>
        </w:rPr>
        <w:t>14.1.2 监理人未按合同约定派员参加试验和检验的，除监理人另有指示外，承包人可自行试验和检验，并应立即将试验和检验结果报送监理人，监理人应签字确认。</w:t>
      </w:r>
    </w:p>
    <w:p w14:paraId="4C65F6EF">
      <w:pPr>
        <w:pStyle w:val="175"/>
        <w:spacing w:after="0" w:line="400" w:lineRule="exact"/>
        <w:ind w:right="100" w:firstLine="361"/>
        <w:jc w:val="both"/>
        <w:rPr>
          <w:rFonts w:hAnsi="宋体" w:cs="宋体"/>
          <w:color w:val="auto"/>
        </w:rPr>
      </w:pPr>
      <w:r>
        <w:rPr>
          <w:rFonts w:hint="eastAsia" w:hAnsi="宋体" w:cs="宋体"/>
          <w:color w:val="auto"/>
        </w:rPr>
        <w:t>14.1.3 监理人对承包人的试验和检验结果有疑问的，或为查清承包人试验和检验成果的可靠性要求承包人重新试验和检验的，可按合同约定由监理人与承包人共同进行。重新试验和检验的结果证明该项材料、工程设备或工程的质量不符合合同要求的，由此增加的费用和（或）工期延误由承包人承担；重新试验和检验结果证明该项材料、工程设备和工程符合合同要求，由发包人承担由此增加的费用和（或）工期延误，并支付承包人合理利润。</w:t>
      </w:r>
    </w:p>
    <w:p w14:paraId="13315869">
      <w:pPr>
        <w:pStyle w:val="25"/>
        <w:spacing w:line="400" w:lineRule="exact"/>
        <w:ind w:firstLine="630" w:firstLineChars="225"/>
        <w:rPr>
          <w:rFonts w:hAnsi="宋体" w:cs="宋体"/>
          <w:color w:val="auto"/>
        </w:rPr>
      </w:pPr>
      <w:r>
        <w:rPr>
          <w:rFonts w:hint="eastAsia" w:hAnsi="宋体" w:cs="宋体"/>
          <w:color w:val="auto"/>
        </w:rPr>
        <w:t>14.1.4 承包人应按相关规定和标准对水泥、钢材等原材料与中间产品质量进行检验，并报监理人复核。</w:t>
      </w:r>
    </w:p>
    <w:p w14:paraId="4094C9A3">
      <w:pPr>
        <w:pStyle w:val="25"/>
        <w:spacing w:line="400" w:lineRule="exact"/>
        <w:ind w:firstLine="630" w:firstLineChars="225"/>
        <w:rPr>
          <w:rFonts w:hAnsi="宋体" w:cs="宋体"/>
          <w:color w:val="auto"/>
        </w:rPr>
      </w:pPr>
      <w:r>
        <w:rPr>
          <w:rFonts w:hint="eastAsia" w:hAnsi="宋体" w:cs="宋体"/>
          <w:color w:val="auto"/>
        </w:rPr>
        <w:t>14.1.5  除专用合同条款另有约定外，水工金属结构、启闭机及机电产品进场后，监理人组织发包人按合同进行交货检查和验收。安装前，承包人应检查产品是否有出厂合格证、设备安装说明书及有关技术文件，对在运输和存放过程中发生的变形、受潮、损坏等问题应作好记录，并进行妥善处理。</w:t>
      </w:r>
    </w:p>
    <w:p w14:paraId="0AEA6D29">
      <w:pPr>
        <w:pStyle w:val="25"/>
        <w:spacing w:line="400" w:lineRule="exact"/>
        <w:ind w:firstLine="630" w:firstLineChars="225"/>
        <w:rPr>
          <w:rFonts w:hAnsi="宋体" w:cs="宋体"/>
          <w:color w:val="auto"/>
        </w:rPr>
      </w:pPr>
      <w:r>
        <w:rPr>
          <w:rFonts w:hint="eastAsia" w:hAnsi="宋体" w:cs="宋体"/>
          <w:color w:val="auto"/>
        </w:rPr>
        <w:t>14.1.6  对专用合同条款约定的试块、试件及有关材料，监理人实行见证取样。见证取样资料由承包人制备，记录应真实齐全，监理人、承包人等参与见证取样人员均应在相关文件上签字。</w:t>
      </w:r>
    </w:p>
    <w:p w14:paraId="04FC69E2">
      <w:pPr>
        <w:pStyle w:val="180"/>
        <w:spacing w:after="0" w:line="400" w:lineRule="exact"/>
        <w:ind w:firstLine="562"/>
        <w:jc w:val="both"/>
        <w:rPr>
          <w:rFonts w:hAnsi="宋体" w:cs="宋体"/>
          <w:b/>
          <w:color w:val="auto"/>
        </w:rPr>
      </w:pPr>
      <w:r>
        <w:rPr>
          <w:rFonts w:hint="eastAsia" w:hAnsi="宋体" w:cs="宋体"/>
          <w:b/>
          <w:color w:val="auto"/>
        </w:rPr>
        <w:t>14.2 现场材料试验</w:t>
      </w:r>
    </w:p>
    <w:p w14:paraId="4A3020C9">
      <w:pPr>
        <w:pStyle w:val="175"/>
        <w:spacing w:after="0" w:line="400" w:lineRule="exact"/>
        <w:ind w:right="100" w:firstLine="361"/>
        <w:jc w:val="both"/>
        <w:rPr>
          <w:rFonts w:hAnsi="宋体" w:cs="宋体"/>
          <w:color w:val="auto"/>
        </w:rPr>
      </w:pPr>
      <w:r>
        <w:rPr>
          <w:rFonts w:hint="eastAsia" w:hAnsi="宋体" w:cs="宋体"/>
          <w:color w:val="auto"/>
        </w:rPr>
        <w:t>14.2.1 承包人根据合同约定或监理人指示进行的现场材料试验，应由承包人提供试验场所、试验人员、试验设备器材以及其他必要的试验条件。</w:t>
      </w:r>
    </w:p>
    <w:p w14:paraId="67BB22A5">
      <w:pPr>
        <w:pStyle w:val="175"/>
        <w:spacing w:after="0" w:line="400" w:lineRule="exact"/>
        <w:ind w:right="100" w:firstLine="361"/>
        <w:jc w:val="both"/>
        <w:rPr>
          <w:rFonts w:hAnsi="宋体" w:cs="宋体"/>
          <w:color w:val="auto"/>
        </w:rPr>
      </w:pPr>
      <w:r>
        <w:rPr>
          <w:rFonts w:hint="eastAsia" w:hAnsi="宋体" w:cs="宋体"/>
          <w:color w:val="auto"/>
        </w:rPr>
        <w:t>14.2.2 监理人在必要时可以使用承包人的试验场所、试验设备器材以及其他试验条件，进行以工程质量检查为目的的复核性材料试验，承包人应予以协助。</w:t>
      </w:r>
    </w:p>
    <w:p w14:paraId="5BC9AAB2">
      <w:pPr>
        <w:pStyle w:val="180"/>
        <w:spacing w:after="0" w:line="400" w:lineRule="exact"/>
        <w:ind w:firstLine="562"/>
        <w:jc w:val="both"/>
        <w:rPr>
          <w:rFonts w:hAnsi="宋体" w:cs="宋体"/>
          <w:b/>
          <w:color w:val="auto"/>
        </w:rPr>
      </w:pPr>
      <w:r>
        <w:rPr>
          <w:rFonts w:hint="eastAsia" w:hAnsi="宋体" w:cs="宋体"/>
          <w:b/>
          <w:color w:val="auto"/>
        </w:rPr>
        <w:t>14.3 现场工艺试验</w:t>
      </w:r>
    </w:p>
    <w:p w14:paraId="2160F98F">
      <w:pPr>
        <w:pStyle w:val="175"/>
        <w:spacing w:after="0" w:line="400" w:lineRule="exact"/>
        <w:ind w:right="100" w:firstLine="361"/>
        <w:jc w:val="both"/>
        <w:rPr>
          <w:rFonts w:hAnsi="宋体" w:cs="宋体"/>
          <w:color w:val="auto"/>
        </w:rPr>
      </w:pPr>
      <w:r>
        <w:rPr>
          <w:rFonts w:hint="eastAsia" w:hAnsi="宋体" w:cs="宋体"/>
          <w:color w:val="auto"/>
        </w:rPr>
        <w:t>承包人应按合同约定或监理人指示进行现场工艺试验。对大型的现场工艺试验，监理人认为必要时，应由承包人根据监理人提出的工艺试验要求，编制工艺试验措施计划，报送监理人审批。</w:t>
      </w:r>
    </w:p>
    <w:p w14:paraId="7CA2DB1C">
      <w:pPr>
        <w:pStyle w:val="180"/>
        <w:spacing w:before="100" w:after="100" w:line="400" w:lineRule="exact"/>
        <w:ind w:firstLine="643"/>
        <w:jc w:val="both"/>
        <w:rPr>
          <w:rFonts w:hAnsi="宋体" w:cs="宋体"/>
          <w:b/>
          <w:color w:val="auto"/>
          <w:sz w:val="32"/>
          <w:szCs w:val="32"/>
        </w:rPr>
      </w:pPr>
      <w:bookmarkStart w:id="846" w:name="_Toc371937199"/>
      <w:bookmarkStart w:id="847" w:name="_Toc458599283"/>
      <w:bookmarkStart w:id="848" w:name="_Toc209862337"/>
      <w:bookmarkStart w:id="849" w:name="_Toc340222910"/>
      <w:bookmarkStart w:id="850" w:name="_Toc270517149"/>
      <w:bookmarkStart w:id="851" w:name="_Toc255470272"/>
      <w:bookmarkStart w:id="852" w:name="_Toc351898552"/>
      <w:bookmarkStart w:id="853" w:name="_Toc452986507"/>
      <w:bookmarkStart w:id="854" w:name="_Toc436133243"/>
      <w:bookmarkStart w:id="855" w:name="_Toc215561215"/>
      <w:bookmarkStart w:id="856" w:name="_Toc460581185"/>
      <w:bookmarkStart w:id="857" w:name="_Toc1304"/>
      <w:bookmarkStart w:id="858" w:name="_Toc227658505"/>
      <w:bookmarkStart w:id="859" w:name="_Toc222804531"/>
      <w:bookmarkStart w:id="860" w:name="_Toc504565694"/>
      <w:bookmarkStart w:id="861" w:name="_Toc257202840"/>
      <w:bookmarkStart w:id="862" w:name="_Toc255470049"/>
      <w:bookmarkStart w:id="863" w:name="_Toc187846007"/>
      <w:bookmarkStart w:id="864" w:name="_Toc436309952"/>
      <w:bookmarkStart w:id="865" w:name="_Toc254774416"/>
      <w:bookmarkStart w:id="866" w:name="_Toc274500903"/>
      <w:bookmarkStart w:id="867" w:name="_Toc260229980"/>
      <w:bookmarkStart w:id="868" w:name="_Toc249848957"/>
      <w:bookmarkStart w:id="869" w:name="_Toc477164667"/>
      <w:bookmarkStart w:id="870" w:name="_Toc450123139"/>
      <w:bookmarkStart w:id="871" w:name="_Toc219172344"/>
      <w:bookmarkStart w:id="872" w:name="_Toc215556197"/>
      <w:bookmarkStart w:id="873" w:name="_Toc214355678"/>
      <w:bookmarkStart w:id="874" w:name="_Toc245110745"/>
      <w:bookmarkStart w:id="875" w:name="_Toc476231306"/>
      <w:bookmarkStart w:id="876" w:name="_Toc208734415"/>
      <w:bookmarkStart w:id="877" w:name="_Toc510197479"/>
      <w:bookmarkStart w:id="878" w:name="_Toc368145491"/>
      <w:bookmarkStart w:id="879" w:name="_Toc260230307"/>
      <w:bookmarkStart w:id="880" w:name="_Toc340436800"/>
      <w:bookmarkStart w:id="881" w:name="_Toc436309600"/>
      <w:bookmarkStart w:id="882" w:name="_Toc439772706"/>
      <w:bookmarkStart w:id="883" w:name="_Toc449111933"/>
      <w:bookmarkStart w:id="884" w:name="_Toc445105542"/>
      <w:bookmarkStart w:id="885" w:name="_Toc187475847"/>
      <w:bookmarkStart w:id="886" w:name="_Toc248294428"/>
      <w:bookmarkStart w:id="887" w:name="_Toc350857434"/>
      <w:bookmarkStart w:id="888" w:name="_Toc450123373"/>
      <w:bookmarkStart w:id="889" w:name="_Toc504565807"/>
      <w:bookmarkStart w:id="890" w:name="_Toc211175339"/>
      <w:bookmarkStart w:id="891" w:name="_Toc306293171"/>
      <w:bookmarkStart w:id="892" w:name="_Toc30928"/>
      <w:bookmarkStart w:id="893" w:name="_Toc305763061"/>
      <w:bookmarkStart w:id="894" w:name="_Toc206830028"/>
      <w:bookmarkStart w:id="895" w:name="_Toc342046321"/>
      <w:bookmarkStart w:id="896" w:name="_Toc260649035"/>
      <w:bookmarkStart w:id="897" w:name="_Toc338778047"/>
      <w:bookmarkStart w:id="898" w:name="_Toc389226402"/>
      <w:bookmarkStart w:id="899" w:name="_Toc388633682"/>
      <w:bookmarkStart w:id="900" w:name="_Toc255741936"/>
      <w:bookmarkStart w:id="901" w:name="_Toc215805058"/>
      <w:bookmarkStart w:id="902" w:name="_Toc436998793"/>
      <w:bookmarkStart w:id="903" w:name="_Toc453768105"/>
      <w:bookmarkStart w:id="904" w:name="_Toc195864502"/>
      <w:bookmarkStart w:id="905" w:name="_Toc510197617"/>
      <w:r>
        <w:rPr>
          <w:rFonts w:hint="eastAsia" w:hAnsi="宋体" w:cs="宋体"/>
          <w:b/>
          <w:color w:val="auto"/>
          <w:sz w:val="32"/>
          <w:szCs w:val="32"/>
        </w:rPr>
        <w:t>15. 变更</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p>
    <w:p w14:paraId="058B911C">
      <w:pPr>
        <w:pStyle w:val="180"/>
        <w:spacing w:after="0" w:line="400" w:lineRule="exact"/>
        <w:ind w:firstLine="562"/>
        <w:jc w:val="both"/>
        <w:rPr>
          <w:rFonts w:hAnsi="宋体" w:cs="宋体"/>
          <w:b/>
          <w:color w:val="auto"/>
        </w:rPr>
      </w:pPr>
      <w:r>
        <w:rPr>
          <w:rFonts w:hint="eastAsia" w:hAnsi="宋体" w:cs="宋体"/>
          <w:b/>
          <w:color w:val="auto"/>
        </w:rPr>
        <w:t>15.1 变更的范围和内容</w:t>
      </w:r>
    </w:p>
    <w:p w14:paraId="021A61F3">
      <w:pPr>
        <w:pStyle w:val="175"/>
        <w:spacing w:after="0" w:line="400" w:lineRule="exact"/>
        <w:ind w:right="100" w:firstLine="361"/>
        <w:jc w:val="both"/>
        <w:rPr>
          <w:rFonts w:hAnsi="宋体" w:cs="宋体"/>
          <w:color w:val="auto"/>
        </w:rPr>
      </w:pPr>
      <w:r>
        <w:rPr>
          <w:rFonts w:hint="eastAsia" w:hAnsi="宋体" w:cs="宋体"/>
          <w:color w:val="auto"/>
        </w:rPr>
        <w:t>在履行合同中发生以下情形之一，应按照本款规定进行变更。</w:t>
      </w:r>
    </w:p>
    <w:p w14:paraId="785576A0">
      <w:pPr>
        <w:pStyle w:val="175"/>
        <w:spacing w:after="0" w:line="400" w:lineRule="exact"/>
        <w:ind w:right="100" w:firstLine="361"/>
        <w:jc w:val="both"/>
        <w:rPr>
          <w:rFonts w:hAnsi="宋体" w:cs="宋体"/>
          <w:color w:val="auto"/>
        </w:rPr>
      </w:pPr>
      <w:r>
        <w:rPr>
          <w:rFonts w:hint="eastAsia" w:hAnsi="宋体" w:cs="宋体"/>
          <w:color w:val="auto"/>
        </w:rPr>
        <w:t>（1）取消合同中任何一项工作，但被取消的工作不能转由发包人或其他人实施；</w:t>
      </w:r>
    </w:p>
    <w:p w14:paraId="567D7D1A">
      <w:pPr>
        <w:pStyle w:val="175"/>
        <w:spacing w:after="0" w:line="400" w:lineRule="exact"/>
        <w:ind w:right="100" w:firstLine="361"/>
        <w:jc w:val="both"/>
        <w:rPr>
          <w:rFonts w:hAnsi="宋体" w:cs="宋体"/>
          <w:color w:val="auto"/>
        </w:rPr>
      </w:pPr>
      <w:r>
        <w:rPr>
          <w:rFonts w:hint="eastAsia" w:hAnsi="宋体" w:cs="宋体"/>
          <w:color w:val="auto"/>
        </w:rPr>
        <w:t>（2）改变合同中任何一项工作的质量或其他特性；</w:t>
      </w:r>
    </w:p>
    <w:p w14:paraId="19A242DE">
      <w:pPr>
        <w:pStyle w:val="175"/>
        <w:spacing w:after="0" w:line="400" w:lineRule="exact"/>
        <w:ind w:right="100" w:firstLine="361"/>
        <w:jc w:val="both"/>
        <w:rPr>
          <w:rFonts w:hAnsi="宋体" w:cs="宋体"/>
          <w:color w:val="auto"/>
        </w:rPr>
      </w:pPr>
      <w:r>
        <w:rPr>
          <w:rFonts w:hint="eastAsia" w:hAnsi="宋体" w:cs="宋体"/>
          <w:color w:val="auto"/>
        </w:rPr>
        <w:t>（3）改变合同工程的基线、标高、位置或尺寸；</w:t>
      </w:r>
    </w:p>
    <w:p w14:paraId="385CCD1A">
      <w:pPr>
        <w:pStyle w:val="175"/>
        <w:spacing w:after="0" w:line="400" w:lineRule="exact"/>
        <w:ind w:right="100" w:firstLine="361"/>
        <w:jc w:val="both"/>
        <w:rPr>
          <w:rFonts w:hAnsi="宋体" w:cs="宋体"/>
          <w:color w:val="auto"/>
        </w:rPr>
      </w:pPr>
      <w:r>
        <w:rPr>
          <w:rFonts w:hint="eastAsia" w:hAnsi="宋体" w:cs="宋体"/>
          <w:color w:val="auto"/>
        </w:rPr>
        <w:t>（4）改变合同中任何一项工作的施工时间或改变已批准的施工工艺或顺序；</w:t>
      </w:r>
    </w:p>
    <w:p w14:paraId="71418AC2">
      <w:pPr>
        <w:pStyle w:val="175"/>
        <w:spacing w:after="0" w:line="400" w:lineRule="exact"/>
        <w:ind w:right="100" w:firstLine="361"/>
        <w:jc w:val="both"/>
        <w:rPr>
          <w:rFonts w:hAnsi="宋体" w:cs="宋体"/>
          <w:color w:val="auto"/>
        </w:rPr>
      </w:pPr>
      <w:r>
        <w:rPr>
          <w:rFonts w:hint="eastAsia" w:hAnsi="宋体" w:cs="宋体"/>
          <w:color w:val="auto"/>
        </w:rPr>
        <w:t>（5）为完成工程需要追加的额外工作；</w:t>
      </w:r>
    </w:p>
    <w:p w14:paraId="250219BB">
      <w:pPr>
        <w:pStyle w:val="175"/>
        <w:spacing w:after="0" w:line="400" w:lineRule="exact"/>
        <w:ind w:right="100" w:firstLine="361"/>
        <w:jc w:val="both"/>
        <w:rPr>
          <w:rFonts w:hAnsi="宋体" w:cs="宋体"/>
          <w:color w:val="auto"/>
        </w:rPr>
      </w:pPr>
      <w:r>
        <w:rPr>
          <w:rFonts w:hint="eastAsia" w:hAnsi="宋体" w:cs="宋体"/>
          <w:color w:val="auto"/>
        </w:rPr>
        <w:t>（6）增加或减少专用合同条款中约定的关键项目工程量超过其工程总量的一定数量百分比。</w:t>
      </w:r>
    </w:p>
    <w:p w14:paraId="4D6E36A0">
      <w:pPr>
        <w:pStyle w:val="87"/>
        <w:spacing w:line="400" w:lineRule="exact"/>
        <w:ind w:firstLine="540" w:firstLineChars="225"/>
        <w:rPr>
          <w:rFonts w:hAnsi="宋体"/>
          <w:color w:val="auto"/>
        </w:rPr>
      </w:pPr>
      <w:r>
        <w:rPr>
          <w:rFonts w:hint="eastAsia" w:hAnsi="宋体"/>
          <w:color w:val="auto"/>
        </w:rPr>
        <w:t>上述第(1)～(6)目的变更内容引起工程施工组织和进度计划发生实质性变动和影响其原定的价格时，才予调整该项目的单价。第(6)目情形下单价调整方式在专用合同条款中约定。</w:t>
      </w:r>
    </w:p>
    <w:p w14:paraId="562C4984">
      <w:pPr>
        <w:pStyle w:val="180"/>
        <w:spacing w:after="0" w:line="400" w:lineRule="exact"/>
        <w:ind w:firstLine="562"/>
        <w:jc w:val="both"/>
        <w:rPr>
          <w:rFonts w:hAnsi="宋体" w:cs="宋体"/>
          <w:b/>
          <w:color w:val="auto"/>
        </w:rPr>
      </w:pPr>
      <w:r>
        <w:rPr>
          <w:rFonts w:hint="eastAsia" w:hAnsi="宋体" w:cs="宋体"/>
          <w:b/>
          <w:color w:val="auto"/>
        </w:rPr>
        <w:t>15.2 变更权</w:t>
      </w:r>
    </w:p>
    <w:p w14:paraId="734B4CDB">
      <w:pPr>
        <w:pStyle w:val="175"/>
        <w:spacing w:after="0" w:line="400" w:lineRule="exact"/>
        <w:ind w:right="100" w:firstLine="361"/>
        <w:jc w:val="both"/>
        <w:rPr>
          <w:rFonts w:hAnsi="宋体" w:cs="宋体"/>
          <w:color w:val="auto"/>
        </w:rPr>
      </w:pPr>
      <w:r>
        <w:rPr>
          <w:rFonts w:hint="eastAsia" w:hAnsi="宋体" w:cs="宋体"/>
          <w:color w:val="auto"/>
        </w:rPr>
        <w:t>在履行合同过程中，经发包人同意，监理人可按第15.3 款约定的变更程序向承包人作出变更指示，承包人应遵照执行。没有监理人的变更指示，承包人不得擅自变更。</w:t>
      </w:r>
    </w:p>
    <w:p w14:paraId="24580253">
      <w:pPr>
        <w:pStyle w:val="180"/>
        <w:spacing w:after="0" w:line="400" w:lineRule="exact"/>
        <w:ind w:firstLine="562"/>
        <w:jc w:val="both"/>
        <w:rPr>
          <w:rFonts w:hAnsi="宋体" w:cs="宋体"/>
          <w:b/>
          <w:color w:val="auto"/>
        </w:rPr>
      </w:pPr>
      <w:r>
        <w:rPr>
          <w:rFonts w:hint="eastAsia" w:hAnsi="宋体" w:cs="宋体"/>
          <w:b/>
          <w:color w:val="auto"/>
        </w:rPr>
        <w:t>15.3 变更程序</w:t>
      </w:r>
    </w:p>
    <w:p w14:paraId="5960B1B7">
      <w:pPr>
        <w:pStyle w:val="175"/>
        <w:spacing w:after="0" w:line="400" w:lineRule="exact"/>
        <w:ind w:right="100" w:firstLine="360"/>
        <w:jc w:val="both"/>
        <w:rPr>
          <w:rFonts w:hAnsi="宋体" w:cs="宋体"/>
          <w:b/>
          <w:color w:val="auto"/>
        </w:rPr>
      </w:pPr>
      <w:r>
        <w:rPr>
          <w:rFonts w:hint="eastAsia" w:hAnsi="宋体" w:cs="宋体"/>
          <w:b/>
          <w:color w:val="auto"/>
        </w:rPr>
        <w:t>15.3.1 变更的提出</w:t>
      </w:r>
    </w:p>
    <w:p w14:paraId="7C7CDD22">
      <w:pPr>
        <w:pStyle w:val="175"/>
        <w:spacing w:after="0" w:line="400" w:lineRule="exact"/>
        <w:ind w:right="100" w:firstLine="361"/>
        <w:jc w:val="both"/>
        <w:rPr>
          <w:rFonts w:hAnsi="宋体" w:cs="宋体"/>
          <w:color w:val="auto"/>
        </w:rPr>
      </w:pPr>
      <w:r>
        <w:rPr>
          <w:rFonts w:hint="eastAsia" w:hAnsi="宋体" w:cs="宋体"/>
          <w:color w:val="auto"/>
        </w:rPr>
        <w:t>（1）在合同履行过程中，可能发生第15.1 款约定情形的，监理人可向承包人发出变更意向书。变更意向书应说明变更的具体内容和发包人对变更的时间要求，并附必要的图纸和相关资料。变更意向书应要求承包人提交包括拟实施变更工作的计划、措施和竣工时间等内容的实施方案。发包人同意承包人根据变更意向书要求提交的变更实施方案的，由监理人按第15.3.3 项约定发出变更指示。</w:t>
      </w:r>
    </w:p>
    <w:p w14:paraId="3F5F8B71">
      <w:pPr>
        <w:pStyle w:val="175"/>
        <w:spacing w:after="0" w:line="400" w:lineRule="exact"/>
        <w:ind w:right="100" w:firstLine="361"/>
        <w:jc w:val="both"/>
        <w:rPr>
          <w:rFonts w:hAnsi="宋体" w:cs="宋体"/>
          <w:color w:val="auto"/>
        </w:rPr>
      </w:pPr>
      <w:r>
        <w:rPr>
          <w:rFonts w:hint="eastAsia" w:hAnsi="宋体" w:cs="宋体"/>
          <w:color w:val="auto"/>
        </w:rPr>
        <w:t>（2）在合同履行过程中，发生第15.1 款约定情形的，监理人应按照第15.3.3 项约定向承包人发出变更指示。</w:t>
      </w:r>
    </w:p>
    <w:p w14:paraId="6B10F4E0">
      <w:pPr>
        <w:pStyle w:val="175"/>
        <w:spacing w:after="0" w:line="400" w:lineRule="exact"/>
        <w:ind w:right="100" w:firstLine="361"/>
        <w:jc w:val="both"/>
        <w:rPr>
          <w:rFonts w:hAnsi="宋体" w:cs="宋体"/>
          <w:color w:val="auto"/>
        </w:rPr>
      </w:pPr>
      <w:r>
        <w:rPr>
          <w:rFonts w:hint="eastAsia" w:hAnsi="宋体" w:cs="宋体"/>
          <w:color w:val="auto"/>
        </w:rPr>
        <w:t>（3）承包人收到监理人按合同约定发出的图纸和文件，经检查认为其中存在第15.1 款约定情形的，可向监理人提出书面变更建议。变更建议应阐明要求变更的依据，并附必要的图纸和说明。监理人收到承包人书面建议后，应与发包人共同研究，确认存在变更的，应在收到承包人书面建议后的14 天内作出变更指示。经研究后不同意作为变更的，应由监理人书面答复承包人。</w:t>
      </w:r>
    </w:p>
    <w:p w14:paraId="1E39ACEE">
      <w:pPr>
        <w:pStyle w:val="175"/>
        <w:spacing w:after="0" w:line="400" w:lineRule="exact"/>
        <w:ind w:right="100" w:firstLine="361"/>
        <w:jc w:val="both"/>
        <w:rPr>
          <w:rFonts w:hAnsi="宋体" w:cs="宋体"/>
          <w:color w:val="auto"/>
        </w:rPr>
      </w:pPr>
      <w:r>
        <w:rPr>
          <w:rFonts w:hint="eastAsia" w:hAnsi="宋体" w:cs="宋体"/>
          <w:color w:val="auto"/>
        </w:rPr>
        <w:t>（4）若承包人收到监理人的变更意向书后认为难以实施此项变更，应立即通知监理人，说明原因并附详细依据。监理人与承包人和发包人协商后确定撤销、改变或不改变原变更意向书。</w:t>
      </w:r>
    </w:p>
    <w:p w14:paraId="354FF74A">
      <w:pPr>
        <w:pStyle w:val="175"/>
        <w:spacing w:after="0" w:line="400" w:lineRule="exact"/>
        <w:ind w:right="100" w:firstLine="360"/>
        <w:jc w:val="both"/>
        <w:rPr>
          <w:rFonts w:hAnsi="宋体" w:cs="宋体"/>
          <w:b/>
          <w:color w:val="auto"/>
        </w:rPr>
      </w:pPr>
      <w:r>
        <w:rPr>
          <w:rFonts w:hint="eastAsia" w:hAnsi="宋体" w:cs="宋体"/>
          <w:b/>
          <w:color w:val="auto"/>
        </w:rPr>
        <w:t>15.3.2 变更估价</w:t>
      </w:r>
    </w:p>
    <w:p w14:paraId="46048FC7">
      <w:pPr>
        <w:pStyle w:val="175"/>
        <w:spacing w:after="0" w:line="400" w:lineRule="exact"/>
        <w:ind w:right="100" w:firstLine="361"/>
        <w:jc w:val="both"/>
        <w:rPr>
          <w:rFonts w:hAnsi="宋体" w:cs="宋体"/>
          <w:color w:val="auto"/>
        </w:rPr>
      </w:pPr>
      <w:r>
        <w:rPr>
          <w:rFonts w:hint="eastAsia" w:hAnsi="宋体" w:cs="宋体"/>
          <w:color w:val="auto"/>
        </w:rPr>
        <w:t>（1）除专用合同条款对期限另有约定外，承包人应在收到变更指示或变更意向书后的14 天内，向监理人提交变更报价书，报价内容应根据第15.4 款约定的估价原则，详细开列变更工作的价格组成及其依据，并附必要的施工方法说明和有关图纸。</w:t>
      </w:r>
    </w:p>
    <w:p w14:paraId="341228A4">
      <w:pPr>
        <w:pStyle w:val="175"/>
        <w:spacing w:after="0" w:line="400" w:lineRule="exact"/>
        <w:ind w:right="100" w:firstLine="361"/>
        <w:jc w:val="both"/>
        <w:rPr>
          <w:rFonts w:hAnsi="宋体" w:cs="宋体"/>
          <w:color w:val="auto"/>
        </w:rPr>
      </w:pPr>
      <w:r>
        <w:rPr>
          <w:rFonts w:hint="eastAsia" w:hAnsi="宋体" w:cs="宋体"/>
          <w:color w:val="auto"/>
        </w:rPr>
        <w:t>（2）变更工作影响工期的，承包人应提出调整工期的具体细节。监理人认为有必要时，可要求承包人提交要求提前或延长工期的施工进度计划及相应施工措施等详细资料。</w:t>
      </w:r>
    </w:p>
    <w:p w14:paraId="7849ECAE">
      <w:pPr>
        <w:pStyle w:val="175"/>
        <w:spacing w:after="0" w:line="400" w:lineRule="exact"/>
        <w:ind w:right="100" w:firstLine="361"/>
        <w:jc w:val="both"/>
        <w:rPr>
          <w:rFonts w:hAnsi="宋体" w:cs="宋体"/>
          <w:color w:val="auto"/>
        </w:rPr>
      </w:pPr>
      <w:r>
        <w:rPr>
          <w:rFonts w:hint="eastAsia" w:hAnsi="宋体" w:cs="宋体"/>
          <w:color w:val="auto"/>
        </w:rPr>
        <w:t>（3）除专用合同条款对期限另有约定外，监理人收到承包人变更报价书后的14 天内，根据第15.4 款约定的估价原则，按照第3.5 款商定或确定变更价格。</w:t>
      </w:r>
    </w:p>
    <w:p w14:paraId="71CB5A95">
      <w:pPr>
        <w:pStyle w:val="175"/>
        <w:spacing w:after="0" w:line="400" w:lineRule="exact"/>
        <w:ind w:right="100" w:firstLine="360"/>
        <w:jc w:val="both"/>
        <w:rPr>
          <w:rFonts w:hAnsi="宋体" w:cs="宋体"/>
          <w:b/>
          <w:color w:val="auto"/>
        </w:rPr>
      </w:pPr>
      <w:r>
        <w:rPr>
          <w:rFonts w:hint="eastAsia" w:hAnsi="宋体" w:cs="宋体"/>
          <w:b/>
          <w:color w:val="auto"/>
        </w:rPr>
        <w:t>15.3.3 变更指示</w:t>
      </w:r>
    </w:p>
    <w:p w14:paraId="66950126">
      <w:pPr>
        <w:pStyle w:val="175"/>
        <w:spacing w:after="0" w:line="400" w:lineRule="exact"/>
        <w:ind w:right="100" w:firstLine="361"/>
        <w:jc w:val="both"/>
        <w:rPr>
          <w:rFonts w:hAnsi="宋体" w:cs="宋体"/>
          <w:color w:val="auto"/>
        </w:rPr>
      </w:pPr>
      <w:r>
        <w:rPr>
          <w:rFonts w:hint="eastAsia" w:hAnsi="宋体" w:cs="宋体"/>
          <w:color w:val="auto"/>
        </w:rPr>
        <w:t>（1）变更指示只能由监理人发出。</w:t>
      </w:r>
    </w:p>
    <w:p w14:paraId="59B9657F">
      <w:pPr>
        <w:pStyle w:val="175"/>
        <w:spacing w:after="0" w:line="400" w:lineRule="exact"/>
        <w:ind w:right="100" w:firstLine="361"/>
        <w:jc w:val="both"/>
        <w:rPr>
          <w:rFonts w:hAnsi="宋体" w:cs="宋体"/>
          <w:color w:val="auto"/>
        </w:rPr>
      </w:pPr>
      <w:r>
        <w:rPr>
          <w:rFonts w:hint="eastAsia" w:hAnsi="宋体" w:cs="宋体"/>
          <w:color w:val="auto"/>
        </w:rPr>
        <w:t>（2）变更指示应说明变更的目的、范围、变更内容以及变更的工程量及其进度和技术要求，并附有关图纸和文件。承包人收到变更指示后，应按变更指示进行变更工作。</w:t>
      </w:r>
    </w:p>
    <w:p w14:paraId="1B5309A5">
      <w:pPr>
        <w:pStyle w:val="180"/>
        <w:spacing w:after="0" w:line="400" w:lineRule="exact"/>
        <w:ind w:firstLine="562"/>
        <w:jc w:val="both"/>
        <w:rPr>
          <w:rFonts w:hAnsi="宋体" w:cs="宋体"/>
          <w:b/>
          <w:color w:val="auto"/>
        </w:rPr>
      </w:pPr>
      <w:r>
        <w:rPr>
          <w:rFonts w:hint="eastAsia" w:hAnsi="宋体" w:cs="宋体"/>
          <w:b/>
          <w:color w:val="auto"/>
        </w:rPr>
        <w:t>15.4 变更的估价原则</w:t>
      </w:r>
    </w:p>
    <w:p w14:paraId="364B0945">
      <w:pPr>
        <w:pStyle w:val="175"/>
        <w:spacing w:after="0" w:line="400" w:lineRule="exact"/>
        <w:ind w:right="100" w:firstLine="361"/>
        <w:jc w:val="both"/>
        <w:rPr>
          <w:rFonts w:hAnsi="宋体" w:cs="宋体"/>
          <w:color w:val="auto"/>
        </w:rPr>
      </w:pPr>
      <w:r>
        <w:rPr>
          <w:rFonts w:hint="eastAsia" w:hAnsi="宋体" w:cs="宋体"/>
          <w:color w:val="auto"/>
        </w:rPr>
        <w:t>除专用合同条款另有约定外，因变更引起的价格调整按照本款约定处理。</w:t>
      </w:r>
    </w:p>
    <w:p w14:paraId="50E6BFB0">
      <w:pPr>
        <w:pStyle w:val="175"/>
        <w:spacing w:after="0" w:line="400" w:lineRule="exact"/>
        <w:ind w:right="100" w:firstLine="361"/>
        <w:jc w:val="both"/>
        <w:rPr>
          <w:rFonts w:hAnsi="宋体" w:cs="宋体"/>
          <w:color w:val="auto"/>
        </w:rPr>
      </w:pPr>
      <w:r>
        <w:rPr>
          <w:rFonts w:hint="eastAsia" w:hAnsi="宋体" w:cs="宋体"/>
          <w:color w:val="auto"/>
        </w:rPr>
        <w:t>15.4.1工程量清单中有适用于变更工作的子目的，采用该子目的单价。</w:t>
      </w:r>
    </w:p>
    <w:p w14:paraId="5DCD8BA9">
      <w:pPr>
        <w:pStyle w:val="175"/>
        <w:spacing w:after="0" w:line="400" w:lineRule="exact"/>
        <w:ind w:right="100" w:firstLine="361"/>
        <w:jc w:val="both"/>
        <w:rPr>
          <w:rFonts w:hAnsi="宋体" w:cs="宋体"/>
          <w:color w:val="auto"/>
        </w:rPr>
      </w:pPr>
      <w:r>
        <w:rPr>
          <w:rFonts w:hint="eastAsia" w:hAnsi="宋体" w:cs="宋体"/>
          <w:color w:val="auto"/>
        </w:rPr>
        <w:t>15.4.2工程量清单中无适用于变更工作的子目，但有类似子目的，可在合理范围内参照类似子目的单价，由监理人按第3.5 款商定或确定变更工作的单价。</w:t>
      </w:r>
    </w:p>
    <w:p w14:paraId="62EAC047">
      <w:pPr>
        <w:pStyle w:val="175"/>
        <w:spacing w:after="0" w:line="400" w:lineRule="exact"/>
        <w:ind w:right="100" w:firstLine="361"/>
        <w:jc w:val="both"/>
        <w:rPr>
          <w:rFonts w:hAnsi="宋体" w:cs="宋体"/>
          <w:color w:val="auto"/>
        </w:rPr>
      </w:pPr>
      <w:r>
        <w:rPr>
          <w:rFonts w:hint="eastAsia" w:hAnsi="宋体" w:cs="宋体"/>
          <w:color w:val="auto"/>
        </w:rPr>
        <w:t>15.4.3工程量清单中无适用或类似子目的单价，可按照成本加利润的原则，由监理人按第3.5 款商定或确定变更工作的单价。</w:t>
      </w:r>
    </w:p>
    <w:p w14:paraId="6B16A685">
      <w:pPr>
        <w:pStyle w:val="180"/>
        <w:spacing w:after="0" w:line="400" w:lineRule="exact"/>
        <w:ind w:firstLine="562"/>
        <w:jc w:val="both"/>
        <w:rPr>
          <w:rFonts w:hAnsi="宋体" w:cs="宋体"/>
          <w:b/>
          <w:color w:val="auto"/>
        </w:rPr>
      </w:pPr>
      <w:r>
        <w:rPr>
          <w:rFonts w:hint="eastAsia" w:hAnsi="宋体" w:cs="宋体"/>
          <w:b/>
          <w:color w:val="auto"/>
        </w:rPr>
        <w:t>15.5 承包人的合理化建议</w:t>
      </w:r>
    </w:p>
    <w:p w14:paraId="66B26FFD">
      <w:pPr>
        <w:pStyle w:val="175"/>
        <w:spacing w:after="0" w:line="400" w:lineRule="exact"/>
        <w:ind w:right="100" w:firstLine="361"/>
        <w:jc w:val="both"/>
        <w:rPr>
          <w:rFonts w:hAnsi="宋体" w:cs="宋体"/>
          <w:color w:val="auto"/>
        </w:rPr>
      </w:pPr>
      <w:r>
        <w:rPr>
          <w:rFonts w:hint="eastAsia" w:hAnsi="宋体" w:cs="宋体"/>
          <w:color w:val="auto"/>
        </w:rPr>
        <w:t>15.5.1 在履行合同过程中，承包人对发包人提供的图纸、技术要求以及其他方面提出的合理化建议，均应以书面形式提交监理人。合理化建议书的内容应包括建议工作的详细说明、进度计划和效益以及与其他工作的协调等，并附必要的设计文件。监理人应与发包人协商是否采纳建议。建议被采纳并构成变更的，应按第15.3.3 项约定向承包人发出变更指示。</w:t>
      </w:r>
    </w:p>
    <w:p w14:paraId="74901B08">
      <w:pPr>
        <w:pStyle w:val="175"/>
        <w:spacing w:after="0" w:line="400" w:lineRule="exact"/>
        <w:ind w:right="100" w:firstLine="361"/>
        <w:jc w:val="both"/>
        <w:rPr>
          <w:rFonts w:hAnsi="宋体" w:cs="宋体"/>
          <w:color w:val="auto"/>
        </w:rPr>
      </w:pPr>
      <w:r>
        <w:rPr>
          <w:rFonts w:hint="eastAsia" w:hAnsi="宋体" w:cs="宋体"/>
          <w:color w:val="auto"/>
        </w:rPr>
        <w:t>15.5.2 承包人提出的合理化建议降低了合同价格、缩短了工期或者提高了工程经济效益的，发包人可按国家有关规定在专用合同条款中约定给予奖励。</w:t>
      </w:r>
    </w:p>
    <w:p w14:paraId="1D9E9FC5">
      <w:pPr>
        <w:pStyle w:val="180"/>
        <w:spacing w:after="0" w:line="400" w:lineRule="exact"/>
        <w:ind w:firstLine="562"/>
        <w:jc w:val="both"/>
        <w:rPr>
          <w:rFonts w:hAnsi="宋体" w:cs="宋体"/>
          <w:b/>
          <w:color w:val="auto"/>
        </w:rPr>
      </w:pPr>
      <w:r>
        <w:rPr>
          <w:rFonts w:hint="eastAsia" w:hAnsi="宋体" w:cs="宋体"/>
          <w:b/>
          <w:color w:val="auto"/>
        </w:rPr>
        <w:t>15.6 暂列金额</w:t>
      </w:r>
    </w:p>
    <w:p w14:paraId="7D340CCB">
      <w:pPr>
        <w:pStyle w:val="175"/>
        <w:spacing w:after="0" w:line="400" w:lineRule="exact"/>
        <w:ind w:right="100" w:firstLine="361"/>
        <w:jc w:val="both"/>
        <w:rPr>
          <w:rFonts w:hAnsi="宋体" w:cs="宋体"/>
          <w:color w:val="auto"/>
        </w:rPr>
      </w:pPr>
      <w:r>
        <w:rPr>
          <w:rFonts w:hint="eastAsia" w:hAnsi="宋体" w:cs="宋体"/>
          <w:color w:val="auto"/>
        </w:rPr>
        <w:t>暂列金额只能按照监理人的指示使用，并对合同价格进行相应调整。</w:t>
      </w:r>
    </w:p>
    <w:p w14:paraId="699BD626">
      <w:pPr>
        <w:pStyle w:val="180"/>
        <w:spacing w:after="0" w:line="400" w:lineRule="exact"/>
        <w:ind w:firstLine="562"/>
        <w:jc w:val="both"/>
        <w:rPr>
          <w:rFonts w:hAnsi="宋体" w:cs="宋体"/>
          <w:b/>
          <w:color w:val="auto"/>
        </w:rPr>
      </w:pPr>
      <w:r>
        <w:rPr>
          <w:rFonts w:hint="eastAsia" w:hAnsi="宋体" w:cs="宋体"/>
          <w:b/>
          <w:color w:val="auto"/>
        </w:rPr>
        <w:t>15.7 计日工</w:t>
      </w:r>
    </w:p>
    <w:p w14:paraId="0392913D">
      <w:pPr>
        <w:pStyle w:val="175"/>
        <w:spacing w:after="0" w:line="400" w:lineRule="exact"/>
        <w:ind w:right="100" w:firstLine="361"/>
        <w:jc w:val="both"/>
        <w:rPr>
          <w:rFonts w:hAnsi="宋体" w:cs="宋体"/>
          <w:color w:val="auto"/>
        </w:rPr>
      </w:pPr>
      <w:r>
        <w:rPr>
          <w:rFonts w:hint="eastAsia" w:hAnsi="宋体" w:cs="宋体"/>
          <w:color w:val="auto"/>
        </w:rPr>
        <w:t>15.7.1 发包人认为有必要时，由监理人通知承包人以计日工方式实施变更的零星工作。其价款按列入工程量清单中的计日工计价子目及其单价进行计算。</w:t>
      </w:r>
    </w:p>
    <w:p w14:paraId="57B41529">
      <w:pPr>
        <w:pStyle w:val="175"/>
        <w:spacing w:after="0" w:line="400" w:lineRule="exact"/>
        <w:ind w:right="100" w:firstLine="361"/>
        <w:jc w:val="both"/>
        <w:rPr>
          <w:rFonts w:hAnsi="宋体" w:cs="宋体"/>
          <w:color w:val="auto"/>
        </w:rPr>
      </w:pPr>
      <w:r>
        <w:rPr>
          <w:rFonts w:hint="eastAsia" w:hAnsi="宋体" w:cs="宋体"/>
          <w:color w:val="auto"/>
        </w:rPr>
        <w:t>15.7.2 采用计日工计价的任何一项变更工作，应从暂列金额中支付，承包人应在该项变更的实施过程中，每天提交以下报表和有关凭证报送监理人审批：</w:t>
      </w:r>
    </w:p>
    <w:p w14:paraId="2783B393">
      <w:pPr>
        <w:pStyle w:val="175"/>
        <w:spacing w:after="0" w:line="400" w:lineRule="exact"/>
        <w:ind w:right="100" w:firstLine="361"/>
        <w:jc w:val="both"/>
        <w:rPr>
          <w:rFonts w:hAnsi="宋体" w:cs="宋体"/>
          <w:color w:val="auto"/>
        </w:rPr>
      </w:pPr>
      <w:r>
        <w:rPr>
          <w:rFonts w:hint="eastAsia" w:hAnsi="宋体" w:cs="宋体"/>
          <w:color w:val="auto"/>
        </w:rPr>
        <w:t>（1）工作名称、内容和数量；</w:t>
      </w:r>
    </w:p>
    <w:p w14:paraId="5797AFD3">
      <w:pPr>
        <w:pStyle w:val="175"/>
        <w:spacing w:after="0" w:line="400" w:lineRule="exact"/>
        <w:ind w:right="100" w:firstLine="361"/>
        <w:jc w:val="both"/>
        <w:rPr>
          <w:rFonts w:hAnsi="宋体" w:cs="宋体"/>
          <w:color w:val="auto"/>
        </w:rPr>
      </w:pPr>
      <w:r>
        <w:rPr>
          <w:rFonts w:hint="eastAsia" w:hAnsi="宋体" w:cs="宋体"/>
          <w:color w:val="auto"/>
        </w:rPr>
        <w:t>（2）投入该工作所有人员的姓名、工种、级别和耗用工时；</w:t>
      </w:r>
    </w:p>
    <w:p w14:paraId="6549C78E">
      <w:pPr>
        <w:pStyle w:val="175"/>
        <w:spacing w:after="0" w:line="400" w:lineRule="exact"/>
        <w:ind w:right="100" w:firstLine="361"/>
        <w:jc w:val="both"/>
        <w:rPr>
          <w:rFonts w:hAnsi="宋体" w:cs="宋体"/>
          <w:color w:val="auto"/>
        </w:rPr>
      </w:pPr>
      <w:r>
        <w:rPr>
          <w:rFonts w:hint="eastAsia" w:hAnsi="宋体" w:cs="宋体"/>
          <w:color w:val="auto"/>
        </w:rPr>
        <w:t>（3）投入该工作的材料类别和数量；</w:t>
      </w:r>
    </w:p>
    <w:p w14:paraId="6E6A6E1B">
      <w:pPr>
        <w:pStyle w:val="175"/>
        <w:spacing w:after="0" w:line="400" w:lineRule="exact"/>
        <w:ind w:right="100" w:firstLine="361"/>
        <w:jc w:val="both"/>
        <w:rPr>
          <w:rFonts w:hAnsi="宋体" w:cs="宋体"/>
          <w:color w:val="auto"/>
        </w:rPr>
      </w:pPr>
      <w:r>
        <w:rPr>
          <w:rFonts w:hint="eastAsia" w:hAnsi="宋体" w:cs="宋体"/>
          <w:color w:val="auto"/>
        </w:rPr>
        <w:t>（4）投入该工作的施工设备型号、台数和耗用台时；</w:t>
      </w:r>
    </w:p>
    <w:p w14:paraId="19E964A0">
      <w:pPr>
        <w:pStyle w:val="175"/>
        <w:spacing w:after="0" w:line="400" w:lineRule="exact"/>
        <w:ind w:right="100" w:firstLine="361"/>
        <w:jc w:val="both"/>
        <w:rPr>
          <w:rFonts w:hAnsi="宋体" w:cs="宋体"/>
          <w:color w:val="auto"/>
        </w:rPr>
      </w:pPr>
      <w:r>
        <w:rPr>
          <w:rFonts w:hint="eastAsia" w:hAnsi="宋体" w:cs="宋体"/>
          <w:color w:val="auto"/>
        </w:rPr>
        <w:t>（5）监理人要求提交的其他资料和凭证。</w:t>
      </w:r>
    </w:p>
    <w:p w14:paraId="44E1B2DC">
      <w:pPr>
        <w:pStyle w:val="175"/>
        <w:spacing w:after="0" w:line="400" w:lineRule="exact"/>
        <w:ind w:right="100" w:firstLine="361"/>
        <w:jc w:val="both"/>
        <w:rPr>
          <w:rFonts w:hAnsi="宋体" w:cs="宋体"/>
          <w:color w:val="auto"/>
        </w:rPr>
      </w:pPr>
      <w:r>
        <w:rPr>
          <w:rFonts w:hint="eastAsia" w:hAnsi="宋体" w:cs="宋体"/>
          <w:color w:val="auto"/>
        </w:rPr>
        <w:t>15.7.3 计日工由承包人汇总后，按第17.3.2 项的约定列入进度付款申请单，由监理人复核并经发包人同意后列入进度付款。</w:t>
      </w:r>
    </w:p>
    <w:p w14:paraId="73709346">
      <w:pPr>
        <w:pStyle w:val="180"/>
        <w:spacing w:after="0" w:line="400" w:lineRule="exact"/>
        <w:ind w:firstLine="562"/>
        <w:jc w:val="both"/>
        <w:rPr>
          <w:rFonts w:hAnsi="宋体" w:cs="宋体"/>
          <w:b/>
          <w:color w:val="auto"/>
        </w:rPr>
      </w:pPr>
      <w:r>
        <w:rPr>
          <w:rFonts w:hint="eastAsia" w:hAnsi="宋体" w:cs="宋体"/>
          <w:b/>
          <w:color w:val="auto"/>
        </w:rPr>
        <w:t>15.8 暂估价</w:t>
      </w:r>
    </w:p>
    <w:p w14:paraId="5EA21711">
      <w:pPr>
        <w:pStyle w:val="175"/>
        <w:spacing w:after="0" w:line="400" w:lineRule="exact"/>
        <w:ind w:right="100" w:firstLine="361"/>
        <w:jc w:val="both"/>
        <w:rPr>
          <w:rFonts w:hAnsi="宋体" w:cs="宋体"/>
          <w:color w:val="auto"/>
        </w:rPr>
      </w:pPr>
      <w:r>
        <w:rPr>
          <w:rFonts w:hint="eastAsia" w:hAnsi="宋体" w:cs="宋体"/>
          <w:color w:val="auto"/>
        </w:rPr>
        <w:t>15.8.1 发包人在工程量清单中给定暂估价的材料、工程设备和专业工程属于依法必须招标的范围并达到规定的规模标准的，若承包人不具备承担暂估价项目的能力或具备承担暂估价项目的能力但明确不参与投标的，由发包人和承包人组织招标；若承包人具备承担暂估价项目的能力且明确参与投标的，由发包人组织招标。暂估价项目中标金额与工程量清单中所列金额差以及相应的税金等其它费用列入合同价格。必须招标的暂估价项目招标组织形式、发包人和承包人组织招标时双方的权利义务关系在专用合同条款中约定。</w:t>
      </w:r>
    </w:p>
    <w:p w14:paraId="366CC1FF">
      <w:pPr>
        <w:pStyle w:val="175"/>
        <w:spacing w:after="0" w:line="400" w:lineRule="exact"/>
        <w:ind w:right="100" w:firstLine="361"/>
        <w:jc w:val="both"/>
        <w:rPr>
          <w:rFonts w:hAnsi="宋体" w:cs="宋体"/>
          <w:color w:val="auto"/>
        </w:rPr>
      </w:pPr>
      <w:r>
        <w:rPr>
          <w:rFonts w:hint="eastAsia" w:hAnsi="宋体" w:cs="宋体"/>
          <w:color w:val="auto"/>
        </w:rPr>
        <w:t>15.8.2 发包人在工程量清单中给定暂估价的材料和工程设备不属于依法必须招标的范围或未达到规定的规模标准的，应由承包人按第5.1 款的约定提供。经监理人确认的材料、工程设备的价格与工程量清单中所列的暂估价的金额差以及相应的税金等其他费用列入合同价格。</w:t>
      </w:r>
    </w:p>
    <w:p w14:paraId="698EF5ED">
      <w:pPr>
        <w:pStyle w:val="175"/>
        <w:spacing w:after="0" w:line="400" w:lineRule="exact"/>
        <w:ind w:right="100" w:firstLine="361"/>
        <w:jc w:val="both"/>
        <w:rPr>
          <w:rFonts w:hAnsi="宋体" w:cs="宋体"/>
          <w:color w:val="auto"/>
        </w:rPr>
      </w:pPr>
      <w:r>
        <w:rPr>
          <w:rFonts w:hint="eastAsia" w:hAnsi="宋体" w:cs="宋体"/>
          <w:color w:val="auto"/>
        </w:rPr>
        <w:t>15.8.3 发包人在工程量清单中给定暂估价的专业工程不属于依法必须招标的范围或未达到规定的规模标准的，由监理人按照第15.4 款进行估价，但专用合同条款另有约定的除外。经估价的专业工程与工程量清单中所列的暂估价的金额差以及相应的税金等其他费用列入合同价格。</w:t>
      </w:r>
    </w:p>
    <w:p w14:paraId="412B9175">
      <w:pPr>
        <w:pStyle w:val="180"/>
        <w:spacing w:before="100" w:after="100" w:line="400" w:lineRule="exact"/>
        <w:ind w:firstLine="643"/>
        <w:jc w:val="both"/>
        <w:rPr>
          <w:rFonts w:hAnsi="宋体" w:cs="宋体"/>
          <w:b/>
          <w:color w:val="auto"/>
          <w:sz w:val="32"/>
          <w:szCs w:val="32"/>
        </w:rPr>
      </w:pPr>
      <w:bookmarkStart w:id="906" w:name="_Toc450123374"/>
      <w:bookmarkStart w:id="907" w:name="_Toc206830029"/>
      <w:bookmarkStart w:id="908" w:name="_Toc510197480"/>
      <w:bookmarkStart w:id="909" w:name="_Toc195864503"/>
      <w:bookmarkStart w:id="910" w:name="_Toc215561216"/>
      <w:bookmarkStart w:id="911" w:name="_Toc340436801"/>
      <w:bookmarkStart w:id="912" w:name="_Toc306293172"/>
      <w:bookmarkStart w:id="913" w:name="_Toc214355679"/>
      <w:bookmarkStart w:id="914" w:name="_Toc219172345"/>
      <w:bookmarkStart w:id="915" w:name="_Toc477164668"/>
      <w:bookmarkStart w:id="916" w:name="_Toc368145492"/>
      <w:bookmarkStart w:id="917" w:name="_Toc24701"/>
      <w:bookmarkStart w:id="918" w:name="_Toc209862338"/>
      <w:bookmarkStart w:id="919" w:name="_Toc445105543"/>
      <w:bookmarkStart w:id="920" w:name="_Toc13759"/>
      <w:bookmarkStart w:id="921" w:name="_Toc305763062"/>
      <w:bookmarkStart w:id="922" w:name="_Toc255470050"/>
      <w:bookmarkStart w:id="923" w:name="_Toc254774417"/>
      <w:bookmarkStart w:id="924" w:name="_Toc187475848"/>
      <w:bookmarkStart w:id="925" w:name="_Toc389226403"/>
      <w:bookmarkStart w:id="926" w:name="_Toc260230308"/>
      <w:bookmarkStart w:id="927" w:name="_Toc260229981"/>
      <w:bookmarkStart w:id="928" w:name="_Toc260649036"/>
      <w:bookmarkStart w:id="929" w:name="_Toc351898553"/>
      <w:bookmarkStart w:id="930" w:name="_Toc436309953"/>
      <w:bookmarkStart w:id="931" w:name="_Toc187846008"/>
      <w:bookmarkStart w:id="932" w:name="_Toc274500904"/>
      <w:bookmarkStart w:id="933" w:name="_Toc248294429"/>
      <w:bookmarkStart w:id="934" w:name="_Toc388633683"/>
      <w:bookmarkStart w:id="935" w:name="_Toc460581186"/>
      <w:bookmarkStart w:id="936" w:name="_Toc222804532"/>
      <w:bookmarkStart w:id="937" w:name="_Toc215556198"/>
      <w:bookmarkStart w:id="938" w:name="_Toc510197618"/>
      <w:bookmarkStart w:id="939" w:name="_Toc439772707"/>
      <w:bookmarkStart w:id="940" w:name="_Toc211175340"/>
      <w:bookmarkStart w:id="941" w:name="_Toc257202841"/>
      <w:bookmarkStart w:id="942" w:name="_Toc215805059"/>
      <w:bookmarkStart w:id="943" w:name="_Toc450123140"/>
      <w:bookmarkStart w:id="944" w:name="_Toc342046322"/>
      <w:bookmarkStart w:id="945" w:name="_Toc340222911"/>
      <w:bookmarkStart w:id="946" w:name="_Toc350857435"/>
      <w:bookmarkStart w:id="947" w:name="_Toc270517150"/>
      <w:bookmarkStart w:id="948" w:name="_Toc227658506"/>
      <w:bookmarkStart w:id="949" w:name="_Toc453768106"/>
      <w:bookmarkStart w:id="950" w:name="_Toc452986508"/>
      <w:bookmarkStart w:id="951" w:name="_Toc504565695"/>
      <w:bookmarkStart w:id="952" w:name="_Toc449111934"/>
      <w:bookmarkStart w:id="953" w:name="_Toc436133244"/>
      <w:bookmarkStart w:id="954" w:name="_Toc476231307"/>
      <w:bookmarkStart w:id="955" w:name="_Toc208734416"/>
      <w:bookmarkStart w:id="956" w:name="_Toc249848958"/>
      <w:bookmarkStart w:id="957" w:name="_Toc338778048"/>
      <w:bookmarkStart w:id="958" w:name="_Toc504565808"/>
      <w:bookmarkStart w:id="959" w:name="_Toc458599284"/>
      <w:bookmarkStart w:id="960" w:name="_Toc245110746"/>
      <w:bookmarkStart w:id="961" w:name="_Toc436309601"/>
      <w:bookmarkStart w:id="962" w:name="_Toc255470273"/>
      <w:bookmarkStart w:id="963" w:name="_Toc436998794"/>
      <w:bookmarkStart w:id="964" w:name="_Toc255741937"/>
      <w:bookmarkStart w:id="965" w:name="_Toc371937200"/>
      <w:r>
        <w:rPr>
          <w:rFonts w:hint="eastAsia" w:hAnsi="宋体" w:cs="宋体"/>
          <w:b/>
          <w:color w:val="auto"/>
          <w:sz w:val="32"/>
          <w:szCs w:val="32"/>
        </w:rPr>
        <w:t>16. 价格调整</w:t>
      </w:r>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p>
    <w:p w14:paraId="71044D3D">
      <w:pPr>
        <w:pStyle w:val="180"/>
        <w:spacing w:after="0" w:line="400" w:lineRule="exact"/>
        <w:ind w:firstLine="562"/>
        <w:jc w:val="both"/>
        <w:rPr>
          <w:rFonts w:hAnsi="宋体" w:cs="宋体"/>
          <w:b/>
          <w:color w:val="auto"/>
        </w:rPr>
      </w:pPr>
      <w:r>
        <w:rPr>
          <w:rFonts w:hint="eastAsia" w:hAnsi="宋体" w:cs="宋体"/>
          <w:b/>
          <w:color w:val="auto"/>
        </w:rPr>
        <w:t>16.1 物价波动引起的价格调整</w:t>
      </w:r>
    </w:p>
    <w:p w14:paraId="13E56E2C">
      <w:pPr>
        <w:pStyle w:val="175"/>
        <w:spacing w:after="0" w:line="400" w:lineRule="exact"/>
        <w:ind w:right="100" w:firstLine="361"/>
        <w:jc w:val="both"/>
        <w:rPr>
          <w:rFonts w:hAnsi="宋体" w:cs="宋体"/>
          <w:color w:val="auto"/>
        </w:rPr>
      </w:pPr>
      <w:r>
        <w:rPr>
          <w:rFonts w:hint="eastAsia" w:hAnsi="宋体" w:cs="宋体"/>
          <w:color w:val="auto"/>
        </w:rPr>
        <w:t>由于物价波动原因引起合同价格需要调整的，其价格调整方式在专用合同条款中约定。</w:t>
      </w:r>
    </w:p>
    <w:p w14:paraId="6671D752">
      <w:pPr>
        <w:pStyle w:val="175"/>
        <w:spacing w:after="0" w:line="400" w:lineRule="exact"/>
        <w:ind w:right="100" w:firstLine="360"/>
        <w:jc w:val="both"/>
        <w:rPr>
          <w:rFonts w:hAnsi="宋体" w:cs="宋体"/>
          <w:b/>
          <w:color w:val="auto"/>
        </w:rPr>
      </w:pPr>
      <w:r>
        <w:rPr>
          <w:rFonts w:hint="eastAsia" w:hAnsi="宋体" w:cs="宋体"/>
          <w:b/>
          <w:color w:val="auto"/>
        </w:rPr>
        <w:t>16.1.1 采用价格指数调整价格差额</w:t>
      </w:r>
    </w:p>
    <w:p w14:paraId="4D79E5C3">
      <w:pPr>
        <w:pStyle w:val="175"/>
        <w:spacing w:after="0" w:line="400" w:lineRule="exact"/>
        <w:ind w:right="100" w:firstLine="360"/>
        <w:jc w:val="both"/>
        <w:rPr>
          <w:rFonts w:hAnsi="宋体" w:cs="宋体"/>
          <w:b/>
          <w:color w:val="auto"/>
        </w:rPr>
      </w:pPr>
      <w:r>
        <w:rPr>
          <w:rFonts w:hint="eastAsia" w:hAnsi="宋体" w:cs="宋体"/>
          <w:b/>
          <w:color w:val="auto"/>
        </w:rPr>
        <w:t>16.1.1.1 价格调整公式</w:t>
      </w:r>
    </w:p>
    <w:p w14:paraId="0FEA94B6">
      <w:pPr>
        <w:pStyle w:val="175"/>
        <w:spacing w:after="0" w:line="400" w:lineRule="exact"/>
        <w:ind w:right="100" w:firstLine="361"/>
        <w:jc w:val="both"/>
        <w:rPr>
          <w:rFonts w:hAnsi="宋体" w:cs="宋体"/>
          <w:color w:val="auto"/>
        </w:rPr>
      </w:pPr>
      <w:r>
        <w:rPr>
          <w:rFonts w:hint="eastAsia" w:hAnsi="宋体" w:cs="宋体"/>
          <w:color w:val="auto"/>
        </w:rPr>
        <w:t>因人工、材料和设备等价格波动影响合同价格时，根据投标函附录中的价格指数和权重表约定的数据，按以下公式计算差额并调整合同价格。</w:t>
      </w:r>
    </w:p>
    <w:p w14:paraId="7D68D299">
      <w:pPr>
        <w:ind w:firstLine="630" w:firstLineChars="225"/>
        <w:rPr>
          <w:rFonts w:cs="宋体"/>
          <w:color w:val="auto"/>
        </w:rPr>
      </w:pPr>
      <w:r>
        <w:rPr>
          <w:rFonts w:hint="eastAsia" w:cs="宋体"/>
          <w:color w:val="auto"/>
        </w:rPr>
        <w:t>ΔP=P</w:t>
      </w:r>
      <w:r>
        <w:rPr>
          <w:rFonts w:hint="eastAsia" w:cs="宋体"/>
          <w:color w:val="auto"/>
          <w:vertAlign w:val="subscript"/>
        </w:rPr>
        <w:t>0</w:t>
      </w:r>
      <w:r>
        <w:rPr>
          <w:rFonts w:hint="eastAsia" w:cs="宋体"/>
          <w:color w:val="auto"/>
        </w:rPr>
        <w:t>[A+(B</w:t>
      </w:r>
      <w:r>
        <w:rPr>
          <w:rFonts w:hint="eastAsia" w:cs="宋体"/>
          <w:color w:val="auto"/>
          <w:vertAlign w:val="subscript"/>
        </w:rPr>
        <w:t>1</w:t>
      </w:r>
      <w:r>
        <w:rPr>
          <w:rFonts w:hint="eastAsia" w:cs="宋体"/>
          <w:color w:val="auto"/>
        </w:rPr>
        <w:t>×</w:t>
      </w:r>
      <w:r>
        <w:rPr>
          <w:rFonts w:hint="eastAsia" w:cs="宋体"/>
          <w:color w:val="auto"/>
          <w:position w:val="-24"/>
        </w:rPr>
        <w:object>
          <v:shape id="_x0000_i1025" o:spt="75" type="#_x0000_t75" style="height:31pt;width:169.95pt;" o:ole="t" filled="f" o:preferrelative="t" stroked="f" coordsize="21600,21600">
            <v:path/>
            <v:fill on="f" focussize="0,0"/>
            <v:stroke on="f" joinstyle="miter"/>
            <v:imagedata r:id="rId38" o:title=""/>
            <o:lock v:ext="edit" aspectratio="t"/>
            <w10:wrap type="none"/>
            <w10:anchorlock/>
          </v:shape>
          <o:OLEObject Type="Embed" ProgID="Equation.3" ShapeID="_x0000_i1025" DrawAspect="Content" ObjectID="_1468075725" r:id="rId37">
            <o:LockedField>false</o:LockedField>
          </o:OLEObject>
        </w:object>
      </w:r>
    </w:p>
    <w:p w14:paraId="328F7484">
      <w:pPr>
        <w:pStyle w:val="191"/>
        <w:spacing w:line="400" w:lineRule="exact"/>
        <w:ind w:firstLine="560"/>
        <w:jc w:val="both"/>
        <w:rPr>
          <w:rFonts w:hAnsi="宋体" w:cs="宋体"/>
          <w:color w:val="auto"/>
        </w:rPr>
      </w:pPr>
      <w:r>
        <w:rPr>
          <w:rFonts w:hint="eastAsia" w:hAnsi="宋体" w:cs="宋体"/>
          <w:color w:val="auto"/>
        </w:rPr>
        <w:t>式中：△P ——需调整的价格差额；</w:t>
      </w:r>
    </w:p>
    <w:p w14:paraId="325FEE9E">
      <w:pPr>
        <w:pStyle w:val="87"/>
        <w:spacing w:line="400" w:lineRule="exact"/>
        <w:ind w:firstLine="361"/>
        <w:jc w:val="both"/>
        <w:rPr>
          <w:rFonts w:hAnsi="宋体"/>
          <w:color w:val="auto"/>
        </w:rPr>
      </w:pPr>
      <w:r>
        <w:rPr>
          <w:rFonts w:hint="eastAsia" w:hAnsi="宋体"/>
          <w:color w:val="auto"/>
        </w:rPr>
        <w:t>P0 ——第17.3.3 项、第17.5.2 项和第17.6.2 项约定的付款证书中承包人应得到的已完成工程量的金额。此项金额应不包括价格调整、不计质量保证金的扣留和支付、预付款的支付和扣回。第15 条约定的变更及其他金额已按现行价格计价的，也不计在内；</w:t>
      </w:r>
    </w:p>
    <w:p w14:paraId="45D8C55B">
      <w:pPr>
        <w:pStyle w:val="87"/>
        <w:spacing w:line="400" w:lineRule="exact"/>
        <w:ind w:right="1520" w:firstLine="1080" w:firstLineChars="450"/>
        <w:rPr>
          <w:rFonts w:hAnsi="宋体"/>
          <w:color w:val="auto"/>
        </w:rPr>
      </w:pPr>
      <w:r>
        <w:rPr>
          <w:rFonts w:hint="eastAsia" w:hAnsi="宋体"/>
          <w:color w:val="auto"/>
        </w:rPr>
        <w:t xml:space="preserve"> A ——定值权重(即不调部分的权重)；</w:t>
      </w:r>
    </w:p>
    <w:p w14:paraId="5A40A27E">
      <w:pPr>
        <w:pStyle w:val="87"/>
        <w:spacing w:line="400" w:lineRule="exact"/>
        <w:ind w:right="-90" w:firstLine="1080" w:firstLineChars="450"/>
        <w:rPr>
          <w:rFonts w:hAnsi="宋体"/>
          <w:color w:val="auto"/>
        </w:rPr>
      </w:pPr>
      <w:r>
        <w:rPr>
          <w:rFonts w:hint="eastAsia" w:hAnsi="宋体"/>
          <w:color w:val="auto"/>
        </w:rPr>
        <w:t xml:space="preserve"> B</w:t>
      </w:r>
      <w:r>
        <w:rPr>
          <w:rFonts w:hint="eastAsia" w:hAnsi="宋体"/>
          <w:color w:val="auto"/>
          <w:vertAlign w:val="subscript"/>
        </w:rPr>
        <w:t>1</w:t>
      </w:r>
      <w:r>
        <w:rPr>
          <w:rFonts w:hint="eastAsia" w:hAnsi="宋体"/>
          <w:color w:val="auto"/>
        </w:rPr>
        <w:t>； B</w:t>
      </w:r>
      <w:r>
        <w:rPr>
          <w:rFonts w:hint="eastAsia" w:hAnsi="宋体"/>
          <w:color w:val="auto"/>
          <w:vertAlign w:val="subscript"/>
        </w:rPr>
        <w:t>2</w:t>
      </w:r>
      <w:r>
        <w:rPr>
          <w:rFonts w:hint="eastAsia" w:hAnsi="宋体"/>
          <w:color w:val="auto"/>
        </w:rPr>
        <w:t>；……Bn ——各可调因子的变值权重(即可调部分的权重)为各可调因子在投标函投标总报价中所占的比例；</w:t>
      </w:r>
    </w:p>
    <w:p w14:paraId="15493270">
      <w:pPr>
        <w:pStyle w:val="87"/>
        <w:spacing w:line="400" w:lineRule="exact"/>
        <w:ind w:right="-90" w:firstLine="1080" w:firstLineChars="450"/>
        <w:rPr>
          <w:rFonts w:hAnsi="宋体"/>
          <w:color w:val="auto"/>
        </w:rPr>
      </w:pPr>
      <w:r>
        <w:rPr>
          <w:rFonts w:hint="eastAsia" w:hAnsi="宋体"/>
          <w:color w:val="auto"/>
        </w:rPr>
        <w:t>F</w:t>
      </w:r>
      <w:r>
        <w:rPr>
          <w:rFonts w:hint="eastAsia" w:hAnsi="宋体"/>
          <w:color w:val="auto"/>
          <w:vertAlign w:val="subscript"/>
        </w:rPr>
        <w:t>t1</w:t>
      </w:r>
      <w:r>
        <w:rPr>
          <w:rFonts w:hint="eastAsia" w:hAnsi="宋体"/>
          <w:color w:val="auto"/>
        </w:rPr>
        <w:t>；F</w:t>
      </w:r>
      <w:r>
        <w:rPr>
          <w:rFonts w:hint="eastAsia" w:hAnsi="宋体"/>
          <w:color w:val="auto"/>
          <w:vertAlign w:val="subscript"/>
        </w:rPr>
        <w:t>t2</w:t>
      </w:r>
      <w:r>
        <w:rPr>
          <w:rFonts w:hint="eastAsia" w:hAnsi="宋体"/>
          <w:color w:val="auto"/>
        </w:rPr>
        <w:t xml:space="preserve"> ……F</w:t>
      </w:r>
      <w:r>
        <w:rPr>
          <w:rFonts w:hint="eastAsia" w:hAnsi="宋体"/>
          <w:color w:val="auto"/>
          <w:vertAlign w:val="subscript"/>
        </w:rPr>
        <w:t>tn</w:t>
      </w:r>
      <w:r>
        <w:rPr>
          <w:rFonts w:hint="eastAsia" w:hAnsi="宋体"/>
          <w:color w:val="auto"/>
        </w:rPr>
        <w:t xml:space="preserve"> ——各可调因子的现行价格指数，指第17.3.3 项、第17.5.2 项和第17.6.2 项约定的付款证书相关周期最后一天的前42 天的各可调因子的价格指数；</w:t>
      </w:r>
    </w:p>
    <w:p w14:paraId="5921FD7D">
      <w:pPr>
        <w:pStyle w:val="87"/>
        <w:spacing w:line="400" w:lineRule="exact"/>
        <w:ind w:right="-90" w:firstLine="1080" w:firstLineChars="450"/>
        <w:rPr>
          <w:rFonts w:hAnsi="宋体"/>
          <w:color w:val="auto"/>
        </w:rPr>
      </w:pPr>
      <w:r>
        <w:rPr>
          <w:rFonts w:hint="eastAsia" w:hAnsi="宋体"/>
          <w:color w:val="auto"/>
        </w:rPr>
        <w:t>F</w:t>
      </w:r>
      <w:r>
        <w:rPr>
          <w:rFonts w:hint="eastAsia" w:hAnsi="宋体"/>
          <w:color w:val="auto"/>
          <w:vertAlign w:val="subscript"/>
        </w:rPr>
        <w:t>o1</w:t>
      </w:r>
      <w:r>
        <w:rPr>
          <w:rFonts w:hint="eastAsia" w:hAnsi="宋体"/>
          <w:color w:val="auto"/>
        </w:rPr>
        <w:t>； F</w:t>
      </w:r>
      <w:r>
        <w:rPr>
          <w:rFonts w:hint="eastAsia" w:hAnsi="宋体"/>
          <w:color w:val="auto"/>
          <w:vertAlign w:val="subscript"/>
        </w:rPr>
        <w:t>o2</w:t>
      </w:r>
      <w:r>
        <w:rPr>
          <w:rFonts w:hint="eastAsia" w:hAnsi="宋体"/>
          <w:color w:val="auto"/>
        </w:rPr>
        <w:t>；……F</w:t>
      </w:r>
      <w:r>
        <w:rPr>
          <w:rFonts w:hint="eastAsia" w:hAnsi="宋体"/>
          <w:color w:val="auto"/>
          <w:vertAlign w:val="subscript"/>
        </w:rPr>
        <w:t>on</w:t>
      </w:r>
      <w:r>
        <w:rPr>
          <w:rFonts w:hint="eastAsia" w:hAnsi="宋体"/>
          <w:color w:val="auto"/>
        </w:rPr>
        <w:t xml:space="preserve"> ——各可调因子的基本价格指数，指基准日期的各可调因子的价格指数。</w:t>
      </w:r>
    </w:p>
    <w:p w14:paraId="24215FFF">
      <w:pPr>
        <w:pStyle w:val="191"/>
        <w:spacing w:line="400" w:lineRule="exact"/>
        <w:ind w:firstLine="560"/>
        <w:jc w:val="both"/>
        <w:rPr>
          <w:rFonts w:hAnsi="宋体" w:cs="宋体"/>
          <w:color w:val="auto"/>
        </w:rPr>
      </w:pPr>
      <w:r>
        <w:rPr>
          <w:rFonts w:hint="eastAsia" w:hAnsi="宋体" w:cs="宋体"/>
          <w:color w:val="auto"/>
        </w:rPr>
        <w:t>以上价格调整公式中的各可调因子、定值和变值权重，以及基本价格指数及其来源在投标函附录价格指数和权重表中约定。价格指数应首先采用有关部门提供的价格指数，缺乏上述价格指数时，可采用有关部门提供的价格代替。</w:t>
      </w:r>
    </w:p>
    <w:p w14:paraId="7EFFDA0A">
      <w:pPr>
        <w:pStyle w:val="191"/>
        <w:spacing w:line="400" w:lineRule="exact"/>
        <w:ind w:firstLine="562"/>
        <w:jc w:val="both"/>
        <w:rPr>
          <w:rFonts w:hAnsi="宋体" w:cs="宋体"/>
          <w:b/>
          <w:color w:val="auto"/>
        </w:rPr>
      </w:pPr>
      <w:r>
        <w:rPr>
          <w:rFonts w:hint="eastAsia" w:hAnsi="宋体" w:cs="宋体"/>
          <w:b/>
          <w:color w:val="auto"/>
        </w:rPr>
        <w:t>16.1.1.2 暂时确定调整差额</w:t>
      </w:r>
    </w:p>
    <w:p w14:paraId="0909FB01">
      <w:pPr>
        <w:pStyle w:val="191"/>
        <w:spacing w:line="400" w:lineRule="exact"/>
        <w:ind w:firstLine="560"/>
        <w:jc w:val="both"/>
        <w:rPr>
          <w:rFonts w:hAnsi="宋体" w:cs="宋体"/>
          <w:color w:val="auto"/>
        </w:rPr>
      </w:pPr>
      <w:r>
        <w:rPr>
          <w:rFonts w:hint="eastAsia" w:hAnsi="宋体" w:cs="宋体"/>
          <w:color w:val="auto"/>
        </w:rPr>
        <w:t>在计算调整差额时得不到现行价格指数的，可暂用上一次价格指数计算，并在以后的付款中再按实际价格指数进行调整。</w:t>
      </w:r>
    </w:p>
    <w:p w14:paraId="14FA6343">
      <w:pPr>
        <w:pStyle w:val="191"/>
        <w:spacing w:line="400" w:lineRule="exact"/>
        <w:ind w:firstLine="562"/>
        <w:jc w:val="both"/>
        <w:rPr>
          <w:rFonts w:hAnsi="宋体" w:cs="宋体"/>
          <w:b/>
          <w:color w:val="auto"/>
        </w:rPr>
      </w:pPr>
      <w:r>
        <w:rPr>
          <w:rFonts w:hint="eastAsia" w:hAnsi="宋体" w:cs="宋体"/>
          <w:b/>
          <w:color w:val="auto"/>
        </w:rPr>
        <w:t>16.1.1.3 权重的调整</w:t>
      </w:r>
    </w:p>
    <w:p w14:paraId="65868CAE">
      <w:pPr>
        <w:pStyle w:val="191"/>
        <w:spacing w:line="400" w:lineRule="exact"/>
        <w:ind w:firstLine="560"/>
        <w:jc w:val="both"/>
        <w:rPr>
          <w:rFonts w:hAnsi="宋体" w:cs="宋体"/>
          <w:color w:val="auto"/>
        </w:rPr>
      </w:pPr>
      <w:r>
        <w:rPr>
          <w:rFonts w:hint="eastAsia" w:hAnsi="宋体" w:cs="宋体"/>
          <w:color w:val="auto"/>
        </w:rPr>
        <w:t>按第15.1 款约定的变更导致原定合同中的权重不合理时，由监理人与承包人和发包人协商后进行调整。</w:t>
      </w:r>
    </w:p>
    <w:p w14:paraId="256867E5">
      <w:pPr>
        <w:pStyle w:val="191"/>
        <w:spacing w:line="400" w:lineRule="exact"/>
        <w:ind w:firstLine="562"/>
        <w:jc w:val="both"/>
        <w:rPr>
          <w:rFonts w:hAnsi="宋体" w:cs="宋体"/>
          <w:b/>
          <w:color w:val="auto"/>
        </w:rPr>
      </w:pPr>
      <w:r>
        <w:rPr>
          <w:rFonts w:hint="eastAsia" w:hAnsi="宋体" w:cs="宋体"/>
          <w:b/>
          <w:color w:val="auto"/>
        </w:rPr>
        <w:t>16.1.1.4 承包人工期延误后的价格调整</w:t>
      </w:r>
    </w:p>
    <w:p w14:paraId="0AEDA402">
      <w:pPr>
        <w:pStyle w:val="191"/>
        <w:spacing w:line="400" w:lineRule="exact"/>
        <w:ind w:firstLine="560"/>
        <w:jc w:val="both"/>
        <w:rPr>
          <w:rFonts w:hAnsi="宋体" w:cs="宋体"/>
          <w:color w:val="auto"/>
        </w:rPr>
      </w:pPr>
      <w:r>
        <w:rPr>
          <w:rFonts w:hint="eastAsia" w:hAnsi="宋体" w:cs="宋体"/>
          <w:color w:val="auto"/>
        </w:rPr>
        <w:t>由于承包人原因未在约定的工期内竣工的，则对原约定竣工日期后继续施工的工程，在使用第16.1.1.1 目价格调整公式时，应采用原约定竣工日期与实际竣工日期的两个价格指数中较低的一个作为现行价格指数。</w:t>
      </w:r>
    </w:p>
    <w:p w14:paraId="244345A5">
      <w:pPr>
        <w:pStyle w:val="191"/>
        <w:spacing w:line="400" w:lineRule="exact"/>
        <w:ind w:firstLine="562"/>
        <w:jc w:val="both"/>
        <w:rPr>
          <w:rFonts w:hAnsi="宋体" w:cs="宋体"/>
          <w:b/>
          <w:color w:val="auto"/>
        </w:rPr>
      </w:pPr>
      <w:r>
        <w:rPr>
          <w:rFonts w:hint="eastAsia" w:hAnsi="宋体" w:cs="宋体"/>
          <w:b/>
          <w:color w:val="auto"/>
        </w:rPr>
        <w:t xml:space="preserve">16.1.2 采用造价信息调整价格差额 </w:t>
      </w:r>
    </w:p>
    <w:p w14:paraId="3876DA05">
      <w:pPr>
        <w:pStyle w:val="175"/>
        <w:spacing w:after="0" w:line="400" w:lineRule="exact"/>
        <w:ind w:firstLine="361"/>
        <w:jc w:val="both"/>
        <w:rPr>
          <w:rFonts w:hAnsi="宋体" w:cs="宋体"/>
          <w:color w:val="auto"/>
        </w:rPr>
      </w:pPr>
      <w:r>
        <w:rPr>
          <w:rFonts w:hint="eastAsia" w:hAnsi="宋体" w:cs="宋体"/>
          <w:color w:val="auto"/>
        </w:rPr>
        <w:t>施工期内，因人工、材料、设备和机械台班价格波动影响合同价格时，人工、机械使用费按照国家或省(自治区、直辖市)建设行政管理部门、行业建设管理部门或其授权的工程造价管理机构发布的人工成本信息、机械台班单价或机械使用费系数进行调整；需要进行价格调整的材料，其单价和采购数应由监理人复核，监理人确认需调整的材料单价及数量，作为调整工程合同价格差额的依据。</w:t>
      </w:r>
    </w:p>
    <w:p w14:paraId="0B2F22F8">
      <w:pPr>
        <w:pStyle w:val="87"/>
        <w:spacing w:line="400" w:lineRule="exact"/>
        <w:ind w:firstLine="540" w:firstLineChars="225"/>
        <w:jc w:val="both"/>
        <w:rPr>
          <w:rFonts w:hAnsi="宋体"/>
          <w:color w:val="auto"/>
        </w:rPr>
      </w:pPr>
      <w:r>
        <w:rPr>
          <w:rFonts w:hint="eastAsia" w:hAnsi="宋体"/>
          <w:color w:val="auto"/>
        </w:rPr>
        <w:t>工程造价信息的来源以及价格调整的项目和系数在专用合同条款中约定。</w:t>
      </w:r>
    </w:p>
    <w:p w14:paraId="5B13EF2A">
      <w:pPr>
        <w:pStyle w:val="180"/>
        <w:spacing w:after="0" w:line="400" w:lineRule="exact"/>
        <w:ind w:firstLine="562"/>
        <w:jc w:val="both"/>
        <w:rPr>
          <w:rFonts w:hAnsi="宋体" w:cs="宋体"/>
          <w:b/>
          <w:color w:val="auto"/>
        </w:rPr>
      </w:pPr>
      <w:r>
        <w:rPr>
          <w:rFonts w:hint="eastAsia" w:hAnsi="宋体" w:cs="宋体"/>
          <w:b/>
          <w:color w:val="auto"/>
        </w:rPr>
        <w:t>16.2 法律变化引起的价格调整</w:t>
      </w:r>
    </w:p>
    <w:p w14:paraId="15A0C6FC">
      <w:pPr>
        <w:pStyle w:val="191"/>
        <w:spacing w:line="400" w:lineRule="exact"/>
        <w:ind w:firstLine="560"/>
        <w:jc w:val="both"/>
        <w:rPr>
          <w:rFonts w:hAnsi="宋体" w:cs="宋体"/>
          <w:color w:val="auto"/>
        </w:rPr>
      </w:pPr>
      <w:r>
        <w:rPr>
          <w:rFonts w:hint="eastAsia" w:hAnsi="宋体" w:cs="宋体"/>
          <w:color w:val="auto"/>
        </w:rPr>
        <w:t>在基准日后，因法律变化导致承包人在合同履行中所需要的工程费用发生除第16.1 款约定以外的增减时，监理人应根据法律、国家或省、自治区、直辖市有关部门的规定，按第3.5 款商定或确定需调整的合同价款。</w:t>
      </w:r>
    </w:p>
    <w:p w14:paraId="20572C50">
      <w:pPr>
        <w:pStyle w:val="180"/>
        <w:spacing w:before="100" w:after="100" w:line="400" w:lineRule="exact"/>
        <w:ind w:firstLine="643"/>
        <w:jc w:val="both"/>
        <w:rPr>
          <w:rFonts w:hAnsi="宋体" w:cs="宋体"/>
          <w:b/>
          <w:color w:val="auto"/>
          <w:sz w:val="32"/>
          <w:szCs w:val="32"/>
        </w:rPr>
      </w:pPr>
      <w:bookmarkStart w:id="966" w:name="_Toc371937201"/>
      <w:bookmarkStart w:id="967" w:name="_Toc449111935"/>
      <w:bookmarkStart w:id="968" w:name="_Toc340222912"/>
      <w:bookmarkStart w:id="969" w:name="_Toc342046323"/>
      <w:bookmarkStart w:id="970" w:name="_Toc477164669"/>
      <w:bookmarkStart w:id="971" w:name="_Toc21740"/>
      <w:bookmarkStart w:id="972" w:name="_Toc436309954"/>
      <w:bookmarkStart w:id="973" w:name="_Toc338778049"/>
      <w:bookmarkStart w:id="974" w:name="_Toc453768107"/>
      <w:bookmarkStart w:id="975" w:name="_Toc388633684"/>
      <w:bookmarkStart w:id="976" w:name="_Toc248294430"/>
      <w:bookmarkStart w:id="977" w:name="_Toc260230309"/>
      <w:bookmarkStart w:id="978" w:name="_Toc460581187"/>
      <w:bookmarkStart w:id="979" w:name="_Toc274500905"/>
      <w:bookmarkStart w:id="980" w:name="_Toc257202842"/>
      <w:bookmarkStart w:id="981" w:name="_Toc219172346"/>
      <w:bookmarkStart w:id="982" w:name="_Toc445105544"/>
      <w:bookmarkStart w:id="983" w:name="_Toc214355680"/>
      <w:bookmarkStart w:id="984" w:name="_Toc452986509"/>
      <w:bookmarkStart w:id="985" w:name="_Toc458599285"/>
      <w:bookmarkStart w:id="986" w:name="_Toc255470051"/>
      <w:bookmarkStart w:id="987" w:name="_Toc260649037"/>
      <w:bookmarkStart w:id="988" w:name="_Toc215805060"/>
      <w:bookmarkStart w:id="989" w:name="_Toc215556199"/>
      <w:bookmarkStart w:id="990" w:name="_Toc195864504"/>
      <w:bookmarkStart w:id="991" w:name="_Toc187475849"/>
      <w:bookmarkStart w:id="992" w:name="_Toc249848959"/>
      <w:bookmarkStart w:id="993" w:name="_Toc504565809"/>
      <w:bookmarkStart w:id="994" w:name="_Toc450123375"/>
      <w:bookmarkStart w:id="995" w:name="_Toc206830030"/>
      <w:bookmarkStart w:id="996" w:name="_Toc510197481"/>
      <w:bookmarkStart w:id="997" w:name="_Toc389226404"/>
      <w:bookmarkStart w:id="998" w:name="_Toc270517151"/>
      <w:bookmarkStart w:id="999" w:name="_Toc450123141"/>
      <w:bookmarkStart w:id="1000" w:name="_Toc245110747"/>
      <w:bookmarkStart w:id="1001" w:name="_Toc439772708"/>
      <w:bookmarkStart w:id="1002" w:name="_Toc504565696"/>
      <w:bookmarkStart w:id="1003" w:name="_Toc254774418"/>
      <w:bookmarkStart w:id="1004" w:name="_Toc260229982"/>
      <w:bookmarkStart w:id="1005" w:name="_Toc227658507"/>
      <w:bookmarkStart w:id="1006" w:name="_Toc351898554"/>
      <w:bookmarkStart w:id="1007" w:name="_Toc436133245"/>
      <w:bookmarkStart w:id="1008" w:name="_Toc187846009"/>
      <w:bookmarkStart w:id="1009" w:name="_Toc305763063"/>
      <w:bookmarkStart w:id="1010" w:name="_Toc15200"/>
      <w:bookmarkStart w:id="1011" w:name="_Toc306293173"/>
      <w:bookmarkStart w:id="1012" w:name="_Toc436998795"/>
      <w:bookmarkStart w:id="1013" w:name="_Toc208734417"/>
      <w:bookmarkStart w:id="1014" w:name="_Toc255470274"/>
      <w:bookmarkStart w:id="1015" w:name="_Toc255741938"/>
      <w:bookmarkStart w:id="1016" w:name="_Toc215561217"/>
      <w:bookmarkStart w:id="1017" w:name="_Toc340436802"/>
      <w:bookmarkStart w:id="1018" w:name="_Toc211175341"/>
      <w:bookmarkStart w:id="1019" w:name="_Toc222804533"/>
      <w:bookmarkStart w:id="1020" w:name="_Toc209862339"/>
      <w:bookmarkStart w:id="1021" w:name="_Toc436309602"/>
      <w:bookmarkStart w:id="1022" w:name="_Toc476231308"/>
      <w:bookmarkStart w:id="1023" w:name="_Toc368145493"/>
      <w:bookmarkStart w:id="1024" w:name="_Toc350857436"/>
      <w:bookmarkStart w:id="1025" w:name="_Toc510197619"/>
      <w:r>
        <w:rPr>
          <w:rFonts w:hint="eastAsia" w:hAnsi="宋体" w:cs="宋体"/>
          <w:b/>
          <w:color w:val="auto"/>
          <w:sz w:val="32"/>
          <w:szCs w:val="32"/>
        </w:rPr>
        <w:t>17. 计量与支付</w:t>
      </w:r>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76EFE63A">
      <w:pPr>
        <w:pStyle w:val="180"/>
        <w:spacing w:after="0" w:line="400" w:lineRule="exact"/>
        <w:ind w:firstLine="562"/>
        <w:jc w:val="both"/>
        <w:rPr>
          <w:rFonts w:hAnsi="宋体" w:cs="宋体"/>
          <w:b/>
          <w:color w:val="auto"/>
        </w:rPr>
      </w:pPr>
      <w:r>
        <w:rPr>
          <w:rFonts w:hint="eastAsia" w:hAnsi="宋体" w:cs="宋体"/>
          <w:b/>
          <w:color w:val="auto"/>
        </w:rPr>
        <w:t>17.1 计量</w:t>
      </w:r>
    </w:p>
    <w:p w14:paraId="28092EEF">
      <w:pPr>
        <w:pStyle w:val="177"/>
        <w:spacing w:line="400" w:lineRule="exact"/>
        <w:ind w:left="420" w:firstLine="442"/>
        <w:jc w:val="both"/>
        <w:rPr>
          <w:rFonts w:hAnsi="宋体" w:cs="宋体"/>
          <w:b/>
          <w:color w:val="auto"/>
        </w:rPr>
      </w:pPr>
      <w:r>
        <w:rPr>
          <w:rFonts w:hint="eastAsia" w:hAnsi="宋体" w:cs="宋体"/>
          <w:b/>
          <w:color w:val="auto"/>
        </w:rPr>
        <w:t>17.1.1 计量单位</w:t>
      </w:r>
    </w:p>
    <w:p w14:paraId="7F2ADA33">
      <w:pPr>
        <w:pStyle w:val="177"/>
        <w:spacing w:line="400" w:lineRule="exact"/>
        <w:ind w:left="420" w:firstLine="440"/>
        <w:jc w:val="both"/>
        <w:rPr>
          <w:rFonts w:hAnsi="宋体" w:cs="宋体"/>
          <w:color w:val="auto"/>
        </w:rPr>
      </w:pPr>
      <w:r>
        <w:rPr>
          <w:rFonts w:hint="eastAsia" w:hAnsi="宋体" w:cs="宋体"/>
          <w:color w:val="auto"/>
        </w:rPr>
        <w:t>计量采用国家法定的计量单位。</w:t>
      </w:r>
    </w:p>
    <w:p w14:paraId="540FD78B">
      <w:pPr>
        <w:pStyle w:val="191"/>
        <w:spacing w:line="400" w:lineRule="exact"/>
        <w:ind w:firstLine="562"/>
        <w:jc w:val="both"/>
        <w:rPr>
          <w:rFonts w:hAnsi="宋体" w:cs="宋体"/>
          <w:b/>
          <w:color w:val="auto"/>
        </w:rPr>
      </w:pPr>
      <w:r>
        <w:rPr>
          <w:rFonts w:hint="eastAsia" w:hAnsi="宋体" w:cs="宋体"/>
          <w:b/>
          <w:color w:val="auto"/>
        </w:rPr>
        <w:t>17.1.2 计量方法</w:t>
      </w:r>
    </w:p>
    <w:p w14:paraId="1F2B5DC7">
      <w:pPr>
        <w:pStyle w:val="191"/>
        <w:spacing w:line="400" w:lineRule="exact"/>
        <w:ind w:firstLine="560"/>
        <w:jc w:val="both"/>
        <w:rPr>
          <w:rFonts w:hAnsi="宋体" w:cs="宋体"/>
          <w:color w:val="auto"/>
        </w:rPr>
      </w:pPr>
      <w:r>
        <w:rPr>
          <w:rFonts w:hint="eastAsia" w:hAnsi="宋体" w:cs="宋体"/>
          <w:color w:val="auto"/>
        </w:rPr>
        <w:t>结算工程量应按工程量清单中约定的方法计量。</w:t>
      </w:r>
    </w:p>
    <w:p w14:paraId="70BD04FF">
      <w:pPr>
        <w:pStyle w:val="191"/>
        <w:spacing w:line="400" w:lineRule="exact"/>
        <w:ind w:firstLine="562"/>
        <w:jc w:val="both"/>
        <w:rPr>
          <w:rFonts w:hAnsi="宋体" w:cs="宋体"/>
          <w:b/>
          <w:color w:val="auto"/>
        </w:rPr>
      </w:pPr>
      <w:r>
        <w:rPr>
          <w:rFonts w:hint="eastAsia" w:hAnsi="宋体" w:cs="宋体"/>
          <w:b/>
          <w:color w:val="auto"/>
        </w:rPr>
        <w:t>17.1.3 计量周期</w:t>
      </w:r>
    </w:p>
    <w:p w14:paraId="021474C2">
      <w:pPr>
        <w:pStyle w:val="191"/>
        <w:spacing w:line="400" w:lineRule="exact"/>
        <w:ind w:firstLine="560"/>
        <w:jc w:val="both"/>
        <w:rPr>
          <w:rFonts w:hAnsi="宋体" w:cs="宋体"/>
          <w:color w:val="auto"/>
        </w:rPr>
      </w:pPr>
      <w:r>
        <w:rPr>
          <w:rFonts w:hint="eastAsia" w:hAnsi="宋体" w:cs="宋体"/>
          <w:color w:val="auto"/>
        </w:rPr>
        <w:t>除专用合同条款另有约定外，单价子目已完成工程量按月计量，总价子目的计量周期按批准的支付分解报告确定。</w:t>
      </w:r>
    </w:p>
    <w:p w14:paraId="3FC95EC8">
      <w:pPr>
        <w:pStyle w:val="191"/>
        <w:spacing w:line="400" w:lineRule="exact"/>
        <w:ind w:firstLine="562"/>
        <w:jc w:val="both"/>
        <w:rPr>
          <w:rFonts w:hAnsi="宋体" w:cs="宋体"/>
          <w:b/>
          <w:color w:val="auto"/>
        </w:rPr>
      </w:pPr>
      <w:r>
        <w:rPr>
          <w:rFonts w:hint="eastAsia" w:hAnsi="宋体" w:cs="宋体"/>
          <w:b/>
          <w:color w:val="auto"/>
        </w:rPr>
        <w:t>17.1.4 单价子目的计量</w:t>
      </w:r>
    </w:p>
    <w:p w14:paraId="4C0FB189">
      <w:pPr>
        <w:pStyle w:val="87"/>
        <w:spacing w:line="400" w:lineRule="exact"/>
        <w:ind w:firstLine="540" w:firstLineChars="225"/>
        <w:jc w:val="both"/>
        <w:rPr>
          <w:rFonts w:hAnsi="宋体"/>
          <w:color w:val="auto"/>
        </w:rPr>
      </w:pPr>
      <w:r>
        <w:rPr>
          <w:rFonts w:hint="eastAsia" w:hAnsi="宋体"/>
          <w:color w:val="auto"/>
        </w:rPr>
        <w:t>（1）工程量清单中的单价子目工程量为估算工程量。结算工程量是承包人实际完成的，并按合同约定的计量方法进行计量的工程量。</w:t>
      </w:r>
    </w:p>
    <w:p w14:paraId="5DB925D3">
      <w:pPr>
        <w:pStyle w:val="87"/>
        <w:spacing w:line="400" w:lineRule="exact"/>
        <w:ind w:firstLine="540" w:firstLineChars="225"/>
        <w:jc w:val="both"/>
        <w:rPr>
          <w:rFonts w:hAnsi="宋体"/>
          <w:color w:val="auto"/>
        </w:rPr>
      </w:pPr>
      <w:r>
        <w:rPr>
          <w:rFonts w:hint="eastAsia" w:hAnsi="宋体"/>
          <w:color w:val="auto"/>
        </w:rPr>
        <w:t>（2）承包人对已完成的工程进行计量，向监理人提交进度付款申请单、已完成工程量报表和有关计量资料。</w:t>
      </w:r>
    </w:p>
    <w:p w14:paraId="623CCCB6">
      <w:pPr>
        <w:pStyle w:val="87"/>
        <w:spacing w:line="400" w:lineRule="exact"/>
        <w:ind w:firstLine="540" w:firstLineChars="225"/>
        <w:jc w:val="both"/>
        <w:rPr>
          <w:rFonts w:hAnsi="宋体"/>
          <w:color w:val="auto"/>
        </w:rPr>
      </w:pPr>
      <w:r>
        <w:rPr>
          <w:rFonts w:hint="eastAsia" w:hAnsi="宋体"/>
          <w:color w:val="auto"/>
        </w:rPr>
        <w:t>（3）监理人对承包人提交的工程量报表进行复核，以确定实际完成的工程量。对数量有异议的，可要求承包人按第8.2 款约定进行共同复核和抽样复测。承包人应协助监理人进行复核并按监理人要求提供补充计量资料。承包人未按监理人要求参加复核，监理人复核或修正的工程量视为承包人实际完成的工程量。</w:t>
      </w:r>
    </w:p>
    <w:p w14:paraId="051251A7">
      <w:pPr>
        <w:pStyle w:val="87"/>
        <w:spacing w:line="400" w:lineRule="exact"/>
        <w:ind w:firstLine="540" w:firstLineChars="225"/>
        <w:jc w:val="both"/>
        <w:rPr>
          <w:rFonts w:hAnsi="宋体"/>
          <w:color w:val="auto"/>
        </w:rPr>
      </w:pPr>
      <w:r>
        <w:rPr>
          <w:rFonts w:hint="eastAsia" w:hAnsi="宋体"/>
          <w:color w:val="auto"/>
        </w:rPr>
        <w:t>（4）监理人认为有必要时，可通知承包人共同进行联合测量、计量，承包人应遵照执行。</w:t>
      </w:r>
    </w:p>
    <w:p w14:paraId="526DF609">
      <w:pPr>
        <w:pStyle w:val="87"/>
        <w:spacing w:line="400" w:lineRule="exact"/>
        <w:ind w:firstLine="540" w:firstLineChars="225"/>
        <w:jc w:val="both"/>
        <w:rPr>
          <w:rFonts w:hAnsi="宋体"/>
          <w:color w:val="auto"/>
        </w:rPr>
      </w:pPr>
      <w:r>
        <w:rPr>
          <w:rFonts w:hint="eastAsia" w:hAnsi="宋体"/>
          <w:color w:val="auto"/>
        </w:rPr>
        <w:t>（5）承包人完成工程量清单中每个子目的工程量后，监理人应要求承包人派员共同对每个子目的历次计量报表进行汇总，以核实最终结算工程量。监理人可要求承包人提供补充计量资料，以确定最后一次进度付款的准确工程量。承包人未按监理人要求派员参加的，监理人最终核实的工程量视为承包人完成该子目的准确工程量。</w:t>
      </w:r>
    </w:p>
    <w:p w14:paraId="6BF84040">
      <w:pPr>
        <w:pStyle w:val="87"/>
        <w:spacing w:line="400" w:lineRule="exact"/>
        <w:ind w:firstLine="540" w:firstLineChars="225"/>
        <w:jc w:val="both"/>
        <w:rPr>
          <w:rFonts w:hAnsi="宋体"/>
          <w:color w:val="auto"/>
        </w:rPr>
      </w:pPr>
      <w:r>
        <w:rPr>
          <w:rFonts w:hint="eastAsia" w:hAnsi="宋体"/>
          <w:color w:val="auto"/>
        </w:rPr>
        <w:t>（6）监理人应在收到承包人提交的工程量报表后的7 天内进行复核，监理人未在约定时间内复核的，承包人提交的工程量报表中的工程量视为承包人实际完成的工程量，据此计算工程价款。</w:t>
      </w:r>
    </w:p>
    <w:p w14:paraId="534A6B53">
      <w:pPr>
        <w:pStyle w:val="191"/>
        <w:spacing w:line="400" w:lineRule="exact"/>
        <w:ind w:firstLine="562"/>
        <w:jc w:val="both"/>
        <w:rPr>
          <w:rFonts w:hAnsi="宋体" w:cs="宋体"/>
          <w:b/>
          <w:color w:val="auto"/>
        </w:rPr>
      </w:pPr>
      <w:r>
        <w:rPr>
          <w:rFonts w:hint="eastAsia" w:hAnsi="宋体" w:cs="宋体"/>
          <w:b/>
          <w:color w:val="auto"/>
        </w:rPr>
        <w:t xml:space="preserve">17.1.5 总价子目的计量 </w:t>
      </w:r>
    </w:p>
    <w:p w14:paraId="6168B393">
      <w:pPr>
        <w:pStyle w:val="169"/>
        <w:spacing w:line="400" w:lineRule="exact"/>
        <w:ind w:firstLine="361"/>
        <w:jc w:val="both"/>
        <w:rPr>
          <w:rFonts w:hAnsi="宋体" w:cs="宋体"/>
          <w:color w:val="auto"/>
        </w:rPr>
      </w:pPr>
      <w:r>
        <w:rPr>
          <w:rFonts w:hint="eastAsia" w:hAnsi="宋体" w:cs="宋体"/>
          <w:color w:val="auto"/>
        </w:rPr>
        <w:t xml:space="preserve">总价子目的分解和计量按照下述约定进行。 </w:t>
      </w:r>
    </w:p>
    <w:p w14:paraId="60F1A70B">
      <w:pPr>
        <w:pStyle w:val="25"/>
        <w:spacing w:line="400" w:lineRule="exact"/>
        <w:ind w:firstLine="630" w:firstLineChars="225"/>
        <w:rPr>
          <w:rFonts w:hAnsi="宋体" w:cs="宋体"/>
          <w:color w:val="auto"/>
        </w:rPr>
      </w:pPr>
      <w:r>
        <w:rPr>
          <w:rFonts w:hint="eastAsia" w:hAnsi="宋体" w:cs="宋体"/>
          <w:color w:val="auto"/>
        </w:rPr>
        <w:t>(1)总价子目的计量和支付应以总价为基础，不因第16.1款中的因素而进行调整。承包人实际完成的工程量，是进行工程目标管理和控制进度支付的依据。</w:t>
      </w:r>
    </w:p>
    <w:p w14:paraId="0BD8F909">
      <w:pPr>
        <w:pStyle w:val="25"/>
        <w:spacing w:line="400" w:lineRule="exact"/>
        <w:ind w:firstLine="630" w:firstLineChars="225"/>
        <w:rPr>
          <w:rFonts w:hAnsi="宋体" w:cs="宋体"/>
          <w:color w:val="auto"/>
        </w:rPr>
      </w:pPr>
      <w:r>
        <w:rPr>
          <w:rFonts w:hint="eastAsia" w:hAnsi="宋体" w:cs="宋体"/>
          <w:color w:val="auto"/>
        </w:rPr>
        <w:t>(2)承包人应按工程量清单的要求对总价子目进行分解，并在签订协议书后的28天内将各子目的总价支付分解表提交监理人审批。分解表应标明其所属子目和分阶段需支付的金额。承包人应按批准的各总价子目支付周期，对已完成的总价子目进行计量，确定分项的应付金额列入进度付款申请单中。</w:t>
      </w:r>
    </w:p>
    <w:p w14:paraId="45E06704">
      <w:pPr>
        <w:pStyle w:val="25"/>
        <w:spacing w:line="400" w:lineRule="exact"/>
        <w:ind w:firstLine="630" w:firstLineChars="225"/>
        <w:rPr>
          <w:rFonts w:hAnsi="宋体" w:cs="宋体"/>
          <w:color w:val="auto"/>
        </w:rPr>
      </w:pPr>
      <w:r>
        <w:rPr>
          <w:rFonts w:hint="eastAsia" w:hAnsi="宋体" w:cs="宋体"/>
          <w:color w:val="auto"/>
        </w:rPr>
        <w:t>(3)监理人对承包人提交的上述资料进行复核，以确定分阶段实际完成的工程量和工程形象目标。对其有异议的，可要求承包人按第8.2款约定进行共同复核和抽样复测。</w:t>
      </w:r>
    </w:p>
    <w:p w14:paraId="4CE7E88B">
      <w:pPr>
        <w:pStyle w:val="25"/>
        <w:spacing w:line="400" w:lineRule="exact"/>
        <w:ind w:firstLine="630" w:firstLineChars="225"/>
        <w:rPr>
          <w:rFonts w:hAnsi="宋体" w:cs="宋体"/>
          <w:color w:val="auto"/>
        </w:rPr>
      </w:pPr>
      <w:r>
        <w:rPr>
          <w:rFonts w:hint="eastAsia" w:hAnsi="宋体" w:cs="宋体"/>
          <w:color w:val="auto"/>
        </w:rPr>
        <w:t>(4)除按照第15条约定的变更外，总价子目的工程量是承包人用于结算的最终工程量。</w:t>
      </w:r>
    </w:p>
    <w:p w14:paraId="696D9C51">
      <w:pPr>
        <w:pStyle w:val="180"/>
        <w:spacing w:after="0" w:line="400" w:lineRule="exact"/>
        <w:ind w:firstLine="562"/>
        <w:jc w:val="both"/>
        <w:rPr>
          <w:rFonts w:hAnsi="宋体" w:cs="宋体"/>
          <w:b/>
          <w:color w:val="auto"/>
        </w:rPr>
      </w:pPr>
      <w:r>
        <w:rPr>
          <w:rFonts w:hint="eastAsia" w:hAnsi="宋体" w:cs="宋体"/>
          <w:b/>
          <w:color w:val="auto"/>
        </w:rPr>
        <w:t>17.2 预付款</w:t>
      </w:r>
    </w:p>
    <w:p w14:paraId="2EE0758E">
      <w:pPr>
        <w:pStyle w:val="197"/>
        <w:spacing w:line="400" w:lineRule="exact"/>
        <w:ind w:firstLine="562"/>
        <w:jc w:val="both"/>
        <w:rPr>
          <w:rFonts w:hAnsi="宋体" w:cs="宋体"/>
          <w:b/>
          <w:color w:val="auto"/>
        </w:rPr>
      </w:pPr>
      <w:r>
        <w:rPr>
          <w:rFonts w:hint="eastAsia" w:hAnsi="宋体" w:cs="宋体"/>
          <w:b/>
          <w:color w:val="auto"/>
        </w:rPr>
        <w:t>17.2.1 预付款</w:t>
      </w:r>
    </w:p>
    <w:p w14:paraId="005712FE">
      <w:pPr>
        <w:pStyle w:val="188"/>
        <w:spacing w:line="400" w:lineRule="exact"/>
        <w:ind w:right="100" w:firstLine="560"/>
        <w:jc w:val="both"/>
        <w:rPr>
          <w:rFonts w:hAnsi="宋体" w:cs="宋体"/>
          <w:color w:val="auto"/>
        </w:rPr>
      </w:pPr>
      <w:r>
        <w:rPr>
          <w:rFonts w:hint="eastAsia" w:hAnsi="宋体" w:cs="宋体"/>
          <w:color w:val="auto"/>
        </w:rPr>
        <w:t>预付款用于承包人为合同工程施工购置材料、工程设备、施工设备、修建临时设施以及组织施工队伍进场等，分为工程预付款和工程材料预付款。预付款必须专用于合同工程。预付款的额度和预付办法在专用合同条款中约定。</w:t>
      </w:r>
    </w:p>
    <w:p w14:paraId="339446ED">
      <w:pPr>
        <w:pStyle w:val="197"/>
        <w:spacing w:line="400" w:lineRule="exact"/>
        <w:ind w:firstLine="562"/>
        <w:jc w:val="both"/>
        <w:rPr>
          <w:rFonts w:hAnsi="宋体" w:cs="宋体"/>
          <w:b/>
          <w:color w:val="auto"/>
        </w:rPr>
      </w:pPr>
      <w:r>
        <w:rPr>
          <w:rFonts w:hint="eastAsia" w:hAnsi="宋体" w:cs="宋体"/>
          <w:b/>
          <w:color w:val="auto"/>
        </w:rPr>
        <w:t>17.2.2 预付款保函（担保）</w:t>
      </w:r>
    </w:p>
    <w:p w14:paraId="7A548BEA">
      <w:pPr>
        <w:pStyle w:val="25"/>
        <w:spacing w:line="400" w:lineRule="exact"/>
        <w:ind w:firstLine="630" w:firstLineChars="225"/>
        <w:rPr>
          <w:rFonts w:hAnsi="宋体" w:cs="宋体"/>
          <w:color w:val="auto"/>
        </w:rPr>
      </w:pPr>
      <w:r>
        <w:rPr>
          <w:rFonts w:hint="eastAsia" w:hAnsi="宋体" w:cs="宋体"/>
          <w:color w:val="auto"/>
        </w:rPr>
        <w:t>(1)承包人应在收到第一次工程预付款的同时向发包人提交工程预付款担保，担保金额应与第一次工程预付款金额相同，工程预付款担保在第一次工程预付款被发包人扣回前一直有效。</w:t>
      </w:r>
    </w:p>
    <w:p w14:paraId="00011823">
      <w:pPr>
        <w:pStyle w:val="25"/>
        <w:spacing w:line="400" w:lineRule="exact"/>
        <w:ind w:firstLine="630" w:firstLineChars="225"/>
        <w:rPr>
          <w:rFonts w:hAnsi="宋体" w:cs="宋体"/>
          <w:color w:val="auto"/>
        </w:rPr>
      </w:pPr>
      <w:r>
        <w:rPr>
          <w:rFonts w:hint="eastAsia" w:hAnsi="宋体" w:cs="宋体"/>
          <w:color w:val="auto"/>
        </w:rPr>
        <w:t>(2)工程材料预付款的担保在专用合同条款中约定。</w:t>
      </w:r>
    </w:p>
    <w:p w14:paraId="55F5A3AA">
      <w:pPr>
        <w:pStyle w:val="197"/>
        <w:spacing w:line="400" w:lineRule="exact"/>
        <w:ind w:firstLine="540" w:firstLineChars="225"/>
        <w:jc w:val="both"/>
        <w:rPr>
          <w:rFonts w:hAnsi="宋体" w:cs="宋体"/>
          <w:color w:val="auto"/>
        </w:rPr>
      </w:pPr>
      <w:r>
        <w:rPr>
          <w:rFonts w:hint="eastAsia" w:hAnsi="宋体" w:cs="宋体"/>
          <w:color w:val="auto"/>
        </w:rPr>
        <w:t>(3)预付款担保的担保金额可根据预付款扣回的金额相应递减。</w:t>
      </w:r>
    </w:p>
    <w:p w14:paraId="3A554EEC">
      <w:pPr>
        <w:pStyle w:val="197"/>
        <w:spacing w:line="400" w:lineRule="exact"/>
        <w:ind w:firstLine="562"/>
        <w:jc w:val="both"/>
        <w:rPr>
          <w:rFonts w:hAnsi="宋体" w:cs="宋体"/>
          <w:b/>
          <w:color w:val="auto"/>
        </w:rPr>
      </w:pPr>
      <w:r>
        <w:rPr>
          <w:rFonts w:hint="eastAsia" w:hAnsi="宋体" w:cs="宋体"/>
          <w:b/>
          <w:color w:val="auto"/>
        </w:rPr>
        <w:t>17.2.3 预付款的扣回与还清</w:t>
      </w:r>
    </w:p>
    <w:p w14:paraId="1E17BB9D">
      <w:pPr>
        <w:pStyle w:val="175"/>
        <w:spacing w:after="0" w:line="400" w:lineRule="exact"/>
        <w:ind w:firstLine="361"/>
        <w:jc w:val="both"/>
        <w:rPr>
          <w:rFonts w:hAnsi="宋体" w:cs="宋体"/>
          <w:color w:val="auto"/>
        </w:rPr>
      </w:pPr>
      <w:r>
        <w:rPr>
          <w:rFonts w:hint="eastAsia" w:hAnsi="宋体" w:cs="宋体"/>
          <w:color w:val="auto"/>
        </w:rPr>
        <w:t>预付款在进度付款中扣回，扣回与还清办法在专用合同条款中约定。在颁发合同工程完工证书前，由于不可抗力或其它原因解除合同时，预付款尚未扣清的，尚未扣清的预付款余额应作为承包人的到期应付款。</w:t>
      </w:r>
    </w:p>
    <w:p w14:paraId="6DD3AB23">
      <w:pPr>
        <w:pStyle w:val="180"/>
        <w:spacing w:after="0" w:line="400" w:lineRule="exact"/>
        <w:ind w:firstLine="562"/>
        <w:jc w:val="both"/>
        <w:rPr>
          <w:rFonts w:hAnsi="宋体" w:cs="宋体"/>
          <w:b/>
          <w:color w:val="auto"/>
        </w:rPr>
      </w:pPr>
      <w:r>
        <w:rPr>
          <w:rFonts w:hint="eastAsia" w:hAnsi="宋体" w:cs="宋体"/>
          <w:b/>
          <w:color w:val="auto"/>
        </w:rPr>
        <w:t>17.3 工程进度付款</w:t>
      </w:r>
    </w:p>
    <w:p w14:paraId="72E81AA4">
      <w:pPr>
        <w:pStyle w:val="197"/>
        <w:spacing w:line="400" w:lineRule="exact"/>
        <w:ind w:firstLine="562"/>
        <w:jc w:val="both"/>
        <w:rPr>
          <w:rFonts w:hAnsi="宋体" w:cs="宋体"/>
          <w:b/>
          <w:color w:val="auto"/>
        </w:rPr>
      </w:pPr>
      <w:r>
        <w:rPr>
          <w:rFonts w:hint="eastAsia" w:hAnsi="宋体" w:cs="宋体"/>
          <w:b/>
          <w:color w:val="auto"/>
        </w:rPr>
        <w:t>17.3.1 付款周期</w:t>
      </w:r>
    </w:p>
    <w:p w14:paraId="16AB235F">
      <w:pPr>
        <w:pStyle w:val="175"/>
        <w:spacing w:after="0" w:line="400" w:lineRule="exact"/>
        <w:ind w:firstLine="361"/>
        <w:jc w:val="both"/>
        <w:rPr>
          <w:rFonts w:hAnsi="宋体" w:cs="宋体"/>
          <w:color w:val="auto"/>
        </w:rPr>
      </w:pPr>
      <w:r>
        <w:rPr>
          <w:rFonts w:hint="eastAsia" w:hAnsi="宋体" w:cs="宋体"/>
          <w:color w:val="auto"/>
        </w:rPr>
        <w:t>付款周期同计量周期。</w:t>
      </w:r>
    </w:p>
    <w:p w14:paraId="004C82B1">
      <w:pPr>
        <w:pStyle w:val="197"/>
        <w:spacing w:line="400" w:lineRule="exact"/>
        <w:ind w:firstLine="562"/>
        <w:jc w:val="both"/>
        <w:rPr>
          <w:rFonts w:hAnsi="宋体" w:cs="宋体"/>
          <w:b/>
          <w:color w:val="auto"/>
        </w:rPr>
      </w:pPr>
      <w:r>
        <w:rPr>
          <w:rFonts w:hint="eastAsia" w:hAnsi="宋体" w:cs="宋体"/>
          <w:b/>
          <w:color w:val="auto"/>
        </w:rPr>
        <w:t>17.3.2 进度付款申请单</w:t>
      </w:r>
    </w:p>
    <w:p w14:paraId="7CECE2DA">
      <w:pPr>
        <w:pStyle w:val="184"/>
        <w:spacing w:line="400" w:lineRule="exact"/>
        <w:ind w:right="100" w:firstLine="560"/>
        <w:jc w:val="both"/>
        <w:rPr>
          <w:rFonts w:hAnsi="宋体" w:cs="宋体"/>
          <w:color w:val="auto"/>
        </w:rPr>
      </w:pPr>
      <w:r>
        <w:rPr>
          <w:rFonts w:hint="eastAsia" w:hAnsi="宋体" w:cs="宋体"/>
          <w:color w:val="auto"/>
        </w:rPr>
        <w:t>承包人应在每个付款周期末，按监理人批准的格式和专用合同条款约定的份数，向监理人提交进度付款申请单，并附相应的支持性证明文件。除专用合同条款另有约定外，进度付款申请单应包括下列内容：</w:t>
      </w:r>
    </w:p>
    <w:p w14:paraId="488F4065">
      <w:pPr>
        <w:pStyle w:val="87"/>
        <w:spacing w:line="400" w:lineRule="exact"/>
        <w:ind w:firstLine="540" w:firstLineChars="225"/>
        <w:jc w:val="both"/>
        <w:rPr>
          <w:rFonts w:hAnsi="宋体"/>
          <w:color w:val="auto"/>
        </w:rPr>
      </w:pPr>
      <w:r>
        <w:rPr>
          <w:rFonts w:hint="eastAsia" w:hAnsi="宋体"/>
          <w:color w:val="auto"/>
        </w:rPr>
        <w:t>（1）截至本次付款周期末已实施工程的价款；</w:t>
      </w:r>
    </w:p>
    <w:p w14:paraId="62A9360E">
      <w:pPr>
        <w:pStyle w:val="87"/>
        <w:spacing w:line="400" w:lineRule="exact"/>
        <w:ind w:firstLine="540" w:firstLineChars="225"/>
        <w:jc w:val="both"/>
        <w:rPr>
          <w:rFonts w:hAnsi="宋体"/>
          <w:color w:val="auto"/>
        </w:rPr>
      </w:pPr>
      <w:r>
        <w:rPr>
          <w:rFonts w:hint="eastAsia" w:hAnsi="宋体"/>
          <w:color w:val="auto"/>
        </w:rPr>
        <w:t>（2）根据第15 条应增加和扣减的变更金额；</w:t>
      </w:r>
    </w:p>
    <w:p w14:paraId="2411AF13">
      <w:pPr>
        <w:pStyle w:val="87"/>
        <w:spacing w:line="400" w:lineRule="exact"/>
        <w:ind w:firstLine="540" w:firstLineChars="225"/>
        <w:jc w:val="both"/>
        <w:rPr>
          <w:rFonts w:hAnsi="宋体"/>
          <w:color w:val="auto"/>
        </w:rPr>
      </w:pPr>
      <w:r>
        <w:rPr>
          <w:rFonts w:hint="eastAsia" w:hAnsi="宋体"/>
          <w:color w:val="auto"/>
        </w:rPr>
        <w:t>（3）根据第23 条应增加和扣减的索赔金额；</w:t>
      </w:r>
    </w:p>
    <w:p w14:paraId="6D905A97">
      <w:pPr>
        <w:pStyle w:val="87"/>
        <w:spacing w:line="400" w:lineRule="exact"/>
        <w:ind w:firstLine="540" w:firstLineChars="225"/>
        <w:jc w:val="both"/>
        <w:rPr>
          <w:rFonts w:hAnsi="宋体"/>
          <w:color w:val="auto"/>
        </w:rPr>
      </w:pPr>
      <w:r>
        <w:rPr>
          <w:rFonts w:hint="eastAsia" w:hAnsi="宋体"/>
          <w:color w:val="auto"/>
        </w:rPr>
        <w:t>（4）根据第17.2 款约定应支付的预付款和扣减的返还预付款；</w:t>
      </w:r>
    </w:p>
    <w:p w14:paraId="42EF2B23">
      <w:pPr>
        <w:pStyle w:val="87"/>
        <w:spacing w:line="400" w:lineRule="exact"/>
        <w:ind w:firstLine="540" w:firstLineChars="225"/>
        <w:jc w:val="both"/>
        <w:rPr>
          <w:rFonts w:hAnsi="宋体"/>
          <w:color w:val="auto"/>
        </w:rPr>
      </w:pPr>
      <w:r>
        <w:rPr>
          <w:rFonts w:hint="eastAsia" w:hAnsi="宋体"/>
          <w:color w:val="auto"/>
        </w:rPr>
        <w:t>（5）根据第17.4.1 项约定应扣减的质量保证金；</w:t>
      </w:r>
    </w:p>
    <w:p w14:paraId="1156FA31">
      <w:pPr>
        <w:pStyle w:val="87"/>
        <w:spacing w:line="400" w:lineRule="exact"/>
        <w:ind w:firstLine="540" w:firstLineChars="225"/>
        <w:jc w:val="both"/>
        <w:rPr>
          <w:rFonts w:hAnsi="宋体"/>
          <w:color w:val="auto"/>
        </w:rPr>
      </w:pPr>
      <w:r>
        <w:rPr>
          <w:rFonts w:hint="eastAsia" w:hAnsi="宋体"/>
          <w:color w:val="auto"/>
        </w:rPr>
        <w:t>（6）根据合同应增加和扣减的其他金额。</w:t>
      </w:r>
    </w:p>
    <w:p w14:paraId="64378289">
      <w:pPr>
        <w:pStyle w:val="197"/>
        <w:spacing w:line="400" w:lineRule="exact"/>
        <w:ind w:firstLine="562"/>
        <w:jc w:val="both"/>
        <w:rPr>
          <w:rFonts w:hAnsi="宋体" w:cs="宋体"/>
          <w:b/>
          <w:color w:val="auto"/>
        </w:rPr>
      </w:pPr>
      <w:r>
        <w:rPr>
          <w:rFonts w:hint="eastAsia" w:hAnsi="宋体" w:cs="宋体"/>
          <w:b/>
          <w:color w:val="auto"/>
        </w:rPr>
        <w:t>17.3.3 进度付款证书和支付时间</w:t>
      </w:r>
    </w:p>
    <w:p w14:paraId="373E4BF3">
      <w:pPr>
        <w:pStyle w:val="87"/>
        <w:spacing w:line="400" w:lineRule="exact"/>
        <w:ind w:firstLine="616" w:firstLineChars="257"/>
        <w:jc w:val="both"/>
        <w:rPr>
          <w:rFonts w:hAnsi="宋体"/>
          <w:color w:val="auto"/>
        </w:rPr>
      </w:pPr>
      <w:r>
        <w:rPr>
          <w:rFonts w:hint="eastAsia" w:hAnsi="宋体"/>
          <w:color w:val="auto"/>
        </w:rPr>
        <w:t>（1）监理人在收到承包人进度付款申请单以及相应的支持性证明文件后的14天内完成核查，提出发包人到期应支付给承包人的金额以及相应的支持性材料，经发包人审查同意后，由监理人向承包人出具经发包人签认的进度付款证书。监理人有权扣发承包人未能按照合同要求履行任何工作或义务的相应金额。</w:t>
      </w:r>
    </w:p>
    <w:p w14:paraId="08B9422B">
      <w:pPr>
        <w:pStyle w:val="87"/>
        <w:spacing w:line="400" w:lineRule="exact"/>
        <w:ind w:firstLine="616" w:firstLineChars="257"/>
        <w:jc w:val="both"/>
        <w:rPr>
          <w:rFonts w:hAnsi="宋体"/>
          <w:color w:val="auto"/>
        </w:rPr>
      </w:pPr>
      <w:r>
        <w:rPr>
          <w:rFonts w:hint="eastAsia" w:hAnsi="宋体"/>
          <w:color w:val="auto"/>
        </w:rPr>
        <w:t>（2）发包人应在监理人收到进度付款申请单后的28 天内，将进度应付款支付给承包人。发包人不按期支付的，按专用合同条款的约定支付逾期付款违约金。</w:t>
      </w:r>
    </w:p>
    <w:p w14:paraId="67835612">
      <w:pPr>
        <w:pStyle w:val="87"/>
        <w:spacing w:line="400" w:lineRule="exact"/>
        <w:ind w:firstLine="616" w:firstLineChars="257"/>
        <w:jc w:val="both"/>
        <w:rPr>
          <w:rFonts w:hAnsi="宋体"/>
          <w:color w:val="auto"/>
        </w:rPr>
      </w:pPr>
      <w:r>
        <w:rPr>
          <w:rFonts w:hint="eastAsia" w:hAnsi="宋体"/>
          <w:color w:val="auto"/>
        </w:rPr>
        <w:t>（3）监理人出具进度付款证书，不应视为监理人已同意、批准或接受了承包人完成的该部分工作。</w:t>
      </w:r>
    </w:p>
    <w:p w14:paraId="41551D13">
      <w:pPr>
        <w:pStyle w:val="87"/>
        <w:spacing w:line="400" w:lineRule="exact"/>
        <w:ind w:firstLine="616" w:firstLineChars="257"/>
        <w:jc w:val="both"/>
        <w:rPr>
          <w:rFonts w:hAnsi="宋体"/>
          <w:color w:val="auto"/>
        </w:rPr>
      </w:pPr>
      <w:r>
        <w:rPr>
          <w:rFonts w:hint="eastAsia" w:hAnsi="宋体"/>
          <w:color w:val="auto"/>
        </w:rPr>
        <w:t>（4）进度付款涉及政府投资资金的，按照国库集中支付等国家相关规定和专用合同条款的约定办理。</w:t>
      </w:r>
    </w:p>
    <w:p w14:paraId="6451BF5E">
      <w:pPr>
        <w:pStyle w:val="197"/>
        <w:spacing w:line="400" w:lineRule="exact"/>
        <w:ind w:firstLine="562"/>
        <w:jc w:val="both"/>
        <w:rPr>
          <w:rFonts w:hAnsi="宋体" w:cs="宋体"/>
          <w:b/>
          <w:color w:val="auto"/>
        </w:rPr>
      </w:pPr>
      <w:r>
        <w:rPr>
          <w:rFonts w:hint="eastAsia" w:hAnsi="宋体" w:cs="宋体"/>
          <w:b/>
          <w:color w:val="auto"/>
        </w:rPr>
        <w:t>17.3.4 工程进度付款的修正</w:t>
      </w:r>
    </w:p>
    <w:p w14:paraId="0EA34084">
      <w:pPr>
        <w:pStyle w:val="87"/>
        <w:spacing w:line="400" w:lineRule="exact"/>
        <w:ind w:firstLine="616" w:firstLineChars="257"/>
        <w:jc w:val="both"/>
        <w:rPr>
          <w:rFonts w:hAnsi="宋体"/>
          <w:color w:val="auto"/>
        </w:rPr>
      </w:pPr>
      <w:r>
        <w:rPr>
          <w:rFonts w:hint="eastAsia" w:hAnsi="宋体"/>
          <w:color w:val="auto"/>
        </w:rPr>
        <w:t>在对以往历次已签发的进度付款证书进行汇总和复核中发现错、漏或重复的，监理人有权予以修正，承包人也有权提出修正申请。经双方复核同意的修正，应在本次进度付款中支付或扣除。</w:t>
      </w:r>
    </w:p>
    <w:p w14:paraId="7D5AF5E7">
      <w:pPr>
        <w:pStyle w:val="180"/>
        <w:spacing w:after="0" w:line="400" w:lineRule="exact"/>
        <w:ind w:firstLine="562"/>
        <w:jc w:val="both"/>
        <w:rPr>
          <w:rFonts w:hAnsi="宋体" w:cs="宋体"/>
          <w:b/>
          <w:color w:val="auto"/>
        </w:rPr>
      </w:pPr>
      <w:r>
        <w:rPr>
          <w:rFonts w:hint="eastAsia" w:hAnsi="宋体" w:cs="宋体"/>
          <w:b/>
          <w:color w:val="auto"/>
        </w:rPr>
        <w:t>17.4 质量保证金</w:t>
      </w:r>
    </w:p>
    <w:p w14:paraId="0ECCA99B">
      <w:pPr>
        <w:pStyle w:val="87"/>
        <w:spacing w:line="400" w:lineRule="exact"/>
        <w:ind w:firstLine="616" w:firstLineChars="257"/>
        <w:jc w:val="both"/>
        <w:rPr>
          <w:rFonts w:hAnsi="宋体"/>
          <w:color w:val="auto"/>
        </w:rPr>
      </w:pPr>
      <w:r>
        <w:rPr>
          <w:rFonts w:hint="eastAsia" w:hAnsi="宋体"/>
          <w:color w:val="auto"/>
        </w:rPr>
        <w:t>17.4.1 监理人应从第一个工程进度付款周期开始，在发包人的进度付款中，按专用合同条款的约定扣留质量保证金，直至扣留的质量保证金总额达到专用合同条款约定的金额或比例为止。质量保证金的计算额度不包括预付款的支付与扣回金额。</w:t>
      </w:r>
    </w:p>
    <w:p w14:paraId="1758D05E">
      <w:pPr>
        <w:pStyle w:val="87"/>
        <w:spacing w:line="400" w:lineRule="exact"/>
        <w:ind w:firstLine="616" w:firstLineChars="257"/>
        <w:jc w:val="both"/>
        <w:rPr>
          <w:rFonts w:hAnsi="宋体"/>
          <w:color w:val="auto"/>
        </w:rPr>
      </w:pPr>
      <w:r>
        <w:rPr>
          <w:rFonts w:hint="eastAsia" w:hAnsi="宋体"/>
          <w:color w:val="auto"/>
        </w:rPr>
        <w:t>17.4.2 合同工程完工证书颁发后14天内，发包人将质量保证金总额的一半支付给承包人。在第1.1.4.5目约定的缺陷责任期(工程质量保修期)满时，发包人将在30个工作日内会同承包人按照合同约定的内容核实承包人是否完成保修责任。如无异议，发包人应当在核实后将剩余的质量保证金支付给承包人。</w:t>
      </w:r>
    </w:p>
    <w:p w14:paraId="48856995">
      <w:pPr>
        <w:pStyle w:val="87"/>
        <w:spacing w:line="400" w:lineRule="exact"/>
        <w:ind w:firstLine="616" w:firstLineChars="257"/>
        <w:jc w:val="both"/>
        <w:rPr>
          <w:rFonts w:hAnsi="宋体"/>
          <w:color w:val="auto"/>
        </w:rPr>
      </w:pPr>
      <w:r>
        <w:rPr>
          <w:rFonts w:hint="eastAsia" w:hAnsi="宋体"/>
          <w:color w:val="auto"/>
        </w:rPr>
        <w:t>17.4.3 在第1.1.4.5 目约定的缺陷责任期满时，承包人没有完成缺陷责任的，发包人有权扣留与未履行责任剩余工作所需金额相应的质量保证金余额，并有权根据第19.3 款约定要求延长缺陷责任期，直至完成剩余工作为止。</w:t>
      </w:r>
    </w:p>
    <w:p w14:paraId="5329F63C">
      <w:pPr>
        <w:pStyle w:val="180"/>
        <w:spacing w:after="0" w:line="400" w:lineRule="exact"/>
        <w:ind w:firstLine="562"/>
        <w:jc w:val="both"/>
        <w:rPr>
          <w:rFonts w:hAnsi="宋体" w:cs="宋体"/>
          <w:b/>
          <w:color w:val="auto"/>
        </w:rPr>
      </w:pPr>
      <w:r>
        <w:rPr>
          <w:rFonts w:hint="eastAsia" w:hAnsi="宋体" w:cs="宋体"/>
          <w:b/>
          <w:color w:val="auto"/>
        </w:rPr>
        <w:t>17.5 竣工结算（完工结算）</w:t>
      </w:r>
    </w:p>
    <w:p w14:paraId="70EE3A10">
      <w:pPr>
        <w:pStyle w:val="197"/>
        <w:spacing w:line="400" w:lineRule="exact"/>
        <w:ind w:firstLine="562"/>
        <w:jc w:val="both"/>
        <w:rPr>
          <w:rFonts w:hAnsi="宋体" w:cs="宋体"/>
          <w:b/>
          <w:color w:val="auto"/>
        </w:rPr>
      </w:pPr>
      <w:r>
        <w:rPr>
          <w:rFonts w:hint="eastAsia" w:hAnsi="宋体" w:cs="宋体"/>
          <w:b/>
          <w:color w:val="auto"/>
        </w:rPr>
        <w:t>17.5.1 竣工（完工）付款申请单</w:t>
      </w:r>
    </w:p>
    <w:p w14:paraId="42D8CA4F">
      <w:pPr>
        <w:pStyle w:val="87"/>
        <w:spacing w:line="400" w:lineRule="exact"/>
        <w:ind w:firstLine="616" w:firstLineChars="257"/>
        <w:jc w:val="both"/>
        <w:rPr>
          <w:rFonts w:hAnsi="宋体"/>
          <w:color w:val="auto"/>
        </w:rPr>
      </w:pPr>
      <w:r>
        <w:rPr>
          <w:rFonts w:hint="eastAsia" w:hAnsi="宋体"/>
          <w:color w:val="auto"/>
        </w:rPr>
        <w:t>（1）承包人应在合同工程完工证书颁发后28天内，按专用合同条款约定的份数向监理人提交完工付款申请单，并提供相关证明材料。完工付款申请单应包括下列内容：完工结算合同总价、发包人已支付承包人的工程价款、应扣留的质量保证金、应支付的完工付款金额。</w:t>
      </w:r>
    </w:p>
    <w:p w14:paraId="3E28AEC1">
      <w:pPr>
        <w:pStyle w:val="87"/>
        <w:spacing w:line="400" w:lineRule="exact"/>
        <w:ind w:firstLine="616" w:firstLineChars="257"/>
        <w:jc w:val="both"/>
        <w:rPr>
          <w:rFonts w:hAnsi="宋体"/>
          <w:color w:val="auto"/>
        </w:rPr>
      </w:pPr>
      <w:r>
        <w:rPr>
          <w:rFonts w:hint="eastAsia" w:hAnsi="宋体"/>
          <w:color w:val="auto"/>
        </w:rPr>
        <w:t>（2）监理人对完工付款申请单有异议的，有权要求承包人进行修正和提供补充资料。经监理人和承包人协商后，由承包人向监理人提交修正后的完工付款申请单。</w:t>
      </w:r>
    </w:p>
    <w:p w14:paraId="3767414C">
      <w:pPr>
        <w:pStyle w:val="197"/>
        <w:spacing w:line="400" w:lineRule="exact"/>
        <w:ind w:firstLine="562"/>
        <w:jc w:val="both"/>
        <w:rPr>
          <w:rFonts w:hAnsi="宋体" w:cs="宋体"/>
          <w:b/>
          <w:color w:val="auto"/>
        </w:rPr>
      </w:pPr>
      <w:r>
        <w:rPr>
          <w:rFonts w:hint="eastAsia" w:hAnsi="宋体" w:cs="宋体"/>
          <w:b/>
          <w:color w:val="auto"/>
        </w:rPr>
        <w:t>17.5.2 竣工（完工）付款证书及支付时间</w:t>
      </w:r>
    </w:p>
    <w:p w14:paraId="730CDF73">
      <w:pPr>
        <w:pStyle w:val="87"/>
        <w:spacing w:line="400" w:lineRule="exact"/>
        <w:ind w:firstLine="616" w:firstLineChars="257"/>
        <w:jc w:val="both"/>
        <w:rPr>
          <w:rFonts w:hAnsi="宋体"/>
          <w:color w:val="auto"/>
        </w:rPr>
      </w:pPr>
      <w:r>
        <w:rPr>
          <w:rFonts w:hint="eastAsia" w:hAnsi="宋体"/>
          <w:color w:val="auto"/>
        </w:rPr>
        <w:t>（1）监理人在收到承包人提交的完工付款申请单后的14天内完成核查，提出发包人到期应支付给承包人的价款送发包人审核并抄送承包人。发包人应在收到后14天内审核完毕，由监理人向承包人出具经发包人签认的完工付款证书。监理人未在约定时间内核查，又未提出具体意见的，视为承包人提交的完工付款申请单已经监理人核查同意。发包人未在约定时间内审核又未提出具体意见的，监理人提出发包人到期应支付给承包人的价款视为已经发包人同意。</w:t>
      </w:r>
    </w:p>
    <w:p w14:paraId="368A045D">
      <w:pPr>
        <w:pStyle w:val="87"/>
        <w:spacing w:line="400" w:lineRule="exact"/>
        <w:ind w:firstLine="616" w:firstLineChars="257"/>
        <w:jc w:val="both"/>
        <w:rPr>
          <w:rFonts w:hAnsi="宋体"/>
          <w:color w:val="auto"/>
        </w:rPr>
      </w:pPr>
      <w:r>
        <w:rPr>
          <w:rFonts w:hint="eastAsia" w:hAnsi="宋体"/>
          <w:color w:val="auto"/>
        </w:rPr>
        <w:t>（2）发包人应在监理人出具完工付款证书后的14天内，将应支付款支付给承包人。发包人不按期支付的，按第17.3.3(2)目的约定，将逾期付款违约金支付给承包人。</w:t>
      </w:r>
    </w:p>
    <w:p w14:paraId="3C47309E">
      <w:pPr>
        <w:pStyle w:val="87"/>
        <w:spacing w:line="400" w:lineRule="exact"/>
        <w:ind w:firstLine="616" w:firstLineChars="257"/>
        <w:jc w:val="both"/>
        <w:rPr>
          <w:rFonts w:hAnsi="宋体"/>
          <w:color w:val="auto"/>
        </w:rPr>
      </w:pPr>
      <w:r>
        <w:rPr>
          <w:rFonts w:hint="eastAsia" w:hAnsi="宋体"/>
          <w:color w:val="auto"/>
        </w:rPr>
        <w:t>（3）承包人对发包人签认的完工付款证书有异议的，发包人可出具完工付款申请单中承包人已同意部分的临时付款证书。存在争议的部分，按第24条的约定办理。</w:t>
      </w:r>
    </w:p>
    <w:p w14:paraId="6813112E">
      <w:pPr>
        <w:pStyle w:val="87"/>
        <w:spacing w:line="400" w:lineRule="exact"/>
        <w:ind w:firstLine="616" w:firstLineChars="257"/>
        <w:jc w:val="both"/>
        <w:rPr>
          <w:rFonts w:hAnsi="宋体"/>
          <w:color w:val="auto"/>
        </w:rPr>
      </w:pPr>
      <w:r>
        <w:rPr>
          <w:rFonts w:hint="eastAsia" w:hAnsi="宋体"/>
          <w:color w:val="auto"/>
        </w:rPr>
        <w:t>（4）完工付款涉及政府投资资金的，按第17.3.3(4)目的约定办理。</w:t>
      </w:r>
    </w:p>
    <w:p w14:paraId="76391D94">
      <w:pPr>
        <w:pStyle w:val="180"/>
        <w:spacing w:after="0" w:line="400" w:lineRule="exact"/>
        <w:ind w:firstLine="562"/>
        <w:jc w:val="both"/>
        <w:rPr>
          <w:rFonts w:hAnsi="宋体" w:cs="宋体"/>
          <w:b/>
          <w:color w:val="auto"/>
        </w:rPr>
      </w:pPr>
      <w:r>
        <w:rPr>
          <w:rFonts w:hint="eastAsia" w:hAnsi="宋体" w:cs="宋体"/>
          <w:b/>
          <w:color w:val="auto"/>
        </w:rPr>
        <w:t>17.6 最终结清</w:t>
      </w:r>
    </w:p>
    <w:p w14:paraId="264C8665">
      <w:pPr>
        <w:pStyle w:val="197"/>
        <w:spacing w:line="400" w:lineRule="exact"/>
        <w:ind w:firstLine="562"/>
        <w:jc w:val="both"/>
        <w:rPr>
          <w:rFonts w:hAnsi="宋体" w:cs="宋体"/>
          <w:b/>
          <w:color w:val="auto"/>
        </w:rPr>
      </w:pPr>
      <w:r>
        <w:rPr>
          <w:rFonts w:hint="eastAsia" w:hAnsi="宋体" w:cs="宋体"/>
          <w:b/>
          <w:color w:val="auto"/>
        </w:rPr>
        <w:t>17.6.1 最终结清申请单</w:t>
      </w:r>
    </w:p>
    <w:p w14:paraId="1AC7951B">
      <w:pPr>
        <w:pStyle w:val="87"/>
        <w:spacing w:line="400" w:lineRule="exact"/>
        <w:ind w:firstLine="616" w:firstLineChars="257"/>
        <w:jc w:val="both"/>
        <w:rPr>
          <w:rFonts w:hAnsi="宋体"/>
          <w:color w:val="auto"/>
        </w:rPr>
      </w:pPr>
      <w:r>
        <w:rPr>
          <w:rFonts w:hint="eastAsia" w:hAnsi="宋体"/>
          <w:color w:val="auto"/>
        </w:rPr>
        <w:t>（1）工程质量保修责任终止证书签发后，承包人应按监理人批准的格式提交最终结清申请单。提交最终结清申请单的份数在专用合同条款中约定。</w:t>
      </w:r>
    </w:p>
    <w:p w14:paraId="02686CD9">
      <w:pPr>
        <w:pStyle w:val="87"/>
        <w:spacing w:line="400" w:lineRule="exact"/>
        <w:ind w:firstLine="616" w:firstLineChars="257"/>
        <w:jc w:val="both"/>
        <w:rPr>
          <w:rFonts w:hAnsi="宋体"/>
          <w:color w:val="auto"/>
        </w:rPr>
      </w:pPr>
      <w:r>
        <w:rPr>
          <w:rFonts w:hint="eastAsia" w:hAnsi="宋体"/>
          <w:color w:val="auto"/>
        </w:rPr>
        <w:t>（2）发包人对最终结清申请单内容有异议的，有权要求承包人进行修正和提供补充资料，由承包人向监理人提交修正后的最终结清申请单。</w:t>
      </w:r>
    </w:p>
    <w:p w14:paraId="11325C63">
      <w:pPr>
        <w:pStyle w:val="197"/>
        <w:spacing w:line="400" w:lineRule="exact"/>
        <w:ind w:firstLine="562"/>
        <w:jc w:val="both"/>
        <w:rPr>
          <w:rFonts w:hAnsi="宋体" w:cs="宋体"/>
          <w:b/>
          <w:color w:val="auto"/>
        </w:rPr>
      </w:pPr>
      <w:r>
        <w:rPr>
          <w:rFonts w:hint="eastAsia" w:hAnsi="宋体" w:cs="宋体"/>
          <w:b/>
          <w:color w:val="auto"/>
        </w:rPr>
        <w:t>17.6.2 最终结清证书和支付时间</w:t>
      </w:r>
    </w:p>
    <w:p w14:paraId="4687A12A">
      <w:pPr>
        <w:pStyle w:val="87"/>
        <w:spacing w:line="400" w:lineRule="exact"/>
        <w:ind w:firstLine="616" w:firstLineChars="257"/>
        <w:jc w:val="both"/>
        <w:rPr>
          <w:rFonts w:hAnsi="宋体"/>
          <w:color w:val="auto"/>
        </w:rPr>
      </w:pPr>
      <w:r>
        <w:rPr>
          <w:rFonts w:hint="eastAsia" w:hAnsi="宋体"/>
          <w:color w:val="auto"/>
        </w:rPr>
        <w:t>（1）监理人收到承包人提交的最终结清申请单后的14 天内，提出发包人应支付给承包人的价款送发包人审核并抄送承包人。发包人应在收到后14 天内审核完毕，由监理人向承包人出具经发包人签认的最终结清证书。监理人未在约定时间内核查，又未提出具体意见的，视为承包人提交的最终结清申请已经监理人核查同意；发包人未在约定时间内审核又未提出具体意见的，监理人提出应支付给承包人的价款视为已经发包人同意。</w:t>
      </w:r>
    </w:p>
    <w:p w14:paraId="70A708E8">
      <w:pPr>
        <w:pStyle w:val="87"/>
        <w:spacing w:line="400" w:lineRule="exact"/>
        <w:ind w:firstLine="616" w:firstLineChars="257"/>
        <w:jc w:val="both"/>
        <w:rPr>
          <w:rFonts w:hAnsi="宋体"/>
          <w:color w:val="auto"/>
        </w:rPr>
      </w:pPr>
      <w:r>
        <w:rPr>
          <w:rFonts w:hint="eastAsia" w:hAnsi="宋体"/>
          <w:color w:val="auto"/>
        </w:rPr>
        <w:t>（2）发包人应在监理人出具最终结清证书后的14 天内，将应支付款支付给承包人。发包人不按期支付的，按第17.3.3（2）目的约定，将逾期付款违约金支付给承包人。</w:t>
      </w:r>
    </w:p>
    <w:p w14:paraId="7C800E6C">
      <w:pPr>
        <w:pStyle w:val="87"/>
        <w:spacing w:line="400" w:lineRule="exact"/>
        <w:ind w:firstLine="616" w:firstLineChars="257"/>
        <w:jc w:val="both"/>
        <w:rPr>
          <w:rFonts w:hAnsi="宋体"/>
          <w:color w:val="auto"/>
        </w:rPr>
      </w:pPr>
      <w:r>
        <w:rPr>
          <w:rFonts w:hint="eastAsia" w:hAnsi="宋体"/>
          <w:color w:val="auto"/>
        </w:rPr>
        <w:t>（3）承包人对发包人签认的最终结清证书有异议的，按第24 条的约定办理。</w:t>
      </w:r>
    </w:p>
    <w:p w14:paraId="190B6085">
      <w:pPr>
        <w:pStyle w:val="87"/>
        <w:spacing w:line="400" w:lineRule="exact"/>
        <w:ind w:firstLine="616" w:firstLineChars="257"/>
        <w:jc w:val="both"/>
        <w:rPr>
          <w:rFonts w:hAnsi="宋体"/>
          <w:color w:val="auto"/>
        </w:rPr>
      </w:pPr>
      <w:r>
        <w:rPr>
          <w:rFonts w:hint="eastAsia" w:hAnsi="宋体"/>
          <w:color w:val="auto"/>
        </w:rPr>
        <w:t>（4）最终结清付款涉及政府投资资金的，按第17.3.3（４）目的约定办理。</w:t>
      </w:r>
    </w:p>
    <w:p w14:paraId="43AC05EC">
      <w:pPr>
        <w:pStyle w:val="180"/>
        <w:spacing w:after="0" w:line="400" w:lineRule="exact"/>
        <w:ind w:firstLine="562"/>
        <w:jc w:val="both"/>
        <w:rPr>
          <w:rFonts w:hAnsi="宋体" w:cs="宋体"/>
          <w:b/>
          <w:color w:val="auto"/>
        </w:rPr>
      </w:pPr>
      <w:r>
        <w:rPr>
          <w:rFonts w:hint="eastAsia" w:hAnsi="宋体" w:cs="宋体"/>
          <w:b/>
          <w:color w:val="auto"/>
        </w:rPr>
        <w:t>17.7 竣工财务决算</w:t>
      </w:r>
    </w:p>
    <w:p w14:paraId="78FD7224">
      <w:pPr>
        <w:pStyle w:val="25"/>
        <w:spacing w:line="400" w:lineRule="exact"/>
        <w:ind w:firstLine="630" w:firstLineChars="225"/>
        <w:rPr>
          <w:rFonts w:hAnsi="宋体" w:cs="宋体"/>
          <w:color w:val="auto"/>
        </w:rPr>
      </w:pPr>
      <w:r>
        <w:rPr>
          <w:rFonts w:hint="eastAsia" w:hAnsi="宋体" w:cs="宋体"/>
          <w:color w:val="auto"/>
        </w:rPr>
        <w:t>发包人负责编制本工程项目竣工财务决算，承包人应按专用合同条款的约定提供竣工财务决算编制所需的相关材料。</w:t>
      </w:r>
    </w:p>
    <w:p w14:paraId="33ADE2B8">
      <w:pPr>
        <w:pStyle w:val="180"/>
        <w:spacing w:after="0" w:line="400" w:lineRule="exact"/>
        <w:ind w:firstLine="562"/>
        <w:jc w:val="both"/>
        <w:rPr>
          <w:rFonts w:hAnsi="宋体" w:cs="宋体"/>
          <w:b/>
          <w:color w:val="auto"/>
        </w:rPr>
      </w:pPr>
      <w:r>
        <w:rPr>
          <w:rFonts w:hint="eastAsia" w:hAnsi="宋体" w:cs="宋体"/>
          <w:b/>
          <w:color w:val="auto"/>
        </w:rPr>
        <w:t>17.8 竣工审计</w:t>
      </w:r>
    </w:p>
    <w:p w14:paraId="02F2A0B0">
      <w:pPr>
        <w:pStyle w:val="25"/>
        <w:spacing w:line="400" w:lineRule="exact"/>
        <w:ind w:firstLine="630" w:firstLineChars="225"/>
        <w:rPr>
          <w:rFonts w:hAnsi="宋体" w:cs="宋体"/>
          <w:color w:val="auto"/>
        </w:rPr>
      </w:pPr>
      <w:r>
        <w:rPr>
          <w:rFonts w:hint="eastAsia" w:hAnsi="宋体" w:cs="宋体"/>
          <w:color w:val="auto"/>
        </w:rPr>
        <w:t>发包人负责完成本工程竣工审计手续，承包人应完成相关配合工作。</w:t>
      </w:r>
    </w:p>
    <w:p w14:paraId="47FE9AD0">
      <w:pPr>
        <w:pStyle w:val="180"/>
        <w:spacing w:before="100" w:after="100" w:line="400" w:lineRule="exact"/>
        <w:ind w:firstLine="643"/>
        <w:jc w:val="both"/>
        <w:rPr>
          <w:rFonts w:hAnsi="宋体" w:cs="宋体"/>
          <w:b/>
          <w:color w:val="auto"/>
          <w:sz w:val="32"/>
          <w:szCs w:val="32"/>
        </w:rPr>
      </w:pPr>
      <w:bookmarkStart w:id="1026" w:name="_Toc245110748"/>
      <w:bookmarkStart w:id="1027" w:name="_Toc249848960"/>
      <w:bookmarkStart w:id="1028" w:name="_Toc187846010"/>
      <w:bookmarkStart w:id="1029" w:name="_Toc227658508"/>
      <w:bookmarkStart w:id="1030" w:name="_Toc215561218"/>
      <w:bookmarkStart w:id="1031" w:name="_Toc222804534"/>
      <w:bookmarkStart w:id="1032" w:name="_Toc248294431"/>
      <w:bookmarkStart w:id="1033" w:name="_Toc219172347"/>
      <w:bookmarkStart w:id="1034" w:name="_Toc215805061"/>
      <w:bookmarkStart w:id="1035" w:name="_Toc214355681"/>
      <w:bookmarkStart w:id="1036" w:name="_Toc255741939"/>
      <w:bookmarkStart w:id="1037" w:name="_Toc255470052"/>
      <w:bookmarkStart w:id="1038" w:name="_Toc255470275"/>
      <w:bookmarkStart w:id="1039" w:name="_Toc254774419"/>
      <w:bookmarkStart w:id="1040" w:name="_Toc187475850"/>
      <w:bookmarkStart w:id="1041" w:name="_Toc195864505"/>
      <w:bookmarkStart w:id="1042" w:name="_Toc215556200"/>
      <w:bookmarkStart w:id="1043" w:name="_Toc211175342"/>
      <w:bookmarkStart w:id="1044" w:name="_Toc209862340"/>
      <w:bookmarkStart w:id="1045" w:name="_Toc208734418"/>
      <w:bookmarkStart w:id="1046" w:name="_Toc206830031"/>
      <w:bookmarkStart w:id="1047" w:name="_Toc257202843"/>
      <w:bookmarkStart w:id="1048" w:name="_Toc436133246"/>
      <w:bookmarkStart w:id="1049" w:name="_Toc504565697"/>
      <w:bookmarkStart w:id="1050" w:name="_Toc368145494"/>
      <w:bookmarkStart w:id="1051" w:name="_Toc510197620"/>
      <w:bookmarkStart w:id="1052" w:name="_Toc305763064"/>
      <w:bookmarkStart w:id="1053" w:name="_Toc351898555"/>
      <w:bookmarkStart w:id="1054" w:name="_Toc260230310"/>
      <w:bookmarkStart w:id="1055" w:name="_Toc388633685"/>
      <w:bookmarkStart w:id="1056" w:name="_Toc436309603"/>
      <w:bookmarkStart w:id="1057" w:name="_Toc439772709"/>
      <w:bookmarkStart w:id="1058" w:name="_Toc436998796"/>
      <w:bookmarkStart w:id="1059" w:name="_Toc445105545"/>
      <w:bookmarkStart w:id="1060" w:name="_Toc510197482"/>
      <w:bookmarkStart w:id="1061" w:name="_Toc476231309"/>
      <w:bookmarkStart w:id="1062" w:name="_Toc340436803"/>
      <w:bookmarkStart w:id="1063" w:name="_Toc260229983"/>
      <w:bookmarkStart w:id="1064" w:name="_Toc504565810"/>
      <w:bookmarkStart w:id="1065" w:name="_Toc274500906"/>
      <w:bookmarkStart w:id="1066" w:name="_Toc477164670"/>
      <w:bookmarkStart w:id="1067" w:name="_Toc338778050"/>
      <w:bookmarkStart w:id="1068" w:name="_Toc6450"/>
      <w:bookmarkStart w:id="1069" w:name="_Toc460581188"/>
      <w:bookmarkStart w:id="1070" w:name="_Toc340222913"/>
      <w:bookmarkStart w:id="1071" w:name="_Toc306293174"/>
      <w:bookmarkStart w:id="1072" w:name="_Toc389226405"/>
      <w:bookmarkStart w:id="1073" w:name="_Toc449111936"/>
      <w:bookmarkStart w:id="1074" w:name="_Toc342046324"/>
      <w:bookmarkStart w:id="1075" w:name="_Toc453768108"/>
      <w:bookmarkStart w:id="1076" w:name="_Toc371937202"/>
      <w:bookmarkStart w:id="1077" w:name="_Toc436309955"/>
      <w:bookmarkStart w:id="1078" w:name="_Toc450123376"/>
      <w:bookmarkStart w:id="1079" w:name="_Toc270517152"/>
      <w:bookmarkStart w:id="1080" w:name="_Toc450123142"/>
      <w:bookmarkStart w:id="1081" w:name="_Toc350857437"/>
      <w:bookmarkStart w:id="1082" w:name="_Toc16609"/>
      <w:bookmarkStart w:id="1083" w:name="_Toc260649038"/>
      <w:bookmarkStart w:id="1084" w:name="_Toc458599286"/>
      <w:bookmarkStart w:id="1085" w:name="_Toc452986510"/>
      <w:r>
        <w:rPr>
          <w:rFonts w:hint="eastAsia" w:hAnsi="宋体" w:cs="宋体"/>
          <w:b/>
          <w:color w:val="auto"/>
          <w:sz w:val="32"/>
          <w:szCs w:val="32"/>
        </w:rPr>
        <w:t>18. 竣工验收</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r>
        <w:rPr>
          <w:rFonts w:hint="eastAsia" w:hAnsi="宋体" w:cs="宋体"/>
          <w:b/>
          <w:color w:val="auto"/>
          <w:sz w:val="32"/>
          <w:szCs w:val="32"/>
        </w:rPr>
        <w:t>（验收）</w:t>
      </w:r>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p>
    <w:p w14:paraId="0B4E3D7A">
      <w:pPr>
        <w:pStyle w:val="180"/>
        <w:spacing w:after="0" w:line="400" w:lineRule="exact"/>
        <w:ind w:firstLine="562"/>
        <w:jc w:val="both"/>
        <w:rPr>
          <w:rFonts w:hAnsi="宋体" w:cs="宋体"/>
          <w:b/>
          <w:color w:val="auto"/>
        </w:rPr>
      </w:pPr>
      <w:r>
        <w:rPr>
          <w:rFonts w:hint="eastAsia" w:hAnsi="宋体" w:cs="宋体"/>
          <w:b/>
          <w:color w:val="auto"/>
        </w:rPr>
        <w:t>18.1 验收工作分类</w:t>
      </w:r>
    </w:p>
    <w:p w14:paraId="470663AB">
      <w:pPr>
        <w:pStyle w:val="87"/>
        <w:spacing w:line="400" w:lineRule="exact"/>
        <w:ind w:firstLine="616" w:firstLineChars="257"/>
        <w:jc w:val="both"/>
        <w:rPr>
          <w:rFonts w:hAnsi="宋体"/>
          <w:color w:val="auto"/>
        </w:rPr>
      </w:pPr>
      <w:r>
        <w:rPr>
          <w:rFonts w:hint="eastAsia" w:hAnsi="宋体"/>
          <w:color w:val="auto"/>
        </w:rPr>
        <w:t>本工程验收工作按主持单位分为法人验收和政府验收。法人验收和政府验收的类别在专用合同条款中约定。除专用合同条款另有约定外，法人验收由发包人主持。承包人应完成法人验收和政府验收的配合工作，所需费用应含在工程量清单中。</w:t>
      </w:r>
    </w:p>
    <w:p w14:paraId="632AEAD7">
      <w:pPr>
        <w:pStyle w:val="180"/>
        <w:spacing w:after="0" w:line="400" w:lineRule="exact"/>
        <w:ind w:firstLine="562"/>
        <w:jc w:val="both"/>
        <w:rPr>
          <w:rFonts w:hAnsi="宋体" w:cs="宋体"/>
          <w:b/>
          <w:color w:val="auto"/>
        </w:rPr>
      </w:pPr>
      <w:bookmarkStart w:id="1086" w:name="_Toc245110749"/>
      <w:bookmarkStart w:id="1087" w:name="_Toc248294432"/>
      <w:bookmarkStart w:id="1088" w:name="_Toc249848961"/>
      <w:bookmarkStart w:id="1089" w:name="_Toc215556201"/>
      <w:bookmarkStart w:id="1090" w:name="_Toc187846011"/>
      <w:bookmarkStart w:id="1091" w:name="_Toc255470276"/>
      <w:bookmarkStart w:id="1092" w:name="_Toc222804535"/>
      <w:bookmarkStart w:id="1093" w:name="_Toc206830032"/>
      <w:bookmarkStart w:id="1094" w:name="_Toc215561219"/>
      <w:bookmarkStart w:id="1095" w:name="_Toc214355682"/>
      <w:bookmarkStart w:id="1096" w:name="_Toc219172348"/>
      <w:bookmarkStart w:id="1097" w:name="_Toc215805062"/>
      <w:bookmarkStart w:id="1098" w:name="_Toc195864506"/>
      <w:bookmarkStart w:id="1099" w:name="_Toc255470053"/>
      <w:bookmarkStart w:id="1100" w:name="_Toc211175343"/>
      <w:bookmarkStart w:id="1101" w:name="_Toc187475851"/>
      <w:bookmarkStart w:id="1102" w:name="_Toc255741940"/>
      <w:bookmarkStart w:id="1103" w:name="_Toc208734419"/>
      <w:bookmarkStart w:id="1104" w:name="_Toc254774420"/>
      <w:bookmarkStart w:id="1105" w:name="_Toc209862341"/>
      <w:bookmarkStart w:id="1106" w:name="_Toc227658509"/>
      <w:bookmarkStart w:id="1107" w:name="_Toc257202844"/>
      <w:r>
        <w:rPr>
          <w:rFonts w:hint="eastAsia" w:hAnsi="宋体" w:cs="宋体"/>
          <w:b/>
          <w:color w:val="auto"/>
        </w:rPr>
        <w:t>18.2 分部工程验收</w:t>
      </w:r>
    </w:p>
    <w:p w14:paraId="20D6CCEF">
      <w:pPr>
        <w:pStyle w:val="25"/>
        <w:spacing w:line="400" w:lineRule="exact"/>
        <w:ind w:firstLine="630" w:firstLineChars="225"/>
        <w:rPr>
          <w:rFonts w:hAnsi="宋体" w:cs="宋体"/>
          <w:color w:val="auto"/>
        </w:rPr>
      </w:pPr>
      <w:r>
        <w:rPr>
          <w:rFonts w:hint="eastAsia" w:hAnsi="宋体" w:cs="宋体"/>
          <w:color w:val="auto"/>
        </w:rPr>
        <w:t>18.2.1 分部工程具备验收条件时，承包人应向发包人提交验收申请报告，发包人应在收到验收申请报告之日起10个工作日内决定是否同意进行验收。</w:t>
      </w:r>
    </w:p>
    <w:p w14:paraId="76C0F755">
      <w:pPr>
        <w:pStyle w:val="25"/>
        <w:spacing w:line="400" w:lineRule="exact"/>
        <w:ind w:firstLine="630" w:firstLineChars="225"/>
        <w:rPr>
          <w:rFonts w:hAnsi="宋体" w:cs="宋体"/>
          <w:color w:val="auto"/>
        </w:rPr>
      </w:pPr>
      <w:r>
        <w:rPr>
          <w:rFonts w:hint="eastAsia" w:hAnsi="宋体" w:cs="宋体"/>
          <w:color w:val="auto"/>
        </w:rPr>
        <w:t>18.2.2 除专用合同条款另有约定外，监理人主持分部工程验收，承包人应派符合条件的代表参加验收工作组。</w:t>
      </w:r>
    </w:p>
    <w:p w14:paraId="73DB91C3">
      <w:pPr>
        <w:pStyle w:val="25"/>
        <w:spacing w:line="400" w:lineRule="exact"/>
        <w:ind w:firstLine="630" w:firstLineChars="225"/>
        <w:rPr>
          <w:rFonts w:hAnsi="宋体" w:cs="宋体"/>
          <w:color w:val="auto"/>
        </w:rPr>
      </w:pPr>
      <w:r>
        <w:rPr>
          <w:rFonts w:hint="eastAsia" w:hAnsi="宋体" w:cs="宋体"/>
          <w:color w:val="auto"/>
        </w:rPr>
        <w:t>18.2.3 分部工程验收通过后，发包人向承包人发送分部工程验收鉴定书。承包人应及时完成分部工程验收鉴定书载明应由承包人处理的遗留问题。</w:t>
      </w:r>
    </w:p>
    <w:p w14:paraId="07F184F2">
      <w:pPr>
        <w:pStyle w:val="180"/>
        <w:spacing w:after="0" w:line="400" w:lineRule="exact"/>
        <w:ind w:firstLine="562"/>
        <w:jc w:val="both"/>
        <w:rPr>
          <w:rFonts w:hAnsi="宋体" w:cs="宋体"/>
          <w:b/>
          <w:color w:val="auto"/>
        </w:rPr>
      </w:pPr>
      <w:r>
        <w:rPr>
          <w:rFonts w:hint="eastAsia" w:hAnsi="宋体" w:cs="宋体"/>
          <w:b/>
          <w:color w:val="auto"/>
        </w:rPr>
        <w:t>18.3 单位工程验收</w:t>
      </w:r>
    </w:p>
    <w:p w14:paraId="74CF4B83">
      <w:pPr>
        <w:pStyle w:val="25"/>
        <w:spacing w:line="400" w:lineRule="exact"/>
        <w:ind w:firstLine="630" w:firstLineChars="225"/>
        <w:rPr>
          <w:rFonts w:hAnsi="宋体" w:cs="宋体"/>
          <w:color w:val="auto"/>
        </w:rPr>
      </w:pPr>
      <w:r>
        <w:rPr>
          <w:rFonts w:hint="eastAsia" w:hAnsi="宋体" w:cs="宋体"/>
          <w:color w:val="auto"/>
        </w:rPr>
        <w:t>18.3.1 单位工程具备验收条件时，承包人应向发包人提交验收申请报告，发包人应在收到验收申请报告之日起10个工作日内决定是否同意进行验收。</w:t>
      </w:r>
    </w:p>
    <w:p w14:paraId="36642EA0">
      <w:pPr>
        <w:pStyle w:val="25"/>
        <w:spacing w:line="400" w:lineRule="exact"/>
        <w:ind w:firstLine="630" w:firstLineChars="225"/>
        <w:rPr>
          <w:rFonts w:hAnsi="宋体" w:cs="宋体"/>
          <w:color w:val="auto"/>
        </w:rPr>
      </w:pPr>
      <w:r>
        <w:rPr>
          <w:rFonts w:hint="eastAsia" w:hAnsi="宋体" w:cs="宋体"/>
          <w:color w:val="auto"/>
        </w:rPr>
        <w:t>18.3.2 发包人主持单位工程验收，承包人应派符合条件的代表参加验收工作组。</w:t>
      </w:r>
    </w:p>
    <w:p w14:paraId="629D44BB">
      <w:pPr>
        <w:pStyle w:val="25"/>
        <w:spacing w:line="400" w:lineRule="exact"/>
        <w:ind w:firstLine="630" w:firstLineChars="225"/>
        <w:rPr>
          <w:rFonts w:hAnsi="宋体" w:cs="宋体"/>
          <w:color w:val="auto"/>
        </w:rPr>
      </w:pPr>
      <w:r>
        <w:rPr>
          <w:rFonts w:hint="eastAsia" w:hAnsi="宋体" w:cs="宋体"/>
          <w:color w:val="auto"/>
        </w:rPr>
        <w:t>18.3.3 单位工程验收通过后，发包人向承包人发送单位工程验收鉴定书。承包人应及时完成单位工程验收鉴定书载明应由承包人处理的遗留问题。</w:t>
      </w:r>
    </w:p>
    <w:p w14:paraId="3801D92D">
      <w:pPr>
        <w:pStyle w:val="25"/>
        <w:spacing w:line="400" w:lineRule="exact"/>
        <w:ind w:firstLine="630" w:firstLineChars="225"/>
        <w:rPr>
          <w:rFonts w:hAnsi="宋体" w:cs="宋体"/>
          <w:color w:val="auto"/>
        </w:rPr>
      </w:pPr>
      <w:r>
        <w:rPr>
          <w:rFonts w:hint="eastAsia" w:hAnsi="宋体" w:cs="宋体"/>
          <w:color w:val="auto"/>
        </w:rPr>
        <w:t>18.3.4 需提前投入使用的单位工程在专用合同条款中明确。</w:t>
      </w:r>
    </w:p>
    <w:p w14:paraId="4B165C68">
      <w:pPr>
        <w:pStyle w:val="180"/>
        <w:spacing w:after="0" w:line="400" w:lineRule="exact"/>
        <w:ind w:firstLine="562"/>
        <w:jc w:val="both"/>
        <w:rPr>
          <w:rFonts w:hAnsi="宋体" w:cs="宋体"/>
          <w:b/>
          <w:color w:val="auto"/>
        </w:rPr>
      </w:pPr>
      <w:r>
        <w:rPr>
          <w:rFonts w:hint="eastAsia" w:hAnsi="宋体" w:cs="宋体"/>
          <w:b/>
          <w:color w:val="auto"/>
        </w:rPr>
        <w:t>18.4 合同工程完工验收</w:t>
      </w:r>
    </w:p>
    <w:p w14:paraId="25FC7CDA">
      <w:pPr>
        <w:pStyle w:val="25"/>
        <w:spacing w:line="400" w:lineRule="exact"/>
        <w:ind w:firstLine="630" w:firstLineChars="225"/>
        <w:rPr>
          <w:rFonts w:hAnsi="宋体" w:cs="宋体"/>
          <w:color w:val="auto"/>
        </w:rPr>
      </w:pPr>
      <w:r>
        <w:rPr>
          <w:rFonts w:hint="eastAsia" w:hAnsi="宋体" w:cs="宋体"/>
          <w:color w:val="auto"/>
        </w:rPr>
        <w:t>18.4.1合同工程具备验收条件时，承包人应向发包人提交验收申请报告，发包人应在收到验收申请报告之日起20个工作日内决定是否同意进行验收。</w:t>
      </w:r>
    </w:p>
    <w:p w14:paraId="782A6200">
      <w:pPr>
        <w:pStyle w:val="25"/>
        <w:spacing w:line="400" w:lineRule="exact"/>
        <w:ind w:firstLine="630" w:firstLineChars="225"/>
        <w:rPr>
          <w:rFonts w:hAnsi="宋体" w:cs="宋体"/>
          <w:color w:val="auto"/>
        </w:rPr>
      </w:pPr>
      <w:r>
        <w:rPr>
          <w:rFonts w:hint="eastAsia" w:hAnsi="宋体" w:cs="宋体"/>
          <w:color w:val="auto"/>
        </w:rPr>
        <w:t>18.4.2发包人主持合同工程完工验收，承包人应派代表参加验收工作组。</w:t>
      </w:r>
    </w:p>
    <w:p w14:paraId="5E4CF358">
      <w:pPr>
        <w:pStyle w:val="25"/>
        <w:spacing w:line="400" w:lineRule="exact"/>
        <w:ind w:firstLine="630" w:firstLineChars="225"/>
        <w:rPr>
          <w:rFonts w:hAnsi="宋体" w:cs="宋体"/>
          <w:color w:val="auto"/>
        </w:rPr>
      </w:pPr>
      <w:r>
        <w:rPr>
          <w:rFonts w:hint="eastAsia" w:hAnsi="宋体" w:cs="宋体"/>
          <w:color w:val="auto"/>
        </w:rPr>
        <w:t>18.4.3合同工程完工验收通过后，发包人向承包人发送合同工程完工验收鉴定书。承包人应及时完成合同工程完工验收鉴定书载明应由承包人处理的遗留问题。</w:t>
      </w:r>
    </w:p>
    <w:p w14:paraId="5346D8E1">
      <w:pPr>
        <w:pStyle w:val="25"/>
        <w:spacing w:line="400" w:lineRule="exact"/>
        <w:ind w:firstLine="630" w:firstLineChars="225"/>
        <w:rPr>
          <w:rFonts w:hAnsi="宋体" w:cs="宋体"/>
          <w:color w:val="auto"/>
        </w:rPr>
      </w:pPr>
      <w:r>
        <w:rPr>
          <w:rFonts w:hint="eastAsia" w:hAnsi="宋体" w:cs="宋体"/>
          <w:color w:val="auto"/>
        </w:rPr>
        <w:t>18.4.4合同工程完工验收通过后，发包人与承包人应在30个工作日内组织专人负责工程交接，双方交接负责人应在交接记录上签字。承包人应按验收鉴定书约定的时间及时移交工程及其档案资料。工程移交时，承包人应向发包人递交工程质量保修书。在承包人递交了工程质量保修书、完成施工场地清理以及提交有关资料后，发包人应在30个工作日内向承包人颁发合同工程完工证书。</w:t>
      </w:r>
    </w:p>
    <w:p w14:paraId="565B3B55">
      <w:pPr>
        <w:pStyle w:val="180"/>
        <w:spacing w:after="0" w:line="400" w:lineRule="exact"/>
        <w:ind w:firstLine="562"/>
        <w:jc w:val="both"/>
        <w:rPr>
          <w:rFonts w:hAnsi="宋体" w:cs="宋体"/>
          <w:b/>
          <w:color w:val="auto"/>
        </w:rPr>
      </w:pPr>
      <w:r>
        <w:rPr>
          <w:rFonts w:hint="eastAsia" w:hAnsi="宋体" w:cs="宋体"/>
          <w:b/>
          <w:color w:val="auto"/>
        </w:rPr>
        <w:t>18.5 阶段验收</w:t>
      </w:r>
    </w:p>
    <w:p w14:paraId="079AFD40">
      <w:pPr>
        <w:pStyle w:val="25"/>
        <w:spacing w:line="400" w:lineRule="exact"/>
        <w:ind w:firstLine="630" w:firstLineChars="225"/>
        <w:rPr>
          <w:rFonts w:hAnsi="宋体" w:cs="宋体"/>
          <w:color w:val="auto"/>
        </w:rPr>
      </w:pPr>
      <w:r>
        <w:rPr>
          <w:rFonts w:hint="eastAsia" w:hAnsi="宋体" w:cs="宋体"/>
          <w:color w:val="auto"/>
        </w:rPr>
        <w:t>18.5.1工程建设具备阶段验收条件时，发包人负责提出阶段验收申请报告。承包人应派代表参加阶段验收，并作为被验收单位在验收鉴定书上签字。阶段验收的具体类别在专用合同条款中约定。</w:t>
      </w:r>
    </w:p>
    <w:p w14:paraId="214F32AF">
      <w:pPr>
        <w:pStyle w:val="25"/>
        <w:spacing w:line="400" w:lineRule="exact"/>
        <w:ind w:firstLine="630" w:firstLineChars="225"/>
        <w:rPr>
          <w:rFonts w:hAnsi="宋体" w:cs="宋体"/>
          <w:color w:val="auto"/>
        </w:rPr>
      </w:pPr>
      <w:r>
        <w:rPr>
          <w:rFonts w:hint="eastAsia" w:hAnsi="宋体" w:cs="宋体"/>
          <w:color w:val="auto"/>
        </w:rPr>
        <w:t>18.5.2承包人应及时完成阶段验收鉴定书载明应由承包人处理的遗留问题。</w:t>
      </w:r>
    </w:p>
    <w:p w14:paraId="2714C210">
      <w:pPr>
        <w:pStyle w:val="180"/>
        <w:spacing w:after="0" w:line="400" w:lineRule="exact"/>
        <w:ind w:firstLine="562"/>
        <w:jc w:val="both"/>
        <w:rPr>
          <w:rFonts w:hAnsi="宋体" w:cs="宋体"/>
          <w:b/>
          <w:color w:val="auto"/>
        </w:rPr>
      </w:pPr>
      <w:r>
        <w:rPr>
          <w:rFonts w:hint="eastAsia" w:hAnsi="宋体" w:cs="宋体"/>
          <w:b/>
          <w:color w:val="auto"/>
        </w:rPr>
        <w:t>18.6 专项验收</w:t>
      </w:r>
    </w:p>
    <w:p w14:paraId="37668221">
      <w:pPr>
        <w:pStyle w:val="25"/>
        <w:spacing w:line="400" w:lineRule="exact"/>
        <w:ind w:firstLine="630" w:firstLineChars="225"/>
        <w:rPr>
          <w:rFonts w:hAnsi="宋体" w:cs="宋体"/>
          <w:color w:val="auto"/>
        </w:rPr>
      </w:pPr>
      <w:r>
        <w:rPr>
          <w:rFonts w:hint="eastAsia" w:hAnsi="宋体" w:cs="宋体"/>
          <w:color w:val="auto"/>
        </w:rPr>
        <w:t>18.6.1 发包人负责提出专项验收申请报告。承包人应按专项验收的相关规定参加专项验收。专项验收的具体类别在专用合同条款中约定。</w:t>
      </w:r>
    </w:p>
    <w:p w14:paraId="72CDFEFC">
      <w:pPr>
        <w:pStyle w:val="25"/>
        <w:spacing w:line="400" w:lineRule="exact"/>
        <w:ind w:firstLine="630" w:firstLineChars="225"/>
        <w:rPr>
          <w:rFonts w:hAnsi="宋体" w:cs="宋体"/>
          <w:color w:val="auto"/>
        </w:rPr>
      </w:pPr>
      <w:r>
        <w:rPr>
          <w:rFonts w:hint="eastAsia" w:hAnsi="宋体" w:cs="宋体"/>
          <w:color w:val="auto"/>
        </w:rPr>
        <w:t>18.6.2承包人应及时完成专项验收成果性文件载明应由承包人处理的遗留问题。</w:t>
      </w:r>
    </w:p>
    <w:p w14:paraId="201E6477">
      <w:pPr>
        <w:pStyle w:val="180"/>
        <w:spacing w:after="0" w:line="400" w:lineRule="exact"/>
        <w:ind w:firstLine="562"/>
        <w:jc w:val="both"/>
        <w:rPr>
          <w:rFonts w:hAnsi="宋体" w:cs="宋体"/>
          <w:b/>
          <w:color w:val="auto"/>
        </w:rPr>
      </w:pPr>
      <w:r>
        <w:rPr>
          <w:rFonts w:hint="eastAsia" w:hAnsi="宋体" w:cs="宋体"/>
          <w:b/>
          <w:color w:val="auto"/>
        </w:rPr>
        <w:t>18.7 竣工验收</w:t>
      </w:r>
    </w:p>
    <w:p w14:paraId="06A262F7">
      <w:pPr>
        <w:pStyle w:val="25"/>
        <w:spacing w:line="400" w:lineRule="exact"/>
        <w:ind w:firstLine="630" w:firstLineChars="225"/>
        <w:rPr>
          <w:rFonts w:hAnsi="宋体" w:cs="宋体"/>
          <w:color w:val="auto"/>
        </w:rPr>
      </w:pPr>
      <w:r>
        <w:rPr>
          <w:rFonts w:hint="eastAsia" w:hAnsi="宋体" w:cs="宋体"/>
          <w:color w:val="auto"/>
        </w:rPr>
        <w:t>18.7.1 申请竣工验收前，发包人组织竣工验收自查，承包人应派代表参加。</w:t>
      </w:r>
    </w:p>
    <w:p w14:paraId="3C49BE51">
      <w:pPr>
        <w:pStyle w:val="25"/>
        <w:spacing w:line="400" w:lineRule="exact"/>
        <w:ind w:firstLine="630" w:firstLineChars="225"/>
        <w:rPr>
          <w:rFonts w:hAnsi="宋体" w:cs="宋体"/>
          <w:color w:val="auto"/>
        </w:rPr>
      </w:pPr>
      <w:r>
        <w:rPr>
          <w:rFonts w:hint="eastAsia" w:hAnsi="宋体" w:cs="宋体"/>
          <w:color w:val="auto"/>
        </w:rPr>
        <w:t>18.7.2 竣工验收分为竣工技术预验收和竣工验收两个阶段。发包人应通知承包人派代表参加技术预验收和竣工验收。</w:t>
      </w:r>
    </w:p>
    <w:p w14:paraId="2A050008">
      <w:pPr>
        <w:pStyle w:val="25"/>
        <w:spacing w:line="400" w:lineRule="exact"/>
        <w:ind w:firstLine="630" w:firstLineChars="225"/>
        <w:rPr>
          <w:rFonts w:hAnsi="宋体" w:cs="宋体"/>
          <w:color w:val="auto"/>
        </w:rPr>
      </w:pPr>
      <w:r>
        <w:rPr>
          <w:rFonts w:hint="eastAsia" w:hAnsi="宋体" w:cs="宋体"/>
          <w:color w:val="auto"/>
        </w:rPr>
        <w:t>18.7.3专用合同条款约定工程需要进行技术鉴定的，承包人应提交有关资料并完成配合工作。</w:t>
      </w:r>
    </w:p>
    <w:p w14:paraId="128E6ADB">
      <w:pPr>
        <w:pStyle w:val="25"/>
        <w:spacing w:line="400" w:lineRule="exact"/>
        <w:ind w:firstLine="630" w:firstLineChars="225"/>
        <w:rPr>
          <w:rFonts w:hAnsi="宋体" w:cs="宋体"/>
          <w:color w:val="auto"/>
        </w:rPr>
      </w:pPr>
      <w:r>
        <w:rPr>
          <w:rFonts w:hint="eastAsia" w:hAnsi="宋体" w:cs="宋体"/>
          <w:color w:val="auto"/>
        </w:rPr>
        <w:t>8.7.4竣工验收需要进行质量检测的，所需费用由发包人承担，但因承包人原因造成质量不合格的除外。</w:t>
      </w:r>
    </w:p>
    <w:p w14:paraId="2A4C3A85">
      <w:pPr>
        <w:pStyle w:val="25"/>
        <w:spacing w:line="400" w:lineRule="exact"/>
        <w:ind w:firstLine="560"/>
        <w:rPr>
          <w:rFonts w:hAnsi="宋体" w:cs="宋体"/>
          <w:color w:val="auto"/>
        </w:rPr>
      </w:pPr>
      <w:r>
        <w:rPr>
          <w:rFonts w:hint="eastAsia" w:hAnsi="宋体" w:cs="宋体"/>
          <w:color w:val="auto"/>
        </w:rPr>
        <w:t>18.7.5工程质量保修期满以及竣工验收遗留问题和尾工处理完成并通过验收后，发包人负责将处理情况和验收成果报送竣工验收主持单位，申请领取工程竣工证书，并发送承包人。</w:t>
      </w:r>
    </w:p>
    <w:p w14:paraId="57783523">
      <w:pPr>
        <w:pStyle w:val="180"/>
        <w:spacing w:after="0" w:line="400" w:lineRule="exact"/>
        <w:ind w:firstLine="562"/>
        <w:jc w:val="both"/>
        <w:rPr>
          <w:rFonts w:hAnsi="宋体" w:cs="宋体"/>
          <w:b/>
          <w:color w:val="auto"/>
        </w:rPr>
      </w:pPr>
      <w:r>
        <w:rPr>
          <w:rFonts w:hint="eastAsia" w:hAnsi="宋体" w:cs="宋体"/>
          <w:b/>
          <w:color w:val="auto"/>
        </w:rPr>
        <w:t>18.8 施工期运行</w:t>
      </w:r>
    </w:p>
    <w:p w14:paraId="60F4B257">
      <w:pPr>
        <w:pStyle w:val="25"/>
        <w:spacing w:line="400" w:lineRule="exact"/>
        <w:ind w:firstLine="630" w:firstLineChars="225"/>
        <w:rPr>
          <w:rFonts w:hAnsi="宋体" w:cs="宋体"/>
          <w:color w:val="auto"/>
        </w:rPr>
      </w:pPr>
      <w:r>
        <w:rPr>
          <w:rFonts w:hint="eastAsia" w:hAnsi="宋体" w:cs="宋体"/>
          <w:color w:val="auto"/>
        </w:rPr>
        <w:t>18.8.1施工期运行是指合同工程尚未全部完工，其中某单位工程或部分工程已完工，需要投入施工期运行的，经发包人按第18.2款或第18.3款的约定验收合格，证明能确保安全后，才能在施工期投入运行。需要在施工期运行的单位工程或部分工程在专用合同条款中约定。</w:t>
      </w:r>
    </w:p>
    <w:p w14:paraId="380A8AFB">
      <w:pPr>
        <w:pStyle w:val="25"/>
        <w:spacing w:line="400" w:lineRule="exact"/>
        <w:ind w:firstLine="630" w:firstLineChars="225"/>
        <w:rPr>
          <w:rFonts w:hAnsi="宋体" w:cs="宋体"/>
          <w:color w:val="auto"/>
        </w:rPr>
      </w:pPr>
      <w:r>
        <w:rPr>
          <w:rFonts w:hint="eastAsia" w:hAnsi="宋体" w:cs="宋体"/>
          <w:color w:val="auto"/>
        </w:rPr>
        <w:t>18.8.2 在施工期运行中发现工程或工程设备损坏或存在缺陷的，由承包人按第19.2款约定进行修复。</w:t>
      </w:r>
    </w:p>
    <w:p w14:paraId="5856802A">
      <w:pPr>
        <w:pStyle w:val="180"/>
        <w:spacing w:after="0" w:line="400" w:lineRule="exact"/>
        <w:ind w:firstLine="562"/>
        <w:jc w:val="both"/>
        <w:rPr>
          <w:rFonts w:hAnsi="宋体" w:cs="宋体"/>
          <w:b/>
          <w:color w:val="auto"/>
        </w:rPr>
      </w:pPr>
      <w:r>
        <w:rPr>
          <w:rFonts w:hint="eastAsia" w:hAnsi="宋体" w:cs="宋体"/>
          <w:b/>
          <w:color w:val="auto"/>
        </w:rPr>
        <w:t>18.9 试运行</w:t>
      </w:r>
    </w:p>
    <w:p w14:paraId="5D9CBC48">
      <w:pPr>
        <w:pStyle w:val="25"/>
        <w:spacing w:line="400" w:lineRule="exact"/>
        <w:ind w:firstLine="630" w:firstLineChars="225"/>
        <w:rPr>
          <w:rFonts w:hAnsi="宋体" w:cs="宋体"/>
          <w:color w:val="auto"/>
        </w:rPr>
      </w:pPr>
      <w:r>
        <w:rPr>
          <w:rFonts w:hint="eastAsia" w:hAnsi="宋体" w:cs="宋体"/>
          <w:color w:val="auto"/>
        </w:rPr>
        <w:t>18.9.1  除专用合同条款另有约定外，承包人应按规定进行工程及工程设备试运行，负责提供试运行所需的人员、器材和必要的条件，并承担全部试运行费用。</w:t>
      </w:r>
    </w:p>
    <w:p w14:paraId="7073C808">
      <w:pPr>
        <w:pStyle w:val="25"/>
        <w:spacing w:line="400" w:lineRule="exact"/>
        <w:ind w:firstLine="630" w:firstLineChars="225"/>
        <w:rPr>
          <w:rFonts w:hAnsi="宋体" w:cs="宋体"/>
          <w:color w:val="auto"/>
        </w:rPr>
      </w:pPr>
      <w:r>
        <w:rPr>
          <w:rFonts w:hint="eastAsia" w:hAnsi="宋体" w:cs="宋体"/>
          <w:color w:val="auto"/>
        </w:rPr>
        <w:t>18.9.2  由于承包人的原因导致试运行失败的，承包人应采取措施保证试运行合格，并承担相应费用。由于发包人的原因导致试运行失败的，承包人应当采取措施保证试运行合格，发包人应承担由此产生的费用，并支付承包人合理利润。</w:t>
      </w:r>
    </w:p>
    <w:p w14:paraId="54C37ECC">
      <w:pPr>
        <w:pStyle w:val="180"/>
        <w:spacing w:after="0" w:line="400" w:lineRule="exact"/>
        <w:ind w:firstLine="562"/>
        <w:jc w:val="both"/>
        <w:rPr>
          <w:rFonts w:hAnsi="宋体" w:cs="宋体"/>
          <w:b/>
          <w:color w:val="auto"/>
        </w:rPr>
      </w:pPr>
      <w:r>
        <w:rPr>
          <w:rFonts w:hint="eastAsia" w:hAnsi="宋体" w:cs="宋体"/>
          <w:b/>
          <w:color w:val="auto"/>
        </w:rPr>
        <w:t>18.10 竣工(完工)清场</w:t>
      </w:r>
    </w:p>
    <w:p w14:paraId="0A34012D">
      <w:pPr>
        <w:pStyle w:val="25"/>
        <w:spacing w:line="400" w:lineRule="exact"/>
        <w:ind w:firstLine="630" w:firstLineChars="225"/>
        <w:rPr>
          <w:rFonts w:hAnsi="宋体" w:cs="宋体"/>
          <w:color w:val="auto"/>
        </w:rPr>
      </w:pPr>
      <w:r>
        <w:rPr>
          <w:rFonts w:hint="eastAsia" w:hAnsi="宋体" w:cs="宋体"/>
          <w:color w:val="auto"/>
        </w:rPr>
        <w:t>18.10.l 工程项目竣工(完工)清场的工作范围和内容在技术标准和要求(合同技术条款)中约定。</w:t>
      </w:r>
    </w:p>
    <w:p w14:paraId="43A941D4">
      <w:pPr>
        <w:pStyle w:val="25"/>
        <w:spacing w:line="400" w:lineRule="exact"/>
        <w:ind w:firstLine="630" w:firstLineChars="225"/>
        <w:rPr>
          <w:rFonts w:hAnsi="宋体" w:cs="宋体"/>
          <w:color w:val="auto"/>
        </w:rPr>
      </w:pPr>
      <w:r>
        <w:rPr>
          <w:rFonts w:hint="eastAsia" w:hAnsi="宋体" w:cs="宋体"/>
          <w:color w:val="auto"/>
        </w:rPr>
        <w:t>18.10.2 承包人未按监理人的要求恢复临时占地，或者场地清理未达到合同约定的，发包人有权委托其它人恢复或清理，所发生的金额从拟支付给承包人的款项中扣除。</w:t>
      </w:r>
    </w:p>
    <w:p w14:paraId="640C8643">
      <w:pPr>
        <w:pStyle w:val="180"/>
        <w:spacing w:after="0" w:line="400" w:lineRule="exact"/>
        <w:ind w:firstLine="562"/>
        <w:jc w:val="both"/>
        <w:rPr>
          <w:rFonts w:hAnsi="宋体" w:cs="宋体"/>
          <w:b/>
          <w:color w:val="auto"/>
        </w:rPr>
      </w:pPr>
      <w:r>
        <w:rPr>
          <w:rFonts w:hint="eastAsia" w:hAnsi="宋体" w:cs="宋体"/>
          <w:b/>
          <w:color w:val="auto"/>
        </w:rPr>
        <w:t>18.1l 施工队伍的撤离</w:t>
      </w:r>
    </w:p>
    <w:p w14:paraId="4E66E66E">
      <w:pPr>
        <w:pStyle w:val="25"/>
        <w:spacing w:line="400" w:lineRule="exact"/>
        <w:ind w:firstLine="560"/>
        <w:rPr>
          <w:rFonts w:hAnsi="宋体" w:cs="宋体"/>
          <w:color w:val="auto"/>
        </w:rPr>
      </w:pPr>
      <w:r>
        <w:rPr>
          <w:rFonts w:hint="eastAsia" w:hAnsi="宋体" w:cs="宋体"/>
          <w:color w:val="auto"/>
        </w:rPr>
        <w:t>合同工程完工证书颁发后的56天内，除了经监理人同意需在缺陷责任期(工程质量保修期)内继续工作和使用的人员、施工设备和临时工程外，其余的人员、施工设备和临时工程均应撤离施工场地或拆除。除合同另有约定外，缺陷责任期(工程质量保修期)满时，承包人的人员和施工设备应全部撤离施工场地。</w:t>
      </w:r>
    </w:p>
    <w:p w14:paraId="43E98AE5">
      <w:pPr>
        <w:pStyle w:val="180"/>
        <w:spacing w:before="100" w:after="100" w:line="400" w:lineRule="exact"/>
        <w:ind w:firstLine="643"/>
        <w:jc w:val="both"/>
        <w:rPr>
          <w:rFonts w:hAnsi="宋体" w:cs="宋体"/>
          <w:b/>
          <w:color w:val="auto"/>
          <w:sz w:val="32"/>
          <w:szCs w:val="32"/>
        </w:rPr>
      </w:pPr>
      <w:bookmarkStart w:id="1108" w:name="_Toc306293175"/>
      <w:bookmarkStart w:id="1109" w:name="_Toc436133247"/>
      <w:bookmarkStart w:id="1110" w:name="_Toc510197621"/>
      <w:bookmarkStart w:id="1111" w:name="_Toc351898556"/>
      <w:bookmarkStart w:id="1112" w:name="_Toc342046325"/>
      <w:bookmarkStart w:id="1113" w:name="_Toc458599287"/>
      <w:bookmarkStart w:id="1114" w:name="_Toc436998797"/>
      <w:bookmarkStart w:id="1115" w:name="_Toc340436804"/>
      <w:bookmarkStart w:id="1116" w:name="_Toc350857438"/>
      <w:bookmarkStart w:id="1117" w:name="_Toc270517153"/>
      <w:bookmarkStart w:id="1118" w:name="_Toc305763065"/>
      <w:bookmarkStart w:id="1119" w:name="_Toc32320"/>
      <w:bookmarkStart w:id="1120" w:name="_Toc274500907"/>
      <w:bookmarkStart w:id="1121" w:name="_Toc460581189"/>
      <w:bookmarkStart w:id="1122" w:name="_Toc436309604"/>
      <w:bookmarkStart w:id="1123" w:name="_Toc510197483"/>
      <w:bookmarkStart w:id="1124" w:name="_Toc476231310"/>
      <w:bookmarkStart w:id="1125" w:name="_Toc338778051"/>
      <w:bookmarkStart w:id="1126" w:name="_Toc260229984"/>
      <w:bookmarkStart w:id="1127" w:name="_Toc21307"/>
      <w:bookmarkStart w:id="1128" w:name="_Toc260230311"/>
      <w:bookmarkStart w:id="1129" w:name="_Toc340222914"/>
      <w:bookmarkStart w:id="1130" w:name="_Toc449111937"/>
      <w:bookmarkStart w:id="1131" w:name="_Toc436309956"/>
      <w:bookmarkStart w:id="1132" w:name="_Toc504565698"/>
      <w:bookmarkStart w:id="1133" w:name="_Toc477164671"/>
      <w:bookmarkStart w:id="1134" w:name="_Toc450123143"/>
      <w:bookmarkStart w:id="1135" w:name="_Toc368145495"/>
      <w:bookmarkStart w:id="1136" w:name="_Toc389226406"/>
      <w:bookmarkStart w:id="1137" w:name="_Toc453768109"/>
      <w:bookmarkStart w:id="1138" w:name="_Toc504565811"/>
      <w:bookmarkStart w:id="1139" w:name="_Toc388633686"/>
      <w:bookmarkStart w:id="1140" w:name="_Toc439772710"/>
      <w:bookmarkStart w:id="1141" w:name="_Toc445105546"/>
      <w:bookmarkStart w:id="1142" w:name="_Toc260649039"/>
      <w:bookmarkStart w:id="1143" w:name="_Toc371937203"/>
      <w:bookmarkStart w:id="1144" w:name="_Toc450123377"/>
      <w:bookmarkStart w:id="1145" w:name="_Toc452986511"/>
      <w:r>
        <w:rPr>
          <w:rFonts w:hint="eastAsia" w:hAnsi="宋体" w:cs="宋体"/>
          <w:b/>
          <w:color w:val="auto"/>
          <w:sz w:val="32"/>
          <w:szCs w:val="32"/>
        </w:rPr>
        <w:t>19. 缺陷责任与保修责任</w:t>
      </w:r>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p>
    <w:p w14:paraId="18E59DCD">
      <w:pPr>
        <w:pStyle w:val="180"/>
        <w:spacing w:after="0" w:line="400" w:lineRule="exact"/>
        <w:ind w:firstLine="562"/>
        <w:jc w:val="both"/>
        <w:rPr>
          <w:rFonts w:hAnsi="宋体" w:cs="宋体"/>
          <w:b/>
          <w:color w:val="auto"/>
        </w:rPr>
      </w:pPr>
      <w:r>
        <w:rPr>
          <w:rFonts w:hint="eastAsia" w:hAnsi="宋体" w:cs="宋体"/>
          <w:b/>
          <w:color w:val="auto"/>
        </w:rPr>
        <w:t>19.1 缺陷责任期（工程质量保修期）的起算时间</w:t>
      </w:r>
    </w:p>
    <w:p w14:paraId="72BBBC21">
      <w:pPr>
        <w:pStyle w:val="87"/>
        <w:spacing w:line="400" w:lineRule="exact"/>
        <w:ind w:firstLine="616" w:firstLineChars="257"/>
        <w:jc w:val="both"/>
        <w:rPr>
          <w:rFonts w:hAnsi="宋体"/>
          <w:color w:val="auto"/>
        </w:rPr>
      </w:pPr>
      <w:r>
        <w:rPr>
          <w:rFonts w:hint="eastAsia" w:hAnsi="宋体"/>
          <w:color w:val="auto"/>
        </w:rPr>
        <w:t>除专用合同条款另有约定外，缺陷责任期(工程质量保修期)从工程通过合同工程完工验收后开始计算。在合同工程完工验收前，已经发包人提前验收的单位工程或部分工程，若未投入使用，其缺陷责任期(工程质量保修期)亦从工程通过合同工程完工验收后开始计算；若已投入使用，其缺陷责任期(工程质量保修期)从通过单位工程或部分工程投入使用验收后开始计算。缺陷责任期(工程质量保修期)的期限在专用合同条款中约定。</w:t>
      </w:r>
    </w:p>
    <w:p w14:paraId="533AC35D">
      <w:pPr>
        <w:pStyle w:val="180"/>
        <w:spacing w:after="0" w:line="400" w:lineRule="exact"/>
        <w:ind w:firstLine="562"/>
        <w:jc w:val="both"/>
        <w:rPr>
          <w:rFonts w:hAnsi="宋体" w:cs="宋体"/>
          <w:b/>
          <w:color w:val="auto"/>
        </w:rPr>
      </w:pPr>
      <w:r>
        <w:rPr>
          <w:rFonts w:hint="eastAsia" w:hAnsi="宋体" w:cs="宋体"/>
          <w:b/>
          <w:color w:val="auto"/>
        </w:rPr>
        <w:t>19.2 缺陷责任</w:t>
      </w:r>
    </w:p>
    <w:p w14:paraId="41727D0E">
      <w:pPr>
        <w:pStyle w:val="87"/>
        <w:spacing w:line="400" w:lineRule="exact"/>
        <w:ind w:firstLine="616" w:firstLineChars="257"/>
        <w:jc w:val="both"/>
        <w:rPr>
          <w:rFonts w:hAnsi="宋体"/>
          <w:color w:val="auto"/>
        </w:rPr>
      </w:pPr>
      <w:r>
        <w:rPr>
          <w:rFonts w:hint="eastAsia" w:hAnsi="宋体"/>
          <w:color w:val="auto"/>
        </w:rPr>
        <w:t>19.2.1 承包人应在缺陷责任期内对已交付使用的工程承担缺陷责任。</w:t>
      </w:r>
    </w:p>
    <w:p w14:paraId="1F587040">
      <w:pPr>
        <w:pStyle w:val="87"/>
        <w:spacing w:line="400" w:lineRule="exact"/>
        <w:ind w:firstLine="616" w:firstLineChars="257"/>
        <w:jc w:val="both"/>
        <w:rPr>
          <w:rFonts w:hAnsi="宋体"/>
          <w:color w:val="auto"/>
        </w:rPr>
      </w:pPr>
      <w:r>
        <w:rPr>
          <w:rFonts w:hint="eastAsia" w:hAnsi="宋体"/>
          <w:color w:val="auto"/>
        </w:rPr>
        <w:t>19.2.2 缺陷责任期内，发包人对已接收使用的工程负责日常维护工作。发包人在使用过程中，发现已接收的工程存在新的缺陷或已修复的缺陷部位或部件又遭损坏的，承包人应负责修复，直至检验合格为止。</w:t>
      </w:r>
    </w:p>
    <w:p w14:paraId="47B4D178">
      <w:pPr>
        <w:pStyle w:val="87"/>
        <w:spacing w:line="400" w:lineRule="exact"/>
        <w:ind w:firstLine="616" w:firstLineChars="257"/>
        <w:jc w:val="both"/>
        <w:rPr>
          <w:rFonts w:hAnsi="宋体"/>
          <w:color w:val="auto"/>
        </w:rPr>
      </w:pPr>
      <w:r>
        <w:rPr>
          <w:rFonts w:hint="eastAsia" w:hAnsi="宋体"/>
          <w:color w:val="auto"/>
        </w:rPr>
        <w:t>19.2.3 监理人和承包人应共同查清缺陷和（或）损坏的原因。经查明属承包人原因造成的，应由承包人承担修复和查验的费用。经查验属发包人原因造成的，发包人应承担修复和查验的费用，并支付承包人合理利润。</w:t>
      </w:r>
    </w:p>
    <w:p w14:paraId="0A66F8ED">
      <w:pPr>
        <w:pStyle w:val="87"/>
        <w:spacing w:line="400" w:lineRule="exact"/>
        <w:ind w:firstLine="616" w:firstLineChars="257"/>
        <w:jc w:val="both"/>
        <w:rPr>
          <w:rFonts w:hAnsi="宋体"/>
          <w:color w:val="auto"/>
        </w:rPr>
      </w:pPr>
      <w:r>
        <w:rPr>
          <w:rFonts w:hint="eastAsia" w:hAnsi="宋体"/>
          <w:color w:val="auto"/>
        </w:rPr>
        <w:t>19.2.4 承包人不能在合理时间内修复缺陷的，发包人可自行修复或委托其他人修复，所需费用和利润的承担，按第19.2.3 项约定办理。</w:t>
      </w:r>
    </w:p>
    <w:p w14:paraId="392B17C1">
      <w:pPr>
        <w:pStyle w:val="180"/>
        <w:spacing w:after="0" w:line="400" w:lineRule="exact"/>
        <w:ind w:firstLine="562"/>
        <w:jc w:val="both"/>
        <w:rPr>
          <w:rFonts w:hAnsi="宋体" w:cs="宋体"/>
          <w:b/>
          <w:color w:val="auto"/>
        </w:rPr>
      </w:pPr>
      <w:r>
        <w:rPr>
          <w:rFonts w:hint="eastAsia" w:hAnsi="宋体" w:cs="宋体"/>
          <w:b/>
          <w:color w:val="auto"/>
        </w:rPr>
        <w:t>19.3 缺陷责任期的延长</w:t>
      </w:r>
    </w:p>
    <w:p w14:paraId="77872912">
      <w:pPr>
        <w:pStyle w:val="87"/>
        <w:spacing w:line="400" w:lineRule="exact"/>
        <w:ind w:firstLine="616" w:firstLineChars="257"/>
        <w:jc w:val="both"/>
        <w:rPr>
          <w:rFonts w:hAnsi="宋体"/>
          <w:color w:val="auto"/>
        </w:rPr>
      </w:pPr>
      <w:r>
        <w:rPr>
          <w:rFonts w:hint="eastAsia" w:hAnsi="宋体"/>
          <w:color w:val="auto"/>
        </w:rPr>
        <w:t>由于承包人原因造成某项缺陷或损坏使某项工程或工程设备不能按原定目标使用而需要再次检查、检验和修复的，发包人有权要求承包人相应延长缺陷责任期，但缺陷责任期最长不超过2 年。</w:t>
      </w:r>
    </w:p>
    <w:p w14:paraId="3A720ADC">
      <w:pPr>
        <w:pStyle w:val="180"/>
        <w:spacing w:after="0" w:line="400" w:lineRule="exact"/>
        <w:ind w:firstLine="562"/>
        <w:jc w:val="both"/>
        <w:rPr>
          <w:rFonts w:hAnsi="宋体" w:cs="宋体"/>
          <w:b/>
          <w:color w:val="auto"/>
        </w:rPr>
      </w:pPr>
      <w:r>
        <w:rPr>
          <w:rFonts w:hint="eastAsia" w:hAnsi="宋体" w:cs="宋体"/>
          <w:b/>
          <w:color w:val="auto"/>
        </w:rPr>
        <w:t>19.4 进一步试验和试运行</w:t>
      </w:r>
    </w:p>
    <w:p w14:paraId="6759F84C">
      <w:pPr>
        <w:pStyle w:val="87"/>
        <w:spacing w:line="400" w:lineRule="exact"/>
        <w:ind w:firstLine="616" w:firstLineChars="257"/>
        <w:jc w:val="both"/>
        <w:rPr>
          <w:rFonts w:hAnsi="宋体"/>
          <w:color w:val="auto"/>
        </w:rPr>
      </w:pPr>
      <w:r>
        <w:rPr>
          <w:rFonts w:hint="eastAsia" w:hAnsi="宋体"/>
          <w:color w:val="auto"/>
        </w:rPr>
        <w:t>任何一项缺陷或损坏修复后，经检查证明其影响了工程或工程设备的使用性能，承包人应重新进行合同约定的试验和试运行，试验和试运行的全部费用应由责任方承担。</w:t>
      </w:r>
    </w:p>
    <w:p w14:paraId="679AA1E4">
      <w:pPr>
        <w:pStyle w:val="180"/>
        <w:spacing w:after="0" w:line="400" w:lineRule="exact"/>
        <w:ind w:firstLine="562"/>
        <w:jc w:val="both"/>
        <w:rPr>
          <w:rFonts w:hAnsi="宋体" w:cs="宋体"/>
          <w:b/>
          <w:color w:val="auto"/>
        </w:rPr>
      </w:pPr>
      <w:r>
        <w:rPr>
          <w:rFonts w:hint="eastAsia" w:hAnsi="宋体" w:cs="宋体"/>
          <w:b/>
          <w:color w:val="auto"/>
        </w:rPr>
        <w:t>19.5 承包人的进入权</w:t>
      </w:r>
    </w:p>
    <w:p w14:paraId="3BEF4B03">
      <w:pPr>
        <w:pStyle w:val="87"/>
        <w:spacing w:line="400" w:lineRule="exact"/>
        <w:ind w:firstLine="616" w:firstLineChars="257"/>
        <w:jc w:val="both"/>
        <w:rPr>
          <w:rFonts w:hAnsi="宋体"/>
          <w:color w:val="auto"/>
        </w:rPr>
      </w:pPr>
      <w:r>
        <w:rPr>
          <w:rFonts w:hint="eastAsia" w:hAnsi="宋体"/>
          <w:color w:val="auto"/>
        </w:rPr>
        <w:t>缺陷责任期内承包人为缺陷修复工作需要，有权进入工程现场，但应遵守发包人的保安和保密规定。</w:t>
      </w:r>
    </w:p>
    <w:p w14:paraId="3A77FBA4">
      <w:pPr>
        <w:pStyle w:val="180"/>
        <w:spacing w:after="0" w:line="400" w:lineRule="exact"/>
        <w:ind w:firstLine="562"/>
        <w:jc w:val="both"/>
        <w:rPr>
          <w:rFonts w:hAnsi="宋体" w:cs="宋体"/>
          <w:b/>
          <w:color w:val="auto"/>
        </w:rPr>
      </w:pPr>
      <w:r>
        <w:rPr>
          <w:rFonts w:hint="eastAsia" w:hAnsi="宋体" w:cs="宋体"/>
          <w:b/>
          <w:color w:val="auto"/>
        </w:rPr>
        <w:t>19.6 缺陷责任期终止证书（工程质量保修责任终止证书）</w:t>
      </w:r>
    </w:p>
    <w:p w14:paraId="25287AB9">
      <w:pPr>
        <w:pStyle w:val="25"/>
        <w:spacing w:line="400" w:lineRule="exact"/>
        <w:ind w:firstLine="630" w:firstLineChars="225"/>
        <w:rPr>
          <w:rFonts w:hAnsi="宋体" w:cs="宋体"/>
          <w:color w:val="auto"/>
        </w:rPr>
      </w:pPr>
      <w:r>
        <w:rPr>
          <w:rFonts w:hint="eastAsia" w:hAnsi="宋体" w:cs="宋体"/>
          <w:color w:val="auto"/>
        </w:rPr>
        <w:t>合同工程完工验收或投入使用验收后，发包人与承包人应办理工程交接手续，承包人应向发包人递交工程质量保修书。</w:t>
      </w:r>
    </w:p>
    <w:p w14:paraId="1713263F">
      <w:pPr>
        <w:pStyle w:val="87"/>
        <w:spacing w:line="400" w:lineRule="exact"/>
        <w:ind w:firstLine="616" w:firstLineChars="257"/>
        <w:jc w:val="both"/>
        <w:rPr>
          <w:rFonts w:hAnsi="宋体"/>
          <w:color w:val="auto"/>
        </w:rPr>
      </w:pPr>
      <w:r>
        <w:rPr>
          <w:rFonts w:hint="eastAsia" w:hAnsi="宋体"/>
          <w:color w:val="auto"/>
        </w:rPr>
        <w:t>缺陷责任期(工程质量保修期)满后30个工作日内，发包人应向承包人颁发工程质量保修责任终止证书，并退还剩余的质量保证金，但保修责任范围内的质量缺陷未处理完成的应除外。</w:t>
      </w:r>
    </w:p>
    <w:p w14:paraId="7E8357E2">
      <w:pPr>
        <w:pStyle w:val="180"/>
        <w:spacing w:after="0" w:line="400" w:lineRule="exact"/>
        <w:ind w:firstLine="562"/>
        <w:jc w:val="both"/>
        <w:rPr>
          <w:rFonts w:hAnsi="宋体" w:cs="宋体"/>
          <w:b/>
          <w:color w:val="auto"/>
        </w:rPr>
      </w:pPr>
      <w:r>
        <w:rPr>
          <w:rFonts w:hint="eastAsia" w:hAnsi="宋体" w:cs="宋体"/>
          <w:b/>
          <w:color w:val="auto"/>
        </w:rPr>
        <w:t>19.7 保修责任</w:t>
      </w:r>
    </w:p>
    <w:p w14:paraId="23BEF43B">
      <w:pPr>
        <w:pStyle w:val="87"/>
        <w:spacing w:line="400" w:lineRule="exact"/>
        <w:ind w:firstLine="616" w:firstLineChars="257"/>
        <w:jc w:val="both"/>
        <w:rPr>
          <w:rFonts w:hAnsi="宋体"/>
          <w:color w:val="auto"/>
        </w:rPr>
      </w:pPr>
      <w:r>
        <w:rPr>
          <w:rFonts w:hint="eastAsia" w:hAnsi="宋体"/>
          <w:color w:val="auto"/>
        </w:rPr>
        <w:t>合同当事人根据有关法律规定，在专用合同条款中约定工程质量保修范围、期限和责任。保修期自实际竣工日期起计算。在全部工程竣工验收前，已经发包人提前验收的单位工程，其保修期的起算日期相应提前。</w:t>
      </w:r>
    </w:p>
    <w:p w14:paraId="4C18F595">
      <w:pPr>
        <w:pStyle w:val="180"/>
        <w:spacing w:before="100" w:after="100" w:line="400" w:lineRule="exact"/>
        <w:ind w:firstLine="643"/>
        <w:jc w:val="both"/>
        <w:rPr>
          <w:rFonts w:hAnsi="宋体" w:cs="宋体"/>
          <w:b/>
          <w:color w:val="auto"/>
          <w:sz w:val="32"/>
          <w:szCs w:val="32"/>
        </w:rPr>
      </w:pPr>
      <w:bookmarkStart w:id="1146" w:name="_Toc255470277"/>
      <w:bookmarkStart w:id="1147" w:name="_Toc439772711"/>
      <w:bookmarkStart w:id="1148" w:name="_Toc215561220"/>
      <w:bookmarkStart w:id="1149" w:name="_Toc476231311"/>
      <w:bookmarkStart w:id="1150" w:name="_Toc249848962"/>
      <w:bookmarkStart w:id="1151" w:name="_Toc340436805"/>
      <w:bookmarkStart w:id="1152" w:name="_Toc187475852"/>
      <w:bookmarkStart w:id="1153" w:name="_Toc306293176"/>
      <w:bookmarkStart w:id="1154" w:name="_Toc270517154"/>
      <w:bookmarkStart w:id="1155" w:name="_Toc26973"/>
      <w:bookmarkStart w:id="1156" w:name="_Toc460581190"/>
      <w:bookmarkStart w:id="1157" w:name="_Toc260229985"/>
      <w:bookmarkStart w:id="1158" w:name="_Toc453768110"/>
      <w:bookmarkStart w:id="1159" w:name="_Toc222804536"/>
      <w:bookmarkStart w:id="1160" w:name="_Toc206830033"/>
      <w:bookmarkStart w:id="1161" w:name="_Toc371937204"/>
      <w:bookmarkStart w:id="1162" w:name="_Toc227658510"/>
      <w:bookmarkStart w:id="1163" w:name="_Toc452986512"/>
      <w:bookmarkStart w:id="1164" w:name="_Toc450123378"/>
      <w:bookmarkStart w:id="1165" w:name="_Toc389226407"/>
      <w:bookmarkStart w:id="1166" w:name="_Toc338778052"/>
      <w:bookmarkStart w:id="1167" w:name="_Toc504565699"/>
      <w:bookmarkStart w:id="1168" w:name="_Toc214355683"/>
      <w:bookmarkStart w:id="1169" w:name="_Toc215556202"/>
      <w:bookmarkStart w:id="1170" w:name="_Toc504565812"/>
      <w:bookmarkStart w:id="1171" w:name="_Toc255741941"/>
      <w:bookmarkStart w:id="1172" w:name="_Toc510197622"/>
      <w:bookmarkStart w:id="1173" w:name="_Toc436133248"/>
      <w:bookmarkStart w:id="1174" w:name="_Toc209862342"/>
      <w:bookmarkStart w:id="1175" w:name="_Toc254774421"/>
      <w:bookmarkStart w:id="1176" w:name="_Toc260230312"/>
      <w:bookmarkStart w:id="1177" w:name="_Toc340222915"/>
      <w:bookmarkStart w:id="1178" w:name="_Toc3538"/>
      <w:bookmarkStart w:id="1179" w:name="_Toc351898557"/>
      <w:bookmarkStart w:id="1180" w:name="_Toc436309605"/>
      <w:bookmarkStart w:id="1181" w:name="_Toc215805063"/>
      <w:bookmarkStart w:id="1182" w:name="_Toc245110750"/>
      <w:bookmarkStart w:id="1183" w:name="_Toc445105547"/>
      <w:bookmarkStart w:id="1184" w:name="_Toc195864507"/>
      <w:bookmarkStart w:id="1185" w:name="_Toc458599288"/>
      <w:bookmarkStart w:id="1186" w:name="_Toc477164672"/>
      <w:bookmarkStart w:id="1187" w:name="_Toc219172349"/>
      <w:bookmarkStart w:id="1188" w:name="_Toc368145496"/>
      <w:bookmarkStart w:id="1189" w:name="_Toc350857439"/>
      <w:bookmarkStart w:id="1190" w:name="_Toc388633687"/>
      <w:bookmarkStart w:id="1191" w:name="_Toc187846012"/>
      <w:bookmarkStart w:id="1192" w:name="_Toc450123144"/>
      <w:bookmarkStart w:id="1193" w:name="_Toc436309957"/>
      <w:bookmarkStart w:id="1194" w:name="_Toc449111938"/>
      <w:bookmarkStart w:id="1195" w:name="_Toc257202845"/>
      <w:bookmarkStart w:id="1196" w:name="_Toc248294433"/>
      <w:bookmarkStart w:id="1197" w:name="_Toc436998798"/>
      <w:bookmarkStart w:id="1198" w:name="_Toc510197484"/>
      <w:bookmarkStart w:id="1199" w:name="_Toc274500908"/>
      <w:bookmarkStart w:id="1200" w:name="_Toc211175344"/>
      <w:bookmarkStart w:id="1201" w:name="_Toc208734420"/>
      <w:bookmarkStart w:id="1202" w:name="_Toc260649040"/>
      <w:bookmarkStart w:id="1203" w:name="_Toc342046326"/>
      <w:bookmarkStart w:id="1204" w:name="_Toc305763066"/>
      <w:bookmarkStart w:id="1205" w:name="_Toc255470054"/>
      <w:r>
        <w:rPr>
          <w:rFonts w:hint="eastAsia" w:hAnsi="宋体" w:cs="宋体"/>
          <w:b/>
          <w:color w:val="auto"/>
          <w:sz w:val="32"/>
          <w:szCs w:val="32"/>
        </w:rPr>
        <w:t>20. 保险</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49D617C6">
      <w:pPr>
        <w:pStyle w:val="180"/>
        <w:spacing w:after="0" w:line="400" w:lineRule="exact"/>
        <w:ind w:firstLine="562"/>
        <w:jc w:val="both"/>
        <w:rPr>
          <w:rFonts w:hAnsi="宋体" w:cs="宋体"/>
          <w:b/>
          <w:color w:val="auto"/>
        </w:rPr>
      </w:pPr>
      <w:r>
        <w:rPr>
          <w:rFonts w:hint="eastAsia" w:hAnsi="宋体" w:cs="宋体"/>
          <w:b/>
          <w:color w:val="auto"/>
        </w:rPr>
        <w:t>20.1 工程保险</w:t>
      </w:r>
    </w:p>
    <w:p w14:paraId="38946AA4">
      <w:pPr>
        <w:pStyle w:val="87"/>
        <w:spacing w:line="400" w:lineRule="exact"/>
        <w:ind w:firstLine="616" w:firstLineChars="257"/>
        <w:jc w:val="both"/>
        <w:rPr>
          <w:rFonts w:hAnsi="宋体"/>
          <w:color w:val="auto"/>
        </w:rPr>
      </w:pPr>
      <w:r>
        <w:rPr>
          <w:rFonts w:hint="eastAsia" w:hAnsi="宋体"/>
          <w:color w:val="auto"/>
        </w:rPr>
        <w:t>除专用合同条款另有约定外，承包人应以发包人和承包人的共同名义向双方同意的保险人投保建筑工程一切险、安装工程一切险。其具体的投保内容、保险金额、保险费率、保险期限等有关内容在专用合同条款中约定。</w:t>
      </w:r>
    </w:p>
    <w:p w14:paraId="46A002FB">
      <w:pPr>
        <w:pStyle w:val="180"/>
        <w:spacing w:after="0" w:line="400" w:lineRule="exact"/>
        <w:ind w:firstLine="562"/>
        <w:jc w:val="both"/>
        <w:rPr>
          <w:rFonts w:hAnsi="宋体" w:cs="宋体"/>
          <w:b/>
          <w:color w:val="auto"/>
        </w:rPr>
      </w:pPr>
      <w:r>
        <w:rPr>
          <w:rFonts w:hint="eastAsia" w:hAnsi="宋体" w:cs="宋体"/>
          <w:b/>
          <w:color w:val="auto"/>
        </w:rPr>
        <w:t>20.2 人员工伤事故的保险</w:t>
      </w:r>
    </w:p>
    <w:p w14:paraId="0D90A75E">
      <w:pPr>
        <w:pStyle w:val="87"/>
        <w:spacing w:line="400" w:lineRule="exact"/>
        <w:ind w:firstLine="619" w:firstLineChars="257"/>
        <w:jc w:val="both"/>
        <w:rPr>
          <w:rFonts w:hAnsi="宋体"/>
          <w:b/>
          <w:color w:val="auto"/>
        </w:rPr>
      </w:pPr>
      <w:r>
        <w:rPr>
          <w:rFonts w:hint="eastAsia" w:hAnsi="宋体"/>
          <w:b/>
          <w:color w:val="auto"/>
        </w:rPr>
        <w:t xml:space="preserve">20.2.1 承包人员工伤事故的保险 </w:t>
      </w:r>
    </w:p>
    <w:p w14:paraId="5561A805">
      <w:pPr>
        <w:pStyle w:val="87"/>
        <w:spacing w:line="400" w:lineRule="exact"/>
        <w:ind w:firstLine="616" w:firstLineChars="257"/>
        <w:jc w:val="both"/>
        <w:rPr>
          <w:rFonts w:hAnsi="宋体"/>
          <w:color w:val="auto"/>
        </w:rPr>
      </w:pPr>
      <w:r>
        <w:rPr>
          <w:rFonts w:hint="eastAsia" w:hAnsi="宋体"/>
          <w:color w:val="auto"/>
        </w:rPr>
        <w:t>承包人应依照有关法律规定参加工伤保险，为其履行合同所雇佣的全部人员，缴纳工伤保险费，并要求其分包人也进行此项保险。</w:t>
      </w:r>
    </w:p>
    <w:p w14:paraId="47F94D84">
      <w:pPr>
        <w:pStyle w:val="87"/>
        <w:spacing w:line="400" w:lineRule="exact"/>
        <w:ind w:firstLine="619" w:firstLineChars="257"/>
        <w:jc w:val="both"/>
        <w:rPr>
          <w:rFonts w:hAnsi="宋体"/>
          <w:b/>
          <w:color w:val="auto"/>
        </w:rPr>
      </w:pPr>
      <w:r>
        <w:rPr>
          <w:rFonts w:hint="eastAsia" w:hAnsi="宋体"/>
          <w:b/>
          <w:color w:val="auto"/>
        </w:rPr>
        <w:t xml:space="preserve">20.2.2 发包人员工伤事故的保险 </w:t>
      </w:r>
    </w:p>
    <w:p w14:paraId="6CC8752B">
      <w:pPr>
        <w:pStyle w:val="87"/>
        <w:spacing w:line="400" w:lineRule="exact"/>
        <w:ind w:firstLine="616" w:firstLineChars="257"/>
        <w:jc w:val="both"/>
        <w:rPr>
          <w:rFonts w:hAnsi="宋体"/>
          <w:color w:val="auto"/>
        </w:rPr>
      </w:pPr>
      <w:r>
        <w:rPr>
          <w:rFonts w:hint="eastAsia" w:hAnsi="宋体"/>
          <w:color w:val="auto"/>
        </w:rPr>
        <w:t>发包人应依照有关法律规定参加工伤保险，为其现场机构雇佣的全部人员，缴纳工伤保险费，并要求其监理人也进行此项保险。</w:t>
      </w:r>
    </w:p>
    <w:p w14:paraId="0110B656">
      <w:pPr>
        <w:pStyle w:val="180"/>
        <w:spacing w:after="0" w:line="400" w:lineRule="exact"/>
        <w:ind w:firstLine="562"/>
        <w:jc w:val="both"/>
        <w:rPr>
          <w:rFonts w:hAnsi="宋体" w:cs="宋体"/>
          <w:b/>
          <w:color w:val="auto"/>
        </w:rPr>
      </w:pPr>
      <w:r>
        <w:rPr>
          <w:rFonts w:hint="eastAsia" w:hAnsi="宋体" w:cs="宋体"/>
          <w:b/>
          <w:color w:val="auto"/>
        </w:rPr>
        <w:t>20.3 人身意外伤害险</w:t>
      </w:r>
    </w:p>
    <w:p w14:paraId="1EDB69FE">
      <w:pPr>
        <w:pStyle w:val="87"/>
        <w:spacing w:line="400" w:lineRule="exact"/>
        <w:ind w:firstLine="616" w:firstLineChars="257"/>
        <w:jc w:val="both"/>
        <w:rPr>
          <w:rFonts w:hAnsi="宋体"/>
          <w:color w:val="auto"/>
        </w:rPr>
      </w:pPr>
      <w:r>
        <w:rPr>
          <w:rFonts w:hint="eastAsia" w:hAnsi="宋体"/>
          <w:color w:val="auto"/>
        </w:rPr>
        <w:t>20.3.1 发包人应在整个施工期间为其现场机构雇用的全部人员，投保人身意外伤害险，缴纳保险费，并要求其监理人也进行此项保险。</w:t>
      </w:r>
    </w:p>
    <w:p w14:paraId="1AA5FFA9">
      <w:pPr>
        <w:pStyle w:val="87"/>
        <w:spacing w:line="400" w:lineRule="exact"/>
        <w:ind w:firstLine="616" w:firstLineChars="257"/>
        <w:jc w:val="both"/>
        <w:rPr>
          <w:rFonts w:hAnsi="宋体"/>
          <w:color w:val="auto"/>
        </w:rPr>
      </w:pPr>
      <w:r>
        <w:rPr>
          <w:rFonts w:hint="eastAsia" w:hAnsi="宋体"/>
          <w:color w:val="auto"/>
        </w:rPr>
        <w:t>20.3.2 承包人应在整个施工期间为其现场机构雇用的全部人员，投保人身意外伤害险，缴纳保险费，并要求其分包人也进行此项保险。</w:t>
      </w:r>
    </w:p>
    <w:p w14:paraId="5E188834">
      <w:pPr>
        <w:pStyle w:val="180"/>
        <w:spacing w:after="0" w:line="400" w:lineRule="exact"/>
        <w:ind w:firstLine="562"/>
        <w:jc w:val="both"/>
        <w:rPr>
          <w:rFonts w:hAnsi="宋体" w:cs="宋体"/>
          <w:b/>
          <w:color w:val="auto"/>
        </w:rPr>
      </w:pPr>
      <w:r>
        <w:rPr>
          <w:rFonts w:hint="eastAsia" w:hAnsi="宋体" w:cs="宋体"/>
          <w:b/>
          <w:color w:val="auto"/>
        </w:rPr>
        <w:t>20.4 第三者责任险</w:t>
      </w:r>
    </w:p>
    <w:p w14:paraId="08B03E42">
      <w:pPr>
        <w:pStyle w:val="87"/>
        <w:spacing w:line="400" w:lineRule="exact"/>
        <w:ind w:firstLine="616" w:firstLineChars="257"/>
        <w:jc w:val="both"/>
        <w:rPr>
          <w:rFonts w:hAnsi="宋体"/>
          <w:color w:val="auto"/>
        </w:rPr>
      </w:pPr>
      <w:r>
        <w:rPr>
          <w:rFonts w:hint="eastAsia" w:hAnsi="宋体"/>
          <w:color w:val="auto"/>
        </w:rPr>
        <w:t>20.4.1 第三者责任系指在保险期内，对因工程意外事故造成的、依法应由被保险人负责的工地上及毗邻地区的第三者人身伤亡、疾病或财产损失（本工程除外），以及被保险人因此而支付的诉讼费用和事先经保险人书面同意支付的其他费用等赔偿责任。</w:t>
      </w:r>
    </w:p>
    <w:p w14:paraId="39C000B0">
      <w:pPr>
        <w:pStyle w:val="87"/>
        <w:spacing w:line="400" w:lineRule="exact"/>
        <w:ind w:firstLine="616" w:firstLineChars="257"/>
        <w:jc w:val="both"/>
        <w:rPr>
          <w:rFonts w:hAnsi="宋体"/>
          <w:color w:val="auto"/>
        </w:rPr>
      </w:pPr>
      <w:r>
        <w:rPr>
          <w:rFonts w:hint="eastAsia" w:hAnsi="宋体"/>
          <w:color w:val="auto"/>
        </w:rPr>
        <w:t>20.4.2 在缺陷责任期终止证书颁发前，承包人应以承包人和发包人的共同名义，投保第20.4.1项约定的第三者责任险，其保险费率、保险金额等有关内容在专用合同条款中约定。</w:t>
      </w:r>
    </w:p>
    <w:p w14:paraId="34DD7F1A">
      <w:pPr>
        <w:pStyle w:val="180"/>
        <w:spacing w:after="0" w:line="400" w:lineRule="exact"/>
        <w:ind w:firstLine="562"/>
        <w:jc w:val="both"/>
        <w:rPr>
          <w:rFonts w:hAnsi="宋体" w:cs="宋体"/>
          <w:b/>
          <w:color w:val="auto"/>
        </w:rPr>
      </w:pPr>
      <w:r>
        <w:rPr>
          <w:rFonts w:hint="eastAsia" w:hAnsi="宋体" w:cs="宋体"/>
          <w:b/>
          <w:color w:val="auto"/>
        </w:rPr>
        <w:t>20.5 其他保险</w:t>
      </w:r>
    </w:p>
    <w:p w14:paraId="0BC0E7EE">
      <w:pPr>
        <w:pStyle w:val="87"/>
        <w:spacing w:line="400" w:lineRule="exact"/>
        <w:ind w:firstLine="616" w:firstLineChars="257"/>
        <w:jc w:val="both"/>
        <w:rPr>
          <w:rFonts w:hAnsi="宋体"/>
          <w:color w:val="auto"/>
        </w:rPr>
      </w:pPr>
      <w:r>
        <w:rPr>
          <w:rFonts w:hint="eastAsia" w:hAnsi="宋体"/>
          <w:color w:val="auto"/>
        </w:rPr>
        <w:t>除专用合同条款另有约定外，承包人应为其施工设备、进场的材料和工程设备等办理保险。</w:t>
      </w:r>
    </w:p>
    <w:p w14:paraId="523B1788">
      <w:pPr>
        <w:pStyle w:val="180"/>
        <w:spacing w:after="0" w:line="400" w:lineRule="exact"/>
        <w:ind w:firstLine="562"/>
        <w:jc w:val="both"/>
        <w:rPr>
          <w:rFonts w:hAnsi="宋体" w:cs="宋体"/>
          <w:b/>
          <w:color w:val="auto"/>
        </w:rPr>
      </w:pPr>
      <w:r>
        <w:rPr>
          <w:rFonts w:hint="eastAsia" w:hAnsi="宋体" w:cs="宋体"/>
          <w:b/>
          <w:color w:val="auto"/>
        </w:rPr>
        <w:t>20.6 对各项保险的一般要求</w:t>
      </w:r>
    </w:p>
    <w:p w14:paraId="786D6F40">
      <w:pPr>
        <w:pStyle w:val="87"/>
        <w:spacing w:line="400" w:lineRule="exact"/>
        <w:ind w:firstLine="619" w:firstLineChars="257"/>
        <w:jc w:val="both"/>
        <w:rPr>
          <w:rFonts w:hAnsi="宋体"/>
          <w:b/>
          <w:color w:val="auto"/>
        </w:rPr>
      </w:pPr>
      <w:r>
        <w:rPr>
          <w:rFonts w:hint="eastAsia" w:hAnsi="宋体"/>
          <w:b/>
          <w:color w:val="auto"/>
        </w:rPr>
        <w:t>20.6.1 保险凭证</w:t>
      </w:r>
    </w:p>
    <w:p w14:paraId="1D499C75">
      <w:pPr>
        <w:pStyle w:val="87"/>
        <w:spacing w:line="400" w:lineRule="exact"/>
        <w:ind w:firstLine="616" w:firstLineChars="257"/>
        <w:jc w:val="both"/>
        <w:rPr>
          <w:rFonts w:hAnsi="宋体"/>
          <w:color w:val="auto"/>
        </w:rPr>
      </w:pPr>
      <w:r>
        <w:rPr>
          <w:rFonts w:hint="eastAsia" w:hAnsi="宋体"/>
          <w:color w:val="auto"/>
        </w:rPr>
        <w:t>承包人应在专用合同条款约定的期限内向发包人提交各项保险生效的证据和保险单副本，保险单必须与专用合同条款约定的条件保持一致。</w:t>
      </w:r>
    </w:p>
    <w:p w14:paraId="2E204109">
      <w:pPr>
        <w:pStyle w:val="87"/>
        <w:spacing w:line="400" w:lineRule="exact"/>
        <w:ind w:firstLine="619" w:firstLineChars="257"/>
        <w:jc w:val="both"/>
        <w:rPr>
          <w:rFonts w:hAnsi="宋体"/>
          <w:b/>
          <w:color w:val="auto"/>
        </w:rPr>
      </w:pPr>
      <w:r>
        <w:rPr>
          <w:rFonts w:hint="eastAsia" w:hAnsi="宋体"/>
          <w:b/>
          <w:color w:val="auto"/>
        </w:rPr>
        <w:t>20.6.2 保险合同条款的变动</w:t>
      </w:r>
    </w:p>
    <w:p w14:paraId="5CD13F91">
      <w:pPr>
        <w:pStyle w:val="87"/>
        <w:spacing w:line="400" w:lineRule="exact"/>
        <w:ind w:firstLine="616" w:firstLineChars="257"/>
        <w:jc w:val="both"/>
        <w:rPr>
          <w:rFonts w:hAnsi="宋体"/>
          <w:color w:val="auto"/>
        </w:rPr>
      </w:pPr>
      <w:r>
        <w:rPr>
          <w:rFonts w:hint="eastAsia" w:hAnsi="宋体"/>
          <w:color w:val="auto"/>
        </w:rPr>
        <w:t>承包人需要变动保险合同条款时，应事先征得发包人同意，并通知监理人。保险人作出变动的，承包人应在收到保险人通知后立即通知发包人和监理人。</w:t>
      </w:r>
    </w:p>
    <w:p w14:paraId="41E8A663">
      <w:pPr>
        <w:pStyle w:val="87"/>
        <w:spacing w:line="400" w:lineRule="exact"/>
        <w:ind w:firstLine="619" w:firstLineChars="257"/>
        <w:jc w:val="both"/>
        <w:rPr>
          <w:rFonts w:hAnsi="宋体"/>
          <w:b/>
          <w:color w:val="auto"/>
        </w:rPr>
      </w:pPr>
      <w:r>
        <w:rPr>
          <w:rFonts w:hint="eastAsia" w:hAnsi="宋体"/>
          <w:b/>
          <w:color w:val="auto"/>
        </w:rPr>
        <w:t>20.6.3 持续保险</w:t>
      </w:r>
    </w:p>
    <w:p w14:paraId="0CE234B0">
      <w:pPr>
        <w:pStyle w:val="87"/>
        <w:spacing w:line="400" w:lineRule="exact"/>
        <w:ind w:firstLine="616" w:firstLineChars="257"/>
        <w:jc w:val="both"/>
        <w:rPr>
          <w:rFonts w:hAnsi="宋体"/>
          <w:color w:val="auto"/>
        </w:rPr>
      </w:pPr>
      <w:r>
        <w:rPr>
          <w:rFonts w:hint="eastAsia" w:hAnsi="宋体"/>
          <w:color w:val="auto"/>
        </w:rPr>
        <w:t>承包人应与保险人保持联系，使保险人能够随时了解工程实施中的变动，并确保按保险合同条款要求持续保险。</w:t>
      </w:r>
    </w:p>
    <w:p w14:paraId="4B72506A">
      <w:pPr>
        <w:pStyle w:val="87"/>
        <w:spacing w:line="400" w:lineRule="exact"/>
        <w:ind w:firstLine="619" w:firstLineChars="257"/>
        <w:jc w:val="both"/>
        <w:rPr>
          <w:rFonts w:hAnsi="宋体"/>
          <w:b/>
          <w:color w:val="auto"/>
        </w:rPr>
      </w:pPr>
      <w:r>
        <w:rPr>
          <w:rFonts w:hint="eastAsia" w:hAnsi="宋体"/>
          <w:b/>
          <w:color w:val="auto"/>
        </w:rPr>
        <w:t xml:space="preserve">20.6.4 保险金不足的补偿 </w:t>
      </w:r>
    </w:p>
    <w:p w14:paraId="042717B3">
      <w:pPr>
        <w:pStyle w:val="87"/>
        <w:spacing w:line="400" w:lineRule="exact"/>
        <w:ind w:firstLine="616" w:firstLineChars="257"/>
        <w:jc w:val="both"/>
        <w:rPr>
          <w:rFonts w:hAnsi="宋体"/>
          <w:color w:val="auto"/>
        </w:rPr>
      </w:pPr>
      <w:r>
        <w:rPr>
          <w:rFonts w:hint="eastAsia" w:hAnsi="宋体"/>
          <w:color w:val="auto"/>
        </w:rPr>
        <w:t>保险金不足以补偿损失时，应由承包人和发包人各自负责补偿的范围和金额在专用合同条款中约定。</w:t>
      </w:r>
    </w:p>
    <w:p w14:paraId="146D4ADE">
      <w:pPr>
        <w:pStyle w:val="87"/>
        <w:spacing w:line="400" w:lineRule="exact"/>
        <w:ind w:firstLine="619" w:firstLineChars="257"/>
        <w:jc w:val="both"/>
        <w:rPr>
          <w:rFonts w:hAnsi="宋体"/>
          <w:b/>
          <w:color w:val="auto"/>
        </w:rPr>
      </w:pPr>
      <w:r>
        <w:rPr>
          <w:rFonts w:hint="eastAsia" w:hAnsi="宋体"/>
          <w:b/>
          <w:color w:val="auto"/>
        </w:rPr>
        <w:t xml:space="preserve">20.6.5 未按约定投保的补救 </w:t>
      </w:r>
    </w:p>
    <w:p w14:paraId="28C51E86">
      <w:pPr>
        <w:pStyle w:val="87"/>
        <w:spacing w:line="400" w:lineRule="exact"/>
        <w:ind w:firstLine="616" w:firstLineChars="257"/>
        <w:jc w:val="both"/>
        <w:rPr>
          <w:rFonts w:hAnsi="宋体"/>
          <w:color w:val="auto"/>
        </w:rPr>
      </w:pPr>
      <w:r>
        <w:rPr>
          <w:rFonts w:hint="eastAsia" w:hAnsi="宋体"/>
          <w:color w:val="auto"/>
        </w:rPr>
        <w:t>（1）由于负有投保义务的一方当事人未按合同约定办理保险，或未能使保险持续有效的，另一方当事人可代为办理，所需费用由对方当事人承担。</w:t>
      </w:r>
    </w:p>
    <w:p w14:paraId="2E78376F">
      <w:pPr>
        <w:pStyle w:val="87"/>
        <w:spacing w:line="400" w:lineRule="exact"/>
        <w:ind w:firstLine="616" w:firstLineChars="257"/>
        <w:jc w:val="both"/>
        <w:rPr>
          <w:rFonts w:hAnsi="宋体"/>
          <w:color w:val="auto"/>
        </w:rPr>
      </w:pPr>
      <w:r>
        <w:rPr>
          <w:rFonts w:hint="eastAsia" w:hAnsi="宋体"/>
          <w:color w:val="auto"/>
        </w:rPr>
        <w:t>（2）由于负有投保义务的一方当事人未按合同约定办理某项保险，导致受益人未能得到保险人的赔偿，原应从该项保险得到的保险金应由负有投保义务的一方当事人支付。</w:t>
      </w:r>
    </w:p>
    <w:p w14:paraId="3CC9B95E">
      <w:pPr>
        <w:pStyle w:val="87"/>
        <w:spacing w:line="400" w:lineRule="exact"/>
        <w:ind w:firstLine="619" w:firstLineChars="257"/>
        <w:jc w:val="both"/>
        <w:rPr>
          <w:rFonts w:hAnsi="宋体"/>
          <w:b/>
          <w:color w:val="auto"/>
        </w:rPr>
      </w:pPr>
      <w:r>
        <w:rPr>
          <w:rFonts w:hint="eastAsia" w:hAnsi="宋体"/>
          <w:b/>
          <w:color w:val="auto"/>
        </w:rPr>
        <w:t xml:space="preserve">20.6.6 报告义务 </w:t>
      </w:r>
    </w:p>
    <w:p w14:paraId="50A65B16">
      <w:pPr>
        <w:pStyle w:val="87"/>
        <w:spacing w:line="400" w:lineRule="exact"/>
        <w:ind w:firstLine="616" w:firstLineChars="257"/>
        <w:jc w:val="both"/>
        <w:rPr>
          <w:rFonts w:hAnsi="宋体"/>
          <w:color w:val="auto"/>
        </w:rPr>
      </w:pPr>
      <w:r>
        <w:rPr>
          <w:rFonts w:hint="eastAsia" w:hAnsi="宋体"/>
          <w:color w:val="auto"/>
        </w:rPr>
        <w:t>当保险事故发生时，投保人应按照保险单规定的条件和期限及时向保险人报告。</w:t>
      </w:r>
    </w:p>
    <w:p w14:paraId="437FD093">
      <w:pPr>
        <w:pStyle w:val="180"/>
        <w:spacing w:after="0" w:line="400" w:lineRule="exact"/>
        <w:ind w:firstLine="562"/>
        <w:jc w:val="both"/>
        <w:rPr>
          <w:rFonts w:hAnsi="宋体" w:cs="宋体"/>
          <w:b/>
          <w:color w:val="auto"/>
        </w:rPr>
      </w:pPr>
      <w:r>
        <w:rPr>
          <w:rFonts w:hint="eastAsia" w:hAnsi="宋体" w:cs="宋体"/>
          <w:b/>
          <w:color w:val="auto"/>
        </w:rPr>
        <w:t>20.7 风险责任的转移</w:t>
      </w:r>
    </w:p>
    <w:p w14:paraId="10F7B31B">
      <w:pPr>
        <w:pStyle w:val="25"/>
        <w:spacing w:line="400" w:lineRule="exact"/>
        <w:ind w:firstLine="560"/>
        <w:rPr>
          <w:rFonts w:hAnsi="宋体" w:cs="宋体"/>
          <w:color w:val="auto"/>
        </w:rPr>
      </w:pPr>
      <w:r>
        <w:rPr>
          <w:rFonts w:hint="eastAsia" w:hAnsi="宋体" w:cs="宋体"/>
          <w:color w:val="auto"/>
        </w:rPr>
        <w:t>工程通过合同工程完工验收并移交给发包人后，原由承包人应承担的风险责任，以及保险的责任、权利和义务同时转移给发包人，但承包人在缺陷责任期(工程质量保修期)前造成损失和损坏情形除外。</w:t>
      </w:r>
    </w:p>
    <w:p w14:paraId="09F5E1D5">
      <w:pPr>
        <w:pStyle w:val="180"/>
        <w:spacing w:before="100" w:after="100" w:line="400" w:lineRule="exact"/>
        <w:ind w:firstLine="643"/>
        <w:jc w:val="both"/>
        <w:rPr>
          <w:rFonts w:hAnsi="宋体" w:cs="宋体"/>
          <w:b/>
          <w:color w:val="auto"/>
          <w:sz w:val="32"/>
          <w:szCs w:val="32"/>
        </w:rPr>
      </w:pPr>
      <w:bookmarkStart w:id="1206" w:name="_Toc445105548"/>
      <w:bookmarkStart w:id="1207" w:name="_Toc450123379"/>
      <w:bookmarkStart w:id="1208" w:name="_Toc453768111"/>
      <w:bookmarkStart w:id="1209" w:name="_Toc510197485"/>
      <w:bookmarkStart w:id="1210" w:name="_Toc458599289"/>
      <w:bookmarkStart w:id="1211" w:name="_Toc436309606"/>
      <w:bookmarkStart w:id="1212" w:name="_Toc460581191"/>
      <w:bookmarkStart w:id="1213" w:name="_Toc340436806"/>
      <w:bookmarkStart w:id="1214" w:name="_Toc371937205"/>
      <w:bookmarkStart w:id="1215" w:name="_Toc211175345"/>
      <w:bookmarkStart w:id="1216" w:name="_Toc338778053"/>
      <w:bookmarkStart w:id="1217" w:name="_Toc389226408"/>
      <w:bookmarkStart w:id="1218" w:name="_Toc215556203"/>
      <w:bookmarkStart w:id="1219" w:name="_Toc342046327"/>
      <w:bookmarkStart w:id="1220" w:name="_Toc255470278"/>
      <w:bookmarkStart w:id="1221" w:name="_Toc14950"/>
      <w:bookmarkStart w:id="1222" w:name="_Toc249848963"/>
      <w:bookmarkStart w:id="1223" w:name="_Toc350857440"/>
      <w:bookmarkStart w:id="1224" w:name="_Toc476231312"/>
      <w:bookmarkStart w:id="1225" w:name="_Toc255741942"/>
      <w:bookmarkStart w:id="1226" w:name="_Toc368145497"/>
      <w:bookmarkStart w:id="1227" w:name="_Toc2442"/>
      <w:bookmarkStart w:id="1228" w:name="_Toc450123145"/>
      <w:bookmarkStart w:id="1229" w:name="_Toc208734421"/>
      <w:bookmarkStart w:id="1230" w:name="_Toc452986513"/>
      <w:bookmarkStart w:id="1231" w:name="_Toc215805064"/>
      <w:bookmarkStart w:id="1232" w:name="_Toc195864508"/>
      <w:bookmarkStart w:id="1233" w:name="_Toc255470055"/>
      <w:bookmarkStart w:id="1234" w:name="_Toc206830034"/>
      <w:bookmarkStart w:id="1235" w:name="_Toc449111939"/>
      <w:bookmarkStart w:id="1236" w:name="_Toc274500909"/>
      <w:bookmarkStart w:id="1237" w:name="_Toc260230313"/>
      <w:bookmarkStart w:id="1238" w:name="_Toc257202846"/>
      <w:bookmarkStart w:id="1239" w:name="_Toc477164673"/>
      <w:bookmarkStart w:id="1240" w:name="_Toc436133249"/>
      <w:bookmarkStart w:id="1241" w:name="_Toc214355684"/>
      <w:bookmarkStart w:id="1242" w:name="_Toc187475853"/>
      <w:bookmarkStart w:id="1243" w:name="_Toc260229986"/>
      <w:bookmarkStart w:id="1244" w:name="_Toc254774422"/>
      <w:bookmarkStart w:id="1245" w:name="_Toc227658511"/>
      <w:bookmarkStart w:id="1246" w:name="_Toc219172350"/>
      <w:bookmarkStart w:id="1247" w:name="_Toc260649041"/>
      <w:bookmarkStart w:id="1248" w:name="_Toc439772712"/>
      <w:bookmarkStart w:id="1249" w:name="_Toc222804537"/>
      <w:bookmarkStart w:id="1250" w:name="_Toc504565813"/>
      <w:bookmarkStart w:id="1251" w:name="_Toc187846013"/>
      <w:bookmarkStart w:id="1252" w:name="_Toc270517155"/>
      <w:bookmarkStart w:id="1253" w:name="_Toc248294434"/>
      <w:bookmarkStart w:id="1254" w:name="_Toc306293177"/>
      <w:bookmarkStart w:id="1255" w:name="_Toc436998799"/>
      <w:bookmarkStart w:id="1256" w:name="_Toc504565700"/>
      <w:bookmarkStart w:id="1257" w:name="_Toc510197623"/>
      <w:bookmarkStart w:id="1258" w:name="_Toc215561221"/>
      <w:bookmarkStart w:id="1259" w:name="_Toc351898558"/>
      <w:bookmarkStart w:id="1260" w:name="_Toc209862343"/>
      <w:bookmarkStart w:id="1261" w:name="_Toc340222916"/>
      <w:bookmarkStart w:id="1262" w:name="_Toc388633688"/>
      <w:bookmarkStart w:id="1263" w:name="_Toc436309958"/>
      <w:bookmarkStart w:id="1264" w:name="_Toc245110751"/>
      <w:bookmarkStart w:id="1265" w:name="_Toc305763067"/>
      <w:r>
        <w:rPr>
          <w:rFonts w:hint="eastAsia" w:hAnsi="宋体" w:cs="宋体"/>
          <w:b/>
          <w:color w:val="auto"/>
          <w:sz w:val="32"/>
          <w:szCs w:val="32"/>
        </w:rPr>
        <w:t>21. 不可抗力</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p>
    <w:p w14:paraId="119D4735">
      <w:pPr>
        <w:pStyle w:val="180"/>
        <w:spacing w:after="0" w:line="400" w:lineRule="exact"/>
        <w:ind w:firstLine="562"/>
        <w:jc w:val="both"/>
        <w:rPr>
          <w:rFonts w:hAnsi="宋体" w:cs="宋体"/>
          <w:b/>
          <w:color w:val="auto"/>
        </w:rPr>
      </w:pPr>
      <w:r>
        <w:rPr>
          <w:rFonts w:hint="eastAsia" w:hAnsi="宋体" w:cs="宋体"/>
          <w:b/>
          <w:color w:val="auto"/>
        </w:rPr>
        <w:t>21.1 不可抗力的确认</w:t>
      </w:r>
    </w:p>
    <w:p w14:paraId="2B197AC7">
      <w:pPr>
        <w:pStyle w:val="87"/>
        <w:spacing w:line="400" w:lineRule="exact"/>
        <w:ind w:firstLine="616" w:firstLineChars="257"/>
        <w:jc w:val="both"/>
        <w:rPr>
          <w:rFonts w:hAnsi="宋体"/>
          <w:color w:val="auto"/>
        </w:rPr>
      </w:pPr>
      <w:r>
        <w:rPr>
          <w:rFonts w:hint="eastAsia" w:hAnsi="宋体"/>
          <w:color w:val="auto"/>
        </w:rPr>
        <w:t>21.1.1 不可抗力是指承包人和发包人在订立合同时不可预见，在工程施工过程中不可避免发生并不能克服的自然灾害和社会性突发事件，如地震、海啸、瘟疫、水灾、骚乱、暴动、战争和专用合同条款约定的其他情形。</w:t>
      </w:r>
    </w:p>
    <w:p w14:paraId="3082B9B3">
      <w:pPr>
        <w:pStyle w:val="87"/>
        <w:spacing w:line="400" w:lineRule="exact"/>
        <w:ind w:firstLine="616" w:firstLineChars="257"/>
        <w:jc w:val="both"/>
        <w:rPr>
          <w:rFonts w:hAnsi="宋体"/>
          <w:color w:val="auto"/>
        </w:rPr>
      </w:pPr>
      <w:r>
        <w:rPr>
          <w:rFonts w:hint="eastAsia" w:hAnsi="宋体"/>
          <w:color w:val="auto"/>
        </w:rPr>
        <w:t>21.1.2 不可抗力发生后，发包人和承包人应及时认真统计所造成的损失，收集不可抗力造成损失的证据。合同双方对是否属于不可抗力或其损失的意见不一致的，由监理人按第3.5款商定或确定。发生争议时，按第24 条的约定办理。</w:t>
      </w:r>
    </w:p>
    <w:p w14:paraId="3216AADD">
      <w:pPr>
        <w:pStyle w:val="180"/>
        <w:spacing w:after="0" w:line="400" w:lineRule="exact"/>
        <w:ind w:firstLine="562"/>
        <w:jc w:val="both"/>
        <w:rPr>
          <w:rFonts w:hAnsi="宋体" w:cs="宋体"/>
          <w:b/>
          <w:color w:val="auto"/>
        </w:rPr>
      </w:pPr>
      <w:r>
        <w:rPr>
          <w:rFonts w:hint="eastAsia" w:hAnsi="宋体" w:cs="宋体"/>
          <w:b/>
          <w:color w:val="auto"/>
        </w:rPr>
        <w:t>21.2 不可抗力的通知</w:t>
      </w:r>
    </w:p>
    <w:p w14:paraId="361DFF0B">
      <w:pPr>
        <w:pStyle w:val="87"/>
        <w:spacing w:line="400" w:lineRule="exact"/>
        <w:ind w:firstLine="616" w:firstLineChars="257"/>
        <w:jc w:val="both"/>
        <w:rPr>
          <w:rFonts w:hAnsi="宋体"/>
          <w:color w:val="auto"/>
        </w:rPr>
      </w:pPr>
      <w:r>
        <w:rPr>
          <w:rFonts w:hint="eastAsia" w:hAnsi="宋体"/>
          <w:color w:val="auto"/>
        </w:rPr>
        <w:t>21.2.1 合同一方当事人遇到不可抗力事件，使其履行合同义务受到阻碍时，应立即通知合同另一方当事人和监理人，书面说明不可抗力和受阻碍的详细情况，并提供必要的证明。</w:t>
      </w:r>
    </w:p>
    <w:p w14:paraId="796A5E7C">
      <w:pPr>
        <w:pStyle w:val="87"/>
        <w:spacing w:line="400" w:lineRule="exact"/>
        <w:ind w:firstLine="616" w:firstLineChars="257"/>
        <w:jc w:val="both"/>
        <w:rPr>
          <w:rFonts w:hAnsi="宋体"/>
          <w:color w:val="auto"/>
        </w:rPr>
      </w:pPr>
      <w:r>
        <w:rPr>
          <w:rFonts w:hint="eastAsia" w:hAnsi="宋体"/>
          <w:color w:val="auto"/>
        </w:rPr>
        <w:t>21.2.2 如不可抗力持续发生，合同一方当事人应及时向合同另一方当事人和监理人提交中间报告，说明不可抗力和履行合同受阻的情况，并于不可抗力事件结束后28 天内提交最终报告及有关资料。</w:t>
      </w:r>
    </w:p>
    <w:p w14:paraId="684C90ED">
      <w:pPr>
        <w:pStyle w:val="180"/>
        <w:spacing w:after="0" w:line="400" w:lineRule="exact"/>
        <w:ind w:firstLine="562"/>
        <w:jc w:val="both"/>
        <w:rPr>
          <w:rFonts w:hAnsi="宋体" w:cs="宋体"/>
          <w:b/>
          <w:color w:val="auto"/>
        </w:rPr>
      </w:pPr>
      <w:r>
        <w:rPr>
          <w:rFonts w:hint="eastAsia" w:hAnsi="宋体" w:cs="宋体"/>
          <w:b/>
          <w:color w:val="auto"/>
        </w:rPr>
        <w:t>21.3 不可抗力后果及其处理</w:t>
      </w:r>
    </w:p>
    <w:p w14:paraId="6D1A6FDB">
      <w:pPr>
        <w:pStyle w:val="87"/>
        <w:spacing w:line="400" w:lineRule="exact"/>
        <w:ind w:firstLine="619" w:firstLineChars="257"/>
        <w:jc w:val="both"/>
        <w:rPr>
          <w:rFonts w:hAnsi="宋体"/>
          <w:b/>
          <w:color w:val="auto"/>
        </w:rPr>
      </w:pPr>
      <w:r>
        <w:rPr>
          <w:rFonts w:hint="eastAsia" w:hAnsi="宋体"/>
          <w:b/>
          <w:color w:val="auto"/>
        </w:rPr>
        <w:t>21.3.1 不可抗力造成损害的责任</w:t>
      </w:r>
    </w:p>
    <w:p w14:paraId="5AC38664">
      <w:pPr>
        <w:pStyle w:val="87"/>
        <w:spacing w:line="400" w:lineRule="exact"/>
        <w:ind w:firstLine="616" w:firstLineChars="257"/>
        <w:jc w:val="both"/>
        <w:rPr>
          <w:rFonts w:hAnsi="宋体"/>
          <w:color w:val="auto"/>
        </w:rPr>
      </w:pPr>
      <w:r>
        <w:rPr>
          <w:rFonts w:hint="eastAsia" w:hAnsi="宋体"/>
          <w:color w:val="auto"/>
        </w:rPr>
        <w:t>除专用合同条款另有约定外，不可抗力导致的人员伤亡、财产损失、费用增加和（或）工期延误等后果，由合同双方按以下原则承担：</w:t>
      </w:r>
    </w:p>
    <w:p w14:paraId="6394AC92">
      <w:pPr>
        <w:pStyle w:val="87"/>
        <w:spacing w:line="400" w:lineRule="exact"/>
        <w:ind w:firstLine="616" w:firstLineChars="257"/>
        <w:jc w:val="both"/>
        <w:rPr>
          <w:rFonts w:hAnsi="宋体"/>
          <w:color w:val="auto"/>
        </w:rPr>
      </w:pPr>
      <w:r>
        <w:rPr>
          <w:rFonts w:hint="eastAsia" w:hAnsi="宋体"/>
          <w:color w:val="auto"/>
        </w:rPr>
        <w:t>（1）永久工程，包括已运至施工场地的材料和工程设备的损害，以及因工程损害造成的第三者人员伤亡和财产损失由发包人承担；</w:t>
      </w:r>
    </w:p>
    <w:p w14:paraId="6D2EB076">
      <w:pPr>
        <w:pStyle w:val="87"/>
        <w:spacing w:line="400" w:lineRule="exact"/>
        <w:ind w:firstLine="616" w:firstLineChars="257"/>
        <w:jc w:val="both"/>
        <w:rPr>
          <w:rFonts w:hAnsi="宋体"/>
          <w:color w:val="auto"/>
        </w:rPr>
      </w:pPr>
      <w:r>
        <w:rPr>
          <w:rFonts w:hint="eastAsia" w:hAnsi="宋体"/>
          <w:color w:val="auto"/>
        </w:rPr>
        <w:t>（2）承包人设备的损坏由承包人承担；</w:t>
      </w:r>
    </w:p>
    <w:p w14:paraId="111C2212">
      <w:pPr>
        <w:pStyle w:val="87"/>
        <w:spacing w:line="400" w:lineRule="exact"/>
        <w:ind w:firstLine="616" w:firstLineChars="257"/>
        <w:jc w:val="both"/>
        <w:rPr>
          <w:rFonts w:hAnsi="宋体"/>
          <w:color w:val="auto"/>
        </w:rPr>
      </w:pPr>
      <w:r>
        <w:rPr>
          <w:rFonts w:hint="eastAsia" w:hAnsi="宋体"/>
          <w:color w:val="auto"/>
        </w:rPr>
        <w:t>（3）发包人和承包人各自承担其人员伤亡和其他财产损失及其相关费用；</w:t>
      </w:r>
    </w:p>
    <w:p w14:paraId="1A7D5722">
      <w:pPr>
        <w:pStyle w:val="87"/>
        <w:spacing w:line="400" w:lineRule="exact"/>
        <w:ind w:firstLine="616" w:firstLineChars="257"/>
        <w:jc w:val="both"/>
        <w:rPr>
          <w:rFonts w:hAnsi="宋体"/>
          <w:color w:val="auto"/>
        </w:rPr>
      </w:pPr>
      <w:r>
        <w:rPr>
          <w:rFonts w:hint="eastAsia" w:hAnsi="宋体"/>
          <w:color w:val="auto"/>
        </w:rPr>
        <w:t>（4）承包人的停工损失由承包人承担，但停工期间应监理人要求照管工程和清理、修复工程的金额由发包人承担；</w:t>
      </w:r>
    </w:p>
    <w:p w14:paraId="2D730A16">
      <w:pPr>
        <w:pStyle w:val="87"/>
        <w:spacing w:line="400" w:lineRule="exact"/>
        <w:ind w:firstLine="616" w:firstLineChars="257"/>
        <w:jc w:val="both"/>
        <w:rPr>
          <w:rFonts w:hAnsi="宋体"/>
          <w:color w:val="auto"/>
        </w:rPr>
      </w:pPr>
      <w:r>
        <w:rPr>
          <w:rFonts w:hint="eastAsia" w:hAnsi="宋体"/>
          <w:color w:val="auto"/>
        </w:rPr>
        <w:t>（5）不能按期竣工的，应合理延长工期，承包人不需支付逾期竣工违约金。发包人要求赶工的，承包人应采取赶工措施，赶工费用由发包人承担。</w:t>
      </w:r>
    </w:p>
    <w:p w14:paraId="5A53363A">
      <w:pPr>
        <w:pStyle w:val="87"/>
        <w:spacing w:line="400" w:lineRule="exact"/>
        <w:ind w:firstLine="619" w:firstLineChars="257"/>
        <w:jc w:val="both"/>
        <w:rPr>
          <w:rFonts w:hAnsi="宋体"/>
          <w:b/>
          <w:color w:val="auto"/>
        </w:rPr>
      </w:pPr>
      <w:r>
        <w:rPr>
          <w:rFonts w:hint="eastAsia" w:hAnsi="宋体"/>
          <w:b/>
          <w:color w:val="auto"/>
        </w:rPr>
        <w:t>21.3.2 延迟履行期间发生的不可抗力</w:t>
      </w:r>
    </w:p>
    <w:p w14:paraId="210EA5F3">
      <w:pPr>
        <w:pStyle w:val="87"/>
        <w:spacing w:line="400" w:lineRule="exact"/>
        <w:ind w:firstLine="616" w:firstLineChars="257"/>
        <w:jc w:val="both"/>
        <w:rPr>
          <w:rFonts w:hAnsi="宋体"/>
          <w:color w:val="auto"/>
        </w:rPr>
      </w:pPr>
      <w:r>
        <w:rPr>
          <w:rFonts w:hint="eastAsia" w:hAnsi="宋体"/>
          <w:color w:val="auto"/>
        </w:rPr>
        <w:t>合同一方当事人延迟履行，在延迟履行期间发生不可抗力的，不免除其责任。</w:t>
      </w:r>
    </w:p>
    <w:p w14:paraId="670620C8">
      <w:pPr>
        <w:pStyle w:val="87"/>
        <w:spacing w:line="400" w:lineRule="exact"/>
        <w:ind w:firstLine="619" w:firstLineChars="257"/>
        <w:jc w:val="both"/>
        <w:rPr>
          <w:rFonts w:hAnsi="宋体"/>
          <w:b/>
          <w:color w:val="auto"/>
        </w:rPr>
      </w:pPr>
      <w:r>
        <w:rPr>
          <w:rFonts w:hint="eastAsia" w:hAnsi="宋体"/>
          <w:b/>
          <w:color w:val="auto"/>
        </w:rPr>
        <w:t>21.3.3 避免和减少不可抗力损失</w:t>
      </w:r>
    </w:p>
    <w:p w14:paraId="08E1ACB6">
      <w:pPr>
        <w:pStyle w:val="87"/>
        <w:spacing w:line="400" w:lineRule="exact"/>
        <w:ind w:firstLine="616" w:firstLineChars="257"/>
        <w:jc w:val="both"/>
        <w:rPr>
          <w:rFonts w:hAnsi="宋体"/>
          <w:color w:val="auto"/>
        </w:rPr>
      </w:pPr>
      <w:r>
        <w:rPr>
          <w:rFonts w:hint="eastAsia" w:hAnsi="宋体"/>
          <w:color w:val="auto"/>
        </w:rPr>
        <w:t>不可抗力发生后，发包人和承包人均应采取措施尽量避免和减少损失的扩大，任何一方没有采取有效措施导致损失扩大的，应对扩大的损失承担责任。</w:t>
      </w:r>
    </w:p>
    <w:p w14:paraId="1DE80A76">
      <w:pPr>
        <w:pStyle w:val="87"/>
        <w:spacing w:line="400" w:lineRule="exact"/>
        <w:ind w:firstLine="619" w:firstLineChars="257"/>
        <w:jc w:val="both"/>
        <w:rPr>
          <w:rFonts w:hAnsi="宋体"/>
          <w:b/>
          <w:color w:val="auto"/>
        </w:rPr>
      </w:pPr>
      <w:r>
        <w:rPr>
          <w:rFonts w:hint="eastAsia" w:hAnsi="宋体"/>
          <w:b/>
          <w:color w:val="auto"/>
        </w:rPr>
        <w:t>21.3.4 因不可抗力解除合同</w:t>
      </w:r>
    </w:p>
    <w:p w14:paraId="1C14DE70">
      <w:pPr>
        <w:pStyle w:val="87"/>
        <w:spacing w:line="400" w:lineRule="exact"/>
        <w:ind w:firstLine="616" w:firstLineChars="257"/>
        <w:jc w:val="both"/>
        <w:rPr>
          <w:rFonts w:hAnsi="宋体"/>
          <w:color w:val="auto"/>
        </w:rPr>
      </w:pPr>
      <w:r>
        <w:rPr>
          <w:rFonts w:hint="eastAsia" w:hAnsi="宋体"/>
          <w:color w:val="auto"/>
        </w:rPr>
        <w:t>合同一方当事人因不可抗力不能履行合同的，应当及时通知对方解除合同。合同解除后，承包人应按照第22.2.5 项约定撤离施工场地。已经订货的材料、设备由订货方负责退货或解除订货合同，不能退还的货款和因退货、解除订货合同发生的费用，由发包人承担，因未及时退货造成的损失由责任方承担。合同解除后的付款，参照第22.2.4 项约定，由监理人按第3.5 款商定或确定。</w:t>
      </w:r>
    </w:p>
    <w:p w14:paraId="4C806924">
      <w:pPr>
        <w:pStyle w:val="180"/>
        <w:spacing w:before="100" w:after="100" w:line="400" w:lineRule="exact"/>
        <w:ind w:firstLine="643"/>
        <w:jc w:val="both"/>
        <w:rPr>
          <w:rFonts w:hAnsi="宋体" w:cs="宋体"/>
          <w:b/>
          <w:color w:val="auto"/>
          <w:sz w:val="32"/>
          <w:szCs w:val="32"/>
        </w:rPr>
      </w:pPr>
      <w:bookmarkStart w:id="1266" w:name="_Toc255470279"/>
      <w:bookmarkStart w:id="1267" w:name="_Toc439772713"/>
      <w:bookmarkStart w:id="1268" w:name="_Toc255741943"/>
      <w:bookmarkStart w:id="1269" w:name="_Toc436309959"/>
      <w:bookmarkStart w:id="1270" w:name="_Toc227658512"/>
      <w:bookmarkStart w:id="1271" w:name="_Toc306293178"/>
      <w:bookmarkStart w:id="1272" w:name="_Toc260649042"/>
      <w:bookmarkStart w:id="1273" w:name="_Toc340436807"/>
      <w:bookmarkStart w:id="1274" w:name="_Toc368145498"/>
      <w:bookmarkStart w:id="1275" w:name="_Toc452986514"/>
      <w:bookmarkStart w:id="1276" w:name="_Toc305763068"/>
      <w:bookmarkStart w:id="1277" w:name="_Toc248294435"/>
      <w:bookmarkStart w:id="1278" w:name="_Toc215805065"/>
      <w:bookmarkStart w:id="1279" w:name="_Toc388633689"/>
      <w:bookmarkStart w:id="1280" w:name="_Toc350857441"/>
      <w:bookmarkStart w:id="1281" w:name="_Toc453768112"/>
      <w:bookmarkStart w:id="1282" w:name="_Toc450123146"/>
      <w:bookmarkStart w:id="1283" w:name="_Toc25318"/>
      <w:bookmarkStart w:id="1284" w:name="_Toc340222917"/>
      <w:bookmarkStart w:id="1285" w:name="_Toc371937206"/>
      <w:bookmarkStart w:id="1286" w:name="_Toc215561222"/>
      <w:bookmarkStart w:id="1287" w:name="_Toc215556204"/>
      <w:bookmarkStart w:id="1288" w:name="_Toc510197486"/>
      <w:bookmarkStart w:id="1289" w:name="_Toc195864509"/>
      <w:bookmarkStart w:id="1290" w:name="_Toc510197624"/>
      <w:bookmarkStart w:id="1291" w:name="_Toc450123380"/>
      <w:bookmarkStart w:id="1292" w:name="_Toc214355685"/>
      <w:bookmarkStart w:id="1293" w:name="_Toc504565814"/>
      <w:bookmarkStart w:id="1294" w:name="_Toc436133250"/>
      <w:bookmarkStart w:id="1295" w:name="_Toc222804538"/>
      <w:bookmarkStart w:id="1296" w:name="_Toc270517156"/>
      <w:bookmarkStart w:id="1297" w:name="_Toc245110752"/>
      <w:bookmarkStart w:id="1298" w:name="_Toc7252"/>
      <w:bookmarkStart w:id="1299" w:name="_Toc208734422"/>
      <w:bookmarkStart w:id="1300" w:name="_Toc445105549"/>
      <w:bookmarkStart w:id="1301" w:name="_Toc209862344"/>
      <w:bookmarkStart w:id="1302" w:name="_Toc351898559"/>
      <w:bookmarkStart w:id="1303" w:name="_Toc211175346"/>
      <w:bookmarkStart w:id="1304" w:name="_Toc342046328"/>
      <w:bookmarkStart w:id="1305" w:name="_Toc260229987"/>
      <w:bookmarkStart w:id="1306" w:name="_Toc436309607"/>
      <w:bookmarkStart w:id="1307" w:name="_Toc255470056"/>
      <w:bookmarkStart w:id="1308" w:name="_Toc504565701"/>
      <w:bookmarkStart w:id="1309" w:name="_Toc219172351"/>
      <w:bookmarkStart w:id="1310" w:name="_Toc338778054"/>
      <w:bookmarkStart w:id="1311" w:name="_Toc187475854"/>
      <w:bookmarkStart w:id="1312" w:name="_Toc458599290"/>
      <w:bookmarkStart w:id="1313" w:name="_Toc389226409"/>
      <w:bookmarkStart w:id="1314" w:name="_Toc187846014"/>
      <w:bookmarkStart w:id="1315" w:name="_Toc257202847"/>
      <w:bookmarkStart w:id="1316" w:name="_Toc436998800"/>
      <w:bookmarkStart w:id="1317" w:name="_Toc476231313"/>
      <w:bookmarkStart w:id="1318" w:name="_Toc460581192"/>
      <w:bookmarkStart w:id="1319" w:name="_Toc477164674"/>
      <w:bookmarkStart w:id="1320" w:name="_Toc449111940"/>
      <w:bookmarkStart w:id="1321" w:name="_Toc206830035"/>
      <w:bookmarkStart w:id="1322" w:name="_Toc249848964"/>
      <w:bookmarkStart w:id="1323" w:name="_Toc274500910"/>
      <w:bookmarkStart w:id="1324" w:name="_Toc254774423"/>
      <w:bookmarkStart w:id="1325" w:name="_Toc260230314"/>
      <w:r>
        <w:rPr>
          <w:rFonts w:hint="eastAsia" w:hAnsi="宋体" w:cs="宋体"/>
          <w:b/>
          <w:color w:val="auto"/>
          <w:sz w:val="32"/>
          <w:szCs w:val="32"/>
        </w:rPr>
        <w:t>22. 违约</w:t>
      </w:r>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p>
    <w:p w14:paraId="1022277D">
      <w:pPr>
        <w:pStyle w:val="180"/>
        <w:spacing w:after="0" w:line="400" w:lineRule="exact"/>
        <w:ind w:firstLine="562"/>
        <w:jc w:val="both"/>
        <w:rPr>
          <w:rFonts w:hAnsi="宋体" w:cs="宋体"/>
          <w:b/>
          <w:color w:val="auto"/>
        </w:rPr>
      </w:pPr>
      <w:r>
        <w:rPr>
          <w:rFonts w:hint="eastAsia" w:hAnsi="宋体" w:cs="宋体"/>
          <w:b/>
          <w:color w:val="auto"/>
        </w:rPr>
        <w:t>22.1 承包人违约</w:t>
      </w:r>
    </w:p>
    <w:p w14:paraId="4AE354A6">
      <w:pPr>
        <w:pStyle w:val="87"/>
        <w:spacing w:line="400" w:lineRule="exact"/>
        <w:ind w:firstLine="619" w:firstLineChars="257"/>
        <w:jc w:val="both"/>
        <w:rPr>
          <w:rFonts w:hAnsi="宋体"/>
          <w:b/>
          <w:color w:val="auto"/>
        </w:rPr>
      </w:pPr>
      <w:r>
        <w:rPr>
          <w:rFonts w:hint="eastAsia" w:hAnsi="宋体"/>
          <w:b/>
          <w:color w:val="auto"/>
        </w:rPr>
        <w:t>22.1.1 承包人违约的情形</w:t>
      </w:r>
    </w:p>
    <w:p w14:paraId="42A2BA1B">
      <w:pPr>
        <w:pStyle w:val="87"/>
        <w:spacing w:line="400" w:lineRule="exact"/>
        <w:ind w:firstLine="616" w:firstLineChars="257"/>
        <w:jc w:val="both"/>
        <w:rPr>
          <w:rFonts w:hAnsi="宋体"/>
          <w:color w:val="auto"/>
        </w:rPr>
      </w:pPr>
      <w:r>
        <w:rPr>
          <w:rFonts w:hint="eastAsia" w:hAnsi="宋体"/>
          <w:color w:val="auto"/>
        </w:rPr>
        <w:t>在履行合同过程中发生的下列情况属承包人违约：</w:t>
      </w:r>
    </w:p>
    <w:p w14:paraId="09BDF860">
      <w:pPr>
        <w:pStyle w:val="87"/>
        <w:spacing w:line="400" w:lineRule="exact"/>
        <w:ind w:firstLine="616" w:firstLineChars="257"/>
        <w:jc w:val="both"/>
        <w:rPr>
          <w:rFonts w:hAnsi="宋体"/>
          <w:color w:val="auto"/>
        </w:rPr>
      </w:pPr>
      <w:r>
        <w:rPr>
          <w:rFonts w:hint="eastAsia" w:hAnsi="宋体"/>
          <w:color w:val="auto"/>
        </w:rPr>
        <w:t>（1）承包人违反第1.8款或第4.3款的约定，私自将合同的全部或部分权利转让给其他人，或私自将合同的全部或部分义务转移给其他人；</w:t>
      </w:r>
    </w:p>
    <w:p w14:paraId="0A56DC56">
      <w:pPr>
        <w:pStyle w:val="87"/>
        <w:spacing w:line="400" w:lineRule="exact"/>
        <w:ind w:firstLine="616" w:firstLineChars="257"/>
        <w:jc w:val="both"/>
        <w:rPr>
          <w:rFonts w:hAnsi="宋体"/>
          <w:color w:val="auto"/>
        </w:rPr>
      </w:pPr>
      <w:r>
        <w:rPr>
          <w:rFonts w:hint="eastAsia" w:hAnsi="宋体"/>
          <w:color w:val="auto"/>
        </w:rPr>
        <w:t>（2）承包人违反第5.3款或第6.4款的约定，未经监理人批准，私自将已按合同约定进入施工场地的施工设备、临时设施或材料撤离施工场地；</w:t>
      </w:r>
    </w:p>
    <w:p w14:paraId="47F0C9F6">
      <w:pPr>
        <w:pStyle w:val="87"/>
        <w:spacing w:line="400" w:lineRule="exact"/>
        <w:ind w:firstLine="616" w:firstLineChars="257"/>
        <w:jc w:val="both"/>
        <w:rPr>
          <w:rFonts w:hAnsi="宋体"/>
          <w:color w:val="auto"/>
        </w:rPr>
      </w:pPr>
      <w:r>
        <w:rPr>
          <w:rFonts w:hint="eastAsia" w:hAnsi="宋体"/>
          <w:color w:val="auto"/>
        </w:rPr>
        <w:t>（3）承包人违反第5.4款的约定使用了不合格材料或工程设备，工程质量达不到标准要求，又拒绝清除不合格工程；</w:t>
      </w:r>
    </w:p>
    <w:p w14:paraId="0ADF7926">
      <w:pPr>
        <w:pStyle w:val="87"/>
        <w:spacing w:line="400" w:lineRule="exact"/>
        <w:ind w:firstLine="616" w:firstLineChars="257"/>
        <w:jc w:val="both"/>
        <w:rPr>
          <w:rFonts w:hAnsi="宋体"/>
          <w:color w:val="auto"/>
        </w:rPr>
      </w:pPr>
      <w:r>
        <w:rPr>
          <w:rFonts w:hint="eastAsia" w:hAnsi="宋体"/>
          <w:color w:val="auto"/>
        </w:rPr>
        <w:t>（4）承包人未能按合同进度计划及时完成合同约定的工作，已造成或预期造成工期延误；</w:t>
      </w:r>
    </w:p>
    <w:p w14:paraId="136CA65D">
      <w:pPr>
        <w:pStyle w:val="87"/>
        <w:spacing w:line="400" w:lineRule="exact"/>
        <w:ind w:firstLine="616" w:firstLineChars="257"/>
        <w:jc w:val="both"/>
        <w:rPr>
          <w:rFonts w:hAnsi="宋体"/>
          <w:color w:val="auto"/>
        </w:rPr>
      </w:pPr>
      <w:r>
        <w:rPr>
          <w:rFonts w:hint="eastAsia" w:hAnsi="宋体"/>
          <w:color w:val="auto"/>
        </w:rPr>
        <w:t>（5）承包人在缺陷责任期(工程质量保修期)内，未能对合同工程完工验收鉴定书所列的缺陷清单的内容或缺陷责任期(工程质量保修期)内发生的缺陷进行修复，而又拒绝按监理人指示再进行修补；</w:t>
      </w:r>
    </w:p>
    <w:p w14:paraId="3182029D">
      <w:pPr>
        <w:pStyle w:val="87"/>
        <w:spacing w:line="400" w:lineRule="exact"/>
        <w:ind w:firstLine="616" w:firstLineChars="257"/>
        <w:jc w:val="both"/>
        <w:rPr>
          <w:rFonts w:hAnsi="宋体"/>
          <w:color w:val="auto"/>
        </w:rPr>
      </w:pPr>
      <w:r>
        <w:rPr>
          <w:rFonts w:hint="eastAsia" w:hAnsi="宋体"/>
          <w:color w:val="auto"/>
        </w:rPr>
        <w:t>（6）承包人无法继续履行或明确表示不履行或实质上已停止履行合同；</w:t>
      </w:r>
    </w:p>
    <w:p w14:paraId="43496F32">
      <w:pPr>
        <w:pStyle w:val="87"/>
        <w:spacing w:line="400" w:lineRule="exact"/>
        <w:ind w:firstLine="616" w:firstLineChars="257"/>
        <w:jc w:val="both"/>
        <w:rPr>
          <w:rFonts w:hAnsi="宋体"/>
          <w:color w:val="auto"/>
        </w:rPr>
      </w:pPr>
      <w:r>
        <w:rPr>
          <w:rFonts w:hint="eastAsia" w:hAnsi="宋体"/>
          <w:color w:val="auto"/>
        </w:rPr>
        <w:t>（7）承包人不按合同约定履行义务的其它情况。</w:t>
      </w:r>
    </w:p>
    <w:p w14:paraId="1AFE3AF7">
      <w:pPr>
        <w:pStyle w:val="87"/>
        <w:spacing w:line="400" w:lineRule="exact"/>
        <w:ind w:firstLine="619" w:firstLineChars="257"/>
        <w:jc w:val="both"/>
        <w:rPr>
          <w:rFonts w:hAnsi="宋体"/>
          <w:b/>
          <w:color w:val="auto"/>
        </w:rPr>
      </w:pPr>
      <w:r>
        <w:rPr>
          <w:rFonts w:hint="eastAsia" w:hAnsi="宋体"/>
          <w:b/>
          <w:color w:val="auto"/>
        </w:rPr>
        <w:t xml:space="preserve">22.1.2 对承包人违约的处理 </w:t>
      </w:r>
    </w:p>
    <w:p w14:paraId="4F598023">
      <w:pPr>
        <w:pStyle w:val="87"/>
        <w:spacing w:line="400" w:lineRule="exact"/>
        <w:ind w:firstLine="616" w:firstLineChars="257"/>
        <w:jc w:val="both"/>
        <w:rPr>
          <w:rFonts w:hAnsi="宋体"/>
          <w:color w:val="auto"/>
        </w:rPr>
      </w:pPr>
      <w:r>
        <w:rPr>
          <w:rFonts w:hint="eastAsia" w:hAnsi="宋体"/>
          <w:color w:val="auto"/>
        </w:rPr>
        <w:t>（1）承包人发生第22.1.1（6）目约定的违约情况时，发包人可通知承包人立即解除合同，并按有关法律处理。</w:t>
      </w:r>
    </w:p>
    <w:p w14:paraId="7ABFB14D">
      <w:pPr>
        <w:pStyle w:val="87"/>
        <w:spacing w:line="400" w:lineRule="exact"/>
        <w:ind w:firstLine="616" w:firstLineChars="257"/>
        <w:jc w:val="both"/>
        <w:rPr>
          <w:rFonts w:hAnsi="宋体"/>
          <w:color w:val="auto"/>
        </w:rPr>
      </w:pPr>
      <w:r>
        <w:rPr>
          <w:rFonts w:hint="eastAsia" w:hAnsi="宋体"/>
          <w:color w:val="auto"/>
        </w:rPr>
        <w:t>（2）承包人发生除第22.1.1（6）目约定以外的其他违约情况时，监理人可向承包人发出整改通知，要求其在指定的期限内改正。承包人应承担其违约所引起的费用增加和（或）工期延误。</w:t>
      </w:r>
    </w:p>
    <w:p w14:paraId="191C1F5A">
      <w:pPr>
        <w:pStyle w:val="87"/>
        <w:spacing w:line="400" w:lineRule="exact"/>
        <w:ind w:firstLine="616" w:firstLineChars="257"/>
        <w:jc w:val="both"/>
        <w:rPr>
          <w:rFonts w:hAnsi="宋体"/>
          <w:color w:val="auto"/>
        </w:rPr>
      </w:pPr>
      <w:r>
        <w:rPr>
          <w:rFonts w:hint="eastAsia" w:hAnsi="宋体"/>
          <w:color w:val="auto"/>
        </w:rPr>
        <w:t>（3）经检查证明承包人已采取了有效措施纠正违约行为，具备复工条件的，可由监理人签发复工通知复工。</w:t>
      </w:r>
    </w:p>
    <w:p w14:paraId="79E3B8A2">
      <w:pPr>
        <w:pStyle w:val="87"/>
        <w:spacing w:line="400" w:lineRule="exact"/>
        <w:ind w:firstLine="619" w:firstLineChars="257"/>
        <w:jc w:val="both"/>
        <w:rPr>
          <w:rFonts w:hAnsi="宋体"/>
          <w:b/>
          <w:color w:val="auto"/>
        </w:rPr>
      </w:pPr>
      <w:r>
        <w:rPr>
          <w:rFonts w:hint="eastAsia" w:hAnsi="宋体"/>
          <w:b/>
          <w:color w:val="auto"/>
        </w:rPr>
        <w:t xml:space="preserve">22.1.3 承包人违约解除合同 </w:t>
      </w:r>
    </w:p>
    <w:p w14:paraId="083D866F">
      <w:pPr>
        <w:pStyle w:val="87"/>
        <w:spacing w:line="400" w:lineRule="exact"/>
        <w:ind w:firstLine="616" w:firstLineChars="257"/>
        <w:jc w:val="both"/>
        <w:rPr>
          <w:rFonts w:hAnsi="宋体"/>
          <w:color w:val="auto"/>
        </w:rPr>
      </w:pPr>
      <w:r>
        <w:rPr>
          <w:rFonts w:hint="eastAsia" w:hAnsi="宋体"/>
          <w:color w:val="auto"/>
        </w:rPr>
        <w:t>监理人发出整改通知28 天后，承包人仍不纠正违约行为的，发包人可向承包人发出解除合同通知。合同解除后，发包人可派员进驻施工场地，另行组织人员或委托其他承包人施工。发包人因继续完成该工程的需要，有权扣留使用承包人在现场的材料、设备和临时设施。但发包人的这一行动不免除承包人应承担的违约责任，也不影响发包人根据合同约定享有的索赔权利。</w:t>
      </w:r>
    </w:p>
    <w:p w14:paraId="61EDCF8A">
      <w:pPr>
        <w:pStyle w:val="87"/>
        <w:spacing w:line="400" w:lineRule="exact"/>
        <w:ind w:firstLine="619" w:firstLineChars="257"/>
        <w:jc w:val="both"/>
        <w:rPr>
          <w:rFonts w:hAnsi="宋体"/>
          <w:b/>
          <w:color w:val="auto"/>
        </w:rPr>
      </w:pPr>
      <w:r>
        <w:rPr>
          <w:rFonts w:hint="eastAsia" w:hAnsi="宋体"/>
          <w:b/>
          <w:color w:val="auto"/>
        </w:rPr>
        <w:t xml:space="preserve">22.1.4 合同解除后的估价、付款和结清 </w:t>
      </w:r>
    </w:p>
    <w:p w14:paraId="5646E7CA">
      <w:pPr>
        <w:pStyle w:val="87"/>
        <w:spacing w:line="400" w:lineRule="exact"/>
        <w:ind w:firstLine="616" w:firstLineChars="257"/>
        <w:jc w:val="both"/>
        <w:rPr>
          <w:rFonts w:hAnsi="宋体"/>
          <w:color w:val="auto"/>
        </w:rPr>
      </w:pPr>
      <w:r>
        <w:rPr>
          <w:rFonts w:hint="eastAsia" w:hAnsi="宋体"/>
          <w:color w:val="auto"/>
        </w:rPr>
        <w:t>（1）合同解除后，监理人按第3.5 款商定或确定承包人实际完成工作的价值，以及承包人已提供的材料、施工设备、工程设备和临时工程等的价值。</w:t>
      </w:r>
    </w:p>
    <w:p w14:paraId="7DB0C306">
      <w:pPr>
        <w:pStyle w:val="87"/>
        <w:spacing w:line="400" w:lineRule="exact"/>
        <w:ind w:firstLine="616" w:firstLineChars="257"/>
        <w:jc w:val="both"/>
        <w:rPr>
          <w:rFonts w:hAnsi="宋体"/>
          <w:color w:val="auto"/>
        </w:rPr>
      </w:pPr>
      <w:r>
        <w:rPr>
          <w:rFonts w:hint="eastAsia" w:hAnsi="宋体"/>
          <w:color w:val="auto"/>
        </w:rPr>
        <w:t>（2）合同解除后，发包人应暂停对承包人的一切付款，查清各项付款和已扣款金额，包括承包人应支付的违约金。</w:t>
      </w:r>
    </w:p>
    <w:p w14:paraId="7AA75F92">
      <w:pPr>
        <w:pStyle w:val="87"/>
        <w:spacing w:line="400" w:lineRule="exact"/>
        <w:ind w:firstLine="616" w:firstLineChars="257"/>
        <w:jc w:val="both"/>
        <w:rPr>
          <w:rFonts w:hAnsi="宋体"/>
          <w:color w:val="auto"/>
        </w:rPr>
      </w:pPr>
      <w:r>
        <w:rPr>
          <w:rFonts w:hint="eastAsia" w:hAnsi="宋体"/>
          <w:color w:val="auto"/>
        </w:rPr>
        <w:t>（3）合同解除后，发包人应按第23.4 款的约定向承包人索赔由于解除合同给发包人造成的损失。</w:t>
      </w:r>
    </w:p>
    <w:p w14:paraId="760DDF16">
      <w:pPr>
        <w:pStyle w:val="87"/>
        <w:spacing w:line="400" w:lineRule="exact"/>
        <w:ind w:firstLine="616" w:firstLineChars="257"/>
        <w:jc w:val="both"/>
        <w:rPr>
          <w:rFonts w:hAnsi="宋体"/>
          <w:color w:val="auto"/>
        </w:rPr>
      </w:pPr>
      <w:r>
        <w:rPr>
          <w:rFonts w:hint="eastAsia" w:hAnsi="宋体"/>
          <w:color w:val="auto"/>
        </w:rPr>
        <w:t>（4）合同双方确认上述往来款项后，出具最终结清付款证书，结清全部合同款项。</w:t>
      </w:r>
    </w:p>
    <w:p w14:paraId="3A283BF4">
      <w:pPr>
        <w:pStyle w:val="87"/>
        <w:spacing w:line="400" w:lineRule="exact"/>
        <w:ind w:firstLine="616" w:firstLineChars="257"/>
        <w:jc w:val="both"/>
        <w:rPr>
          <w:rFonts w:hAnsi="宋体"/>
          <w:color w:val="auto"/>
        </w:rPr>
      </w:pPr>
      <w:r>
        <w:rPr>
          <w:rFonts w:hint="eastAsia" w:hAnsi="宋体"/>
          <w:color w:val="auto"/>
        </w:rPr>
        <w:t>（5）发包人和承包人未能就解除合同后的结清达成一致而形成争议的，按第24 条的约定办理。</w:t>
      </w:r>
    </w:p>
    <w:p w14:paraId="200B3C35">
      <w:pPr>
        <w:pStyle w:val="87"/>
        <w:spacing w:line="400" w:lineRule="exact"/>
        <w:ind w:firstLine="619" w:firstLineChars="257"/>
        <w:jc w:val="both"/>
        <w:rPr>
          <w:rFonts w:hAnsi="宋体"/>
          <w:b/>
          <w:color w:val="auto"/>
        </w:rPr>
      </w:pPr>
      <w:r>
        <w:rPr>
          <w:rFonts w:hint="eastAsia" w:hAnsi="宋体"/>
          <w:b/>
          <w:color w:val="auto"/>
        </w:rPr>
        <w:t xml:space="preserve">22.1.5 协议利益的转让 </w:t>
      </w:r>
    </w:p>
    <w:p w14:paraId="59544C35">
      <w:pPr>
        <w:pStyle w:val="87"/>
        <w:spacing w:line="400" w:lineRule="exact"/>
        <w:ind w:firstLine="616" w:firstLineChars="257"/>
        <w:jc w:val="both"/>
        <w:rPr>
          <w:rFonts w:hAnsi="宋体"/>
          <w:color w:val="auto"/>
        </w:rPr>
      </w:pPr>
      <w:r>
        <w:rPr>
          <w:rFonts w:hint="eastAsia" w:hAnsi="宋体"/>
          <w:color w:val="auto"/>
        </w:rPr>
        <w:t>因承包人违约解除合同的，发包人有权要求承包人将其为实施合同而签订的材料和设备的订货协议或任何服务协议利益转让给发包人，并在解除合同后的14 天内，依法办理转让手续。</w:t>
      </w:r>
    </w:p>
    <w:p w14:paraId="237B6184">
      <w:pPr>
        <w:pStyle w:val="87"/>
        <w:spacing w:line="400" w:lineRule="exact"/>
        <w:ind w:firstLine="619" w:firstLineChars="257"/>
        <w:jc w:val="both"/>
        <w:rPr>
          <w:rFonts w:hAnsi="宋体"/>
          <w:b/>
          <w:color w:val="auto"/>
        </w:rPr>
      </w:pPr>
      <w:r>
        <w:rPr>
          <w:rFonts w:hint="eastAsia" w:hAnsi="宋体"/>
          <w:b/>
          <w:color w:val="auto"/>
        </w:rPr>
        <w:t xml:space="preserve">22.1.6 紧急情况下无能力或不愿进行抢救 </w:t>
      </w:r>
    </w:p>
    <w:p w14:paraId="0CC2216B">
      <w:pPr>
        <w:pStyle w:val="87"/>
        <w:spacing w:line="400" w:lineRule="exact"/>
        <w:ind w:firstLine="616" w:firstLineChars="257"/>
        <w:jc w:val="both"/>
        <w:rPr>
          <w:rFonts w:hAnsi="宋体"/>
          <w:color w:val="auto"/>
        </w:rPr>
      </w:pPr>
      <w:r>
        <w:rPr>
          <w:rFonts w:hint="eastAsia" w:hAnsi="宋体"/>
          <w:color w:val="auto"/>
        </w:rPr>
        <w:t>在工程实施期间或缺陷责任期内发生危及工程安全的事件，监理人通知承包人进行抢救，承包人声明无能力或不愿立即执行的，发包人有权雇佣其他人员进行抢救。此类抢救按合同约定属于承包人义务的，由此发生的金额和（或）工期延误由承包人承担。</w:t>
      </w:r>
    </w:p>
    <w:p w14:paraId="1CAEF05F">
      <w:pPr>
        <w:pStyle w:val="180"/>
        <w:spacing w:after="0" w:line="400" w:lineRule="exact"/>
        <w:ind w:firstLine="562"/>
        <w:jc w:val="both"/>
        <w:rPr>
          <w:rFonts w:hAnsi="宋体" w:cs="宋体"/>
          <w:b/>
          <w:color w:val="auto"/>
        </w:rPr>
      </w:pPr>
      <w:r>
        <w:rPr>
          <w:rFonts w:hint="eastAsia" w:hAnsi="宋体" w:cs="宋体"/>
          <w:b/>
          <w:color w:val="auto"/>
        </w:rPr>
        <w:t>22.2 发包人违约</w:t>
      </w:r>
    </w:p>
    <w:p w14:paraId="129A83AF">
      <w:pPr>
        <w:pStyle w:val="87"/>
        <w:spacing w:line="400" w:lineRule="exact"/>
        <w:ind w:firstLine="619" w:firstLineChars="257"/>
        <w:jc w:val="both"/>
        <w:rPr>
          <w:rFonts w:hAnsi="宋体"/>
          <w:b/>
          <w:color w:val="auto"/>
        </w:rPr>
      </w:pPr>
      <w:r>
        <w:rPr>
          <w:rFonts w:hint="eastAsia" w:hAnsi="宋体"/>
          <w:b/>
          <w:color w:val="auto"/>
        </w:rPr>
        <w:t xml:space="preserve">22.2.1 发包人违约的情形 </w:t>
      </w:r>
    </w:p>
    <w:p w14:paraId="6A66FE77">
      <w:pPr>
        <w:pStyle w:val="87"/>
        <w:spacing w:line="400" w:lineRule="exact"/>
        <w:ind w:firstLine="616" w:firstLineChars="257"/>
        <w:jc w:val="both"/>
        <w:rPr>
          <w:rFonts w:hAnsi="宋体"/>
          <w:color w:val="auto"/>
        </w:rPr>
      </w:pPr>
      <w:r>
        <w:rPr>
          <w:rFonts w:hint="eastAsia" w:hAnsi="宋体"/>
          <w:color w:val="auto"/>
        </w:rPr>
        <w:t>在履行合同过程中发生的下列情形，属发包人违约：</w:t>
      </w:r>
    </w:p>
    <w:p w14:paraId="27F6FD49">
      <w:pPr>
        <w:pStyle w:val="87"/>
        <w:spacing w:line="400" w:lineRule="exact"/>
        <w:ind w:firstLine="616" w:firstLineChars="257"/>
        <w:jc w:val="both"/>
        <w:rPr>
          <w:rFonts w:hAnsi="宋体"/>
          <w:color w:val="auto"/>
        </w:rPr>
      </w:pPr>
      <w:r>
        <w:rPr>
          <w:rFonts w:hint="eastAsia" w:hAnsi="宋体"/>
          <w:color w:val="auto"/>
        </w:rPr>
        <w:t>（1）发包人未能按合同约定支付预付款或合同价款，或拖延、拒绝批准付款申请和支付凭证，导致付款延误的；</w:t>
      </w:r>
    </w:p>
    <w:p w14:paraId="065F84EE">
      <w:pPr>
        <w:pStyle w:val="87"/>
        <w:spacing w:line="400" w:lineRule="exact"/>
        <w:ind w:firstLine="616" w:firstLineChars="257"/>
        <w:jc w:val="both"/>
        <w:rPr>
          <w:rFonts w:hAnsi="宋体"/>
          <w:color w:val="auto"/>
        </w:rPr>
      </w:pPr>
      <w:r>
        <w:rPr>
          <w:rFonts w:hint="eastAsia" w:hAnsi="宋体"/>
          <w:color w:val="auto"/>
        </w:rPr>
        <w:t>（2）发包人原因造成停工的；</w:t>
      </w:r>
    </w:p>
    <w:p w14:paraId="5BB77264">
      <w:pPr>
        <w:pStyle w:val="87"/>
        <w:spacing w:line="400" w:lineRule="exact"/>
        <w:ind w:firstLine="616" w:firstLineChars="257"/>
        <w:jc w:val="both"/>
        <w:rPr>
          <w:rFonts w:hAnsi="宋体"/>
          <w:color w:val="auto"/>
        </w:rPr>
      </w:pPr>
      <w:r>
        <w:rPr>
          <w:rFonts w:hint="eastAsia" w:hAnsi="宋体"/>
          <w:color w:val="auto"/>
        </w:rPr>
        <w:t>（3）监理人无正当理由没有在约定期限内发出复工指示，导致承包人无法复工的；</w:t>
      </w:r>
    </w:p>
    <w:p w14:paraId="0EDA8EBA">
      <w:pPr>
        <w:pStyle w:val="87"/>
        <w:spacing w:line="400" w:lineRule="exact"/>
        <w:ind w:firstLine="616" w:firstLineChars="257"/>
        <w:jc w:val="both"/>
        <w:rPr>
          <w:rFonts w:hAnsi="宋体"/>
          <w:color w:val="auto"/>
        </w:rPr>
      </w:pPr>
      <w:r>
        <w:rPr>
          <w:rFonts w:hint="eastAsia" w:hAnsi="宋体"/>
          <w:color w:val="auto"/>
        </w:rPr>
        <w:t>（4）发包人无法继续履行或明确表示不履行或实质上已停止履行合同的；</w:t>
      </w:r>
    </w:p>
    <w:p w14:paraId="53DB8176">
      <w:pPr>
        <w:pStyle w:val="87"/>
        <w:spacing w:line="400" w:lineRule="exact"/>
        <w:ind w:firstLine="616" w:firstLineChars="257"/>
        <w:jc w:val="both"/>
        <w:rPr>
          <w:rFonts w:hAnsi="宋体"/>
          <w:color w:val="auto"/>
        </w:rPr>
      </w:pPr>
      <w:r>
        <w:rPr>
          <w:rFonts w:hint="eastAsia" w:hAnsi="宋体"/>
          <w:color w:val="auto"/>
        </w:rPr>
        <w:t>（5）发包人不履行合同约定其他义务的。</w:t>
      </w:r>
    </w:p>
    <w:p w14:paraId="5A999445">
      <w:pPr>
        <w:pStyle w:val="87"/>
        <w:spacing w:line="400" w:lineRule="exact"/>
        <w:ind w:firstLine="619" w:firstLineChars="257"/>
        <w:jc w:val="both"/>
        <w:rPr>
          <w:rFonts w:hAnsi="宋体"/>
          <w:b/>
          <w:color w:val="auto"/>
        </w:rPr>
      </w:pPr>
      <w:r>
        <w:rPr>
          <w:rFonts w:hint="eastAsia" w:hAnsi="宋体"/>
          <w:b/>
          <w:color w:val="auto"/>
        </w:rPr>
        <w:t>22.2.2 承包人有权暂停施工</w:t>
      </w:r>
    </w:p>
    <w:p w14:paraId="60FE90AB">
      <w:pPr>
        <w:pStyle w:val="87"/>
        <w:spacing w:line="400" w:lineRule="exact"/>
        <w:ind w:firstLine="616" w:firstLineChars="257"/>
        <w:jc w:val="both"/>
        <w:rPr>
          <w:rFonts w:hAnsi="宋体"/>
          <w:color w:val="auto"/>
        </w:rPr>
      </w:pPr>
      <w:r>
        <w:rPr>
          <w:rFonts w:hint="eastAsia" w:hAnsi="宋体"/>
          <w:color w:val="auto"/>
        </w:rPr>
        <w:t>发包人发生除第22.2.1（4）目以外的违约情况时，承包人可向发包人发出通知，要求发包人采取有效措施纠正违约行为。发包人收到承包人通知后的28 天内仍不履行合同义务，承包人有权暂停施工，并通知监理人，发包人应承担由此增加的费用和（或）工期延误，并支付承包人合理利润。</w:t>
      </w:r>
    </w:p>
    <w:p w14:paraId="03462B5C">
      <w:pPr>
        <w:pStyle w:val="87"/>
        <w:spacing w:line="400" w:lineRule="exact"/>
        <w:ind w:firstLine="619" w:firstLineChars="257"/>
        <w:jc w:val="both"/>
        <w:rPr>
          <w:rFonts w:hAnsi="宋体"/>
          <w:b/>
          <w:color w:val="auto"/>
        </w:rPr>
      </w:pPr>
      <w:r>
        <w:rPr>
          <w:rFonts w:hint="eastAsia" w:hAnsi="宋体"/>
          <w:b/>
          <w:color w:val="auto"/>
        </w:rPr>
        <w:t>22.2.3 发包人违约解除合同</w:t>
      </w:r>
    </w:p>
    <w:p w14:paraId="4402FBD7">
      <w:pPr>
        <w:pStyle w:val="87"/>
        <w:spacing w:line="400" w:lineRule="exact"/>
        <w:ind w:firstLine="616" w:firstLineChars="257"/>
        <w:jc w:val="both"/>
        <w:rPr>
          <w:rFonts w:hAnsi="宋体"/>
          <w:color w:val="auto"/>
        </w:rPr>
      </w:pPr>
      <w:r>
        <w:rPr>
          <w:rFonts w:hint="eastAsia" w:hAnsi="宋体"/>
          <w:color w:val="auto"/>
        </w:rPr>
        <w:t>（1）发生第22.2.1（4）目的违约情况时，承包人可书面通知发包人解除合同。</w:t>
      </w:r>
    </w:p>
    <w:p w14:paraId="1330ECED">
      <w:pPr>
        <w:pStyle w:val="87"/>
        <w:spacing w:line="400" w:lineRule="exact"/>
        <w:ind w:firstLine="616" w:firstLineChars="257"/>
        <w:jc w:val="both"/>
        <w:rPr>
          <w:rFonts w:hAnsi="宋体"/>
          <w:color w:val="auto"/>
        </w:rPr>
      </w:pPr>
      <w:r>
        <w:rPr>
          <w:rFonts w:hint="eastAsia" w:hAnsi="宋体"/>
          <w:color w:val="auto"/>
        </w:rPr>
        <w:t>（2）承包人按22.2.2 项暂停施工28 天后，发包人仍不纠正违约行为的，承包人可向发包人发出解除合同通知。但承包人的这一行动不免除发包人承担的违约责任，也不影响承包人根据合同约定享有的索赔权利。</w:t>
      </w:r>
    </w:p>
    <w:p w14:paraId="2438785C">
      <w:pPr>
        <w:pStyle w:val="87"/>
        <w:spacing w:line="400" w:lineRule="exact"/>
        <w:ind w:firstLine="619" w:firstLineChars="257"/>
        <w:jc w:val="both"/>
        <w:rPr>
          <w:rFonts w:hAnsi="宋体"/>
          <w:b/>
          <w:color w:val="auto"/>
        </w:rPr>
      </w:pPr>
      <w:r>
        <w:rPr>
          <w:rFonts w:hint="eastAsia" w:hAnsi="宋体"/>
          <w:b/>
          <w:color w:val="auto"/>
        </w:rPr>
        <w:t xml:space="preserve">22.2.4 解除合同后的付款 </w:t>
      </w:r>
    </w:p>
    <w:p w14:paraId="7173514B">
      <w:pPr>
        <w:pStyle w:val="87"/>
        <w:spacing w:line="400" w:lineRule="exact"/>
        <w:ind w:firstLine="616" w:firstLineChars="257"/>
        <w:jc w:val="both"/>
        <w:rPr>
          <w:rFonts w:hAnsi="宋体"/>
          <w:color w:val="auto"/>
        </w:rPr>
      </w:pPr>
      <w:r>
        <w:rPr>
          <w:rFonts w:hint="eastAsia" w:hAnsi="宋体"/>
          <w:color w:val="auto"/>
        </w:rPr>
        <w:t>因发包人违约解除合同的，发包人应在解除合同后28 天内向承包人支付下列金额，承包人应在此期限内及时向发包人提交要求支付下列金额的有关资料和凭证：</w:t>
      </w:r>
    </w:p>
    <w:p w14:paraId="5B251A90">
      <w:pPr>
        <w:pStyle w:val="87"/>
        <w:spacing w:line="400" w:lineRule="exact"/>
        <w:ind w:firstLine="616" w:firstLineChars="257"/>
        <w:jc w:val="both"/>
        <w:rPr>
          <w:rFonts w:hAnsi="宋体"/>
          <w:color w:val="auto"/>
        </w:rPr>
      </w:pPr>
      <w:r>
        <w:rPr>
          <w:rFonts w:hint="eastAsia" w:hAnsi="宋体"/>
          <w:color w:val="auto"/>
        </w:rPr>
        <w:t>（1）合同解除日以前所完成工作的价款；</w:t>
      </w:r>
    </w:p>
    <w:p w14:paraId="0CBFEE44">
      <w:pPr>
        <w:pStyle w:val="87"/>
        <w:spacing w:line="400" w:lineRule="exact"/>
        <w:ind w:firstLine="616" w:firstLineChars="257"/>
        <w:jc w:val="both"/>
        <w:rPr>
          <w:rFonts w:hAnsi="宋体"/>
          <w:color w:val="auto"/>
        </w:rPr>
      </w:pPr>
      <w:r>
        <w:rPr>
          <w:rFonts w:hint="eastAsia" w:hAnsi="宋体"/>
          <w:color w:val="auto"/>
        </w:rPr>
        <w:t>（2）承包人为该工程施工订购并已付款的材料、工程设备和其他物品的金额。发包人付还后，该材料、工程设备和其他物品归发包人所有；</w:t>
      </w:r>
    </w:p>
    <w:p w14:paraId="6DEE0142">
      <w:pPr>
        <w:pStyle w:val="87"/>
        <w:spacing w:line="400" w:lineRule="exact"/>
        <w:ind w:firstLine="616" w:firstLineChars="257"/>
        <w:jc w:val="both"/>
        <w:rPr>
          <w:rFonts w:hAnsi="宋体"/>
          <w:color w:val="auto"/>
        </w:rPr>
      </w:pPr>
      <w:r>
        <w:rPr>
          <w:rFonts w:hint="eastAsia" w:hAnsi="宋体"/>
          <w:color w:val="auto"/>
        </w:rPr>
        <w:t>（3）承包人为完成工程所发生的，而发包人未支付的金额；</w:t>
      </w:r>
    </w:p>
    <w:p w14:paraId="3348B629">
      <w:pPr>
        <w:pStyle w:val="87"/>
        <w:spacing w:line="400" w:lineRule="exact"/>
        <w:ind w:firstLine="616" w:firstLineChars="257"/>
        <w:jc w:val="both"/>
        <w:rPr>
          <w:rFonts w:hAnsi="宋体"/>
          <w:color w:val="auto"/>
        </w:rPr>
      </w:pPr>
      <w:r>
        <w:rPr>
          <w:rFonts w:hint="eastAsia" w:hAnsi="宋体"/>
          <w:color w:val="auto"/>
        </w:rPr>
        <w:t>（4）承包人撤离施工场地以及遣散承包人人员的金额；</w:t>
      </w:r>
    </w:p>
    <w:p w14:paraId="133E650D">
      <w:pPr>
        <w:pStyle w:val="87"/>
        <w:spacing w:line="400" w:lineRule="exact"/>
        <w:ind w:firstLine="616" w:firstLineChars="257"/>
        <w:jc w:val="both"/>
        <w:rPr>
          <w:rFonts w:hAnsi="宋体"/>
          <w:color w:val="auto"/>
        </w:rPr>
      </w:pPr>
      <w:r>
        <w:rPr>
          <w:rFonts w:hint="eastAsia" w:hAnsi="宋体"/>
          <w:color w:val="auto"/>
        </w:rPr>
        <w:t>（5）由于解除合同应赔偿的承包人损失；</w:t>
      </w:r>
    </w:p>
    <w:p w14:paraId="60F46481">
      <w:pPr>
        <w:pStyle w:val="87"/>
        <w:spacing w:line="400" w:lineRule="exact"/>
        <w:ind w:firstLine="616" w:firstLineChars="257"/>
        <w:jc w:val="both"/>
        <w:rPr>
          <w:rFonts w:hAnsi="宋体"/>
          <w:color w:val="auto"/>
        </w:rPr>
      </w:pPr>
      <w:r>
        <w:rPr>
          <w:rFonts w:hint="eastAsia" w:hAnsi="宋体"/>
          <w:color w:val="auto"/>
        </w:rPr>
        <w:t>（6）按合同约定在合同解除日前应支付给承包人的其他金额。</w:t>
      </w:r>
    </w:p>
    <w:p w14:paraId="6E3C109B">
      <w:pPr>
        <w:pStyle w:val="87"/>
        <w:spacing w:line="400" w:lineRule="exact"/>
        <w:ind w:firstLine="616" w:firstLineChars="257"/>
        <w:jc w:val="both"/>
        <w:rPr>
          <w:rFonts w:hAnsi="宋体"/>
          <w:color w:val="auto"/>
        </w:rPr>
      </w:pPr>
      <w:r>
        <w:rPr>
          <w:rFonts w:hint="eastAsia" w:hAnsi="宋体"/>
          <w:color w:val="auto"/>
        </w:rPr>
        <w:t>发包人应按本项约定支付上述金额并退还质量保证金和履约担保，但有权要求承包人支付应偿还给发包人的各项金额。</w:t>
      </w:r>
    </w:p>
    <w:p w14:paraId="29D2FFEF">
      <w:pPr>
        <w:pStyle w:val="87"/>
        <w:spacing w:line="400" w:lineRule="exact"/>
        <w:ind w:firstLine="619" w:firstLineChars="257"/>
        <w:jc w:val="both"/>
        <w:rPr>
          <w:rFonts w:hAnsi="宋体"/>
          <w:b/>
          <w:color w:val="auto"/>
        </w:rPr>
      </w:pPr>
      <w:r>
        <w:rPr>
          <w:rFonts w:hint="eastAsia" w:hAnsi="宋体"/>
          <w:b/>
          <w:color w:val="auto"/>
        </w:rPr>
        <w:t xml:space="preserve">22.2.5 解除合同后的承包人撤离 </w:t>
      </w:r>
    </w:p>
    <w:p w14:paraId="4BB84CB4">
      <w:pPr>
        <w:pStyle w:val="87"/>
        <w:spacing w:line="400" w:lineRule="exact"/>
        <w:ind w:firstLine="616" w:firstLineChars="257"/>
        <w:jc w:val="both"/>
        <w:rPr>
          <w:rFonts w:hAnsi="宋体"/>
          <w:color w:val="auto"/>
        </w:rPr>
      </w:pPr>
      <w:r>
        <w:rPr>
          <w:rFonts w:hint="eastAsia" w:hAnsi="宋体"/>
          <w:color w:val="auto"/>
        </w:rPr>
        <w:t>因发包人违约而解除合同后，承包人应妥善做好已竣工工程和已购材料、设备的保护和移交工作，按发包人要求将承包人设备和人员撤出施工场地。承包人撤出施工场地应遵守第18.7.1项的约定，发包人应为承包人撤出提供必要条件。</w:t>
      </w:r>
    </w:p>
    <w:p w14:paraId="71B16792">
      <w:pPr>
        <w:pStyle w:val="87"/>
        <w:spacing w:line="400" w:lineRule="exact"/>
        <w:ind w:firstLine="360"/>
        <w:jc w:val="both"/>
        <w:rPr>
          <w:rFonts w:hAnsi="宋体"/>
          <w:b/>
          <w:color w:val="auto"/>
        </w:rPr>
      </w:pPr>
      <w:r>
        <w:rPr>
          <w:rFonts w:hint="eastAsia" w:hAnsi="宋体"/>
          <w:b/>
          <w:color w:val="auto"/>
        </w:rPr>
        <w:t>22.3 第三人造成的违约</w:t>
      </w:r>
    </w:p>
    <w:p w14:paraId="33825620">
      <w:pPr>
        <w:pStyle w:val="180"/>
        <w:spacing w:line="400" w:lineRule="atLeast"/>
        <w:ind w:firstLine="560"/>
        <w:jc w:val="both"/>
        <w:rPr>
          <w:rFonts w:hAnsi="宋体" w:cs="宋体"/>
          <w:color w:val="auto"/>
        </w:rPr>
      </w:pPr>
      <w:r>
        <w:rPr>
          <w:rFonts w:hint="eastAsia" w:hAnsi="宋体" w:cs="宋体"/>
          <w:color w:val="auto"/>
        </w:rPr>
        <w:t>在履行合同过程中，一方当事人因第三人的原因造成违约的，应当向对方当事人承担违约责任。一方当事人和第三人之间的纠纷，依照法律规定或者按照约定解决。</w:t>
      </w:r>
    </w:p>
    <w:p w14:paraId="30AC6ACB">
      <w:pPr>
        <w:pStyle w:val="180"/>
        <w:spacing w:before="100" w:after="100" w:line="400" w:lineRule="exact"/>
        <w:ind w:firstLine="643"/>
        <w:jc w:val="both"/>
        <w:rPr>
          <w:rFonts w:hAnsi="宋体" w:cs="宋体"/>
          <w:b/>
          <w:color w:val="auto"/>
          <w:sz w:val="32"/>
          <w:szCs w:val="32"/>
        </w:rPr>
      </w:pPr>
      <w:bookmarkStart w:id="1326" w:name="_Toc255470057"/>
      <w:bookmarkStart w:id="1327" w:name="_Toc436309960"/>
      <w:bookmarkStart w:id="1328" w:name="_Toc504565815"/>
      <w:bookmarkStart w:id="1329" w:name="_Toc227658513"/>
      <w:bookmarkStart w:id="1330" w:name="_Toc222804539"/>
      <w:bookmarkStart w:id="1331" w:name="_Toc195864510"/>
      <w:bookmarkStart w:id="1332" w:name="_Toc510197487"/>
      <w:bookmarkStart w:id="1333" w:name="_Toc510197625"/>
      <w:bookmarkStart w:id="1334" w:name="_Toc439772714"/>
      <w:bookmarkStart w:id="1335" w:name="_Toc460581193"/>
      <w:bookmarkStart w:id="1336" w:name="_Toc351898560"/>
      <w:bookmarkStart w:id="1337" w:name="_Toc371937207"/>
      <w:bookmarkStart w:id="1338" w:name="_Toc476231314"/>
      <w:bookmarkStart w:id="1339" w:name="_Toc388633690"/>
      <w:bookmarkStart w:id="1340" w:name="_Toc453768113"/>
      <w:bookmarkStart w:id="1341" w:name="_Toc209862345"/>
      <w:bookmarkStart w:id="1342" w:name="_Toc504565702"/>
      <w:bookmarkStart w:id="1343" w:name="_Toc19932"/>
      <w:bookmarkStart w:id="1344" w:name="_Toc340436808"/>
      <w:bookmarkStart w:id="1345" w:name="_Toc187475855"/>
      <w:bookmarkStart w:id="1346" w:name="_Toc452986515"/>
      <w:bookmarkStart w:id="1347" w:name="_Toc215805066"/>
      <w:bookmarkStart w:id="1348" w:name="_Toc368145499"/>
      <w:bookmarkStart w:id="1349" w:name="_Toc342046329"/>
      <w:bookmarkStart w:id="1350" w:name="_Toc306293179"/>
      <w:bookmarkStart w:id="1351" w:name="_Toc249848965"/>
      <w:bookmarkStart w:id="1352" w:name="_Toc350857442"/>
      <w:bookmarkStart w:id="1353" w:name="_Toc389226410"/>
      <w:bookmarkStart w:id="1354" w:name="_Toc436998801"/>
      <w:bookmarkStart w:id="1355" w:name="_Toc450123147"/>
      <w:bookmarkStart w:id="1356" w:name="_Toc208734423"/>
      <w:bookmarkStart w:id="1357" w:name="_Toc458599291"/>
      <w:bookmarkStart w:id="1358" w:name="_Toc206830036"/>
      <w:bookmarkStart w:id="1359" w:name="_Toc260229988"/>
      <w:bookmarkStart w:id="1360" w:name="_Toc449111941"/>
      <w:bookmarkStart w:id="1361" w:name="_Toc2429"/>
      <w:bookmarkStart w:id="1362" w:name="_Toc254774424"/>
      <w:bookmarkStart w:id="1363" w:name="_Toc214355686"/>
      <w:bookmarkStart w:id="1364" w:name="_Toc257202848"/>
      <w:bookmarkStart w:id="1365" w:name="_Toc215556205"/>
      <w:bookmarkStart w:id="1366" w:name="_Toc219172352"/>
      <w:bookmarkStart w:id="1367" w:name="_Toc260649043"/>
      <w:bookmarkStart w:id="1368" w:name="_Toc245110753"/>
      <w:bookmarkStart w:id="1369" w:name="_Toc450123381"/>
      <w:bookmarkStart w:id="1370" w:name="_Toc436133251"/>
      <w:bookmarkStart w:id="1371" w:name="_Toc211175347"/>
      <w:bookmarkStart w:id="1372" w:name="_Toc338778055"/>
      <w:bookmarkStart w:id="1373" w:name="_Toc215561223"/>
      <w:bookmarkStart w:id="1374" w:name="_Toc274500911"/>
      <w:bookmarkStart w:id="1375" w:name="_Toc255741944"/>
      <w:bookmarkStart w:id="1376" w:name="_Toc187846015"/>
      <w:bookmarkStart w:id="1377" w:name="_Toc260230315"/>
      <w:bookmarkStart w:id="1378" w:name="_Toc445105550"/>
      <w:bookmarkStart w:id="1379" w:name="_Toc477164675"/>
      <w:bookmarkStart w:id="1380" w:name="_Toc255470280"/>
      <w:bookmarkStart w:id="1381" w:name="_Toc305763069"/>
      <w:bookmarkStart w:id="1382" w:name="_Toc340222918"/>
      <w:bookmarkStart w:id="1383" w:name="_Toc248294436"/>
      <w:bookmarkStart w:id="1384" w:name="_Toc270517157"/>
      <w:bookmarkStart w:id="1385" w:name="_Toc436309608"/>
      <w:r>
        <w:rPr>
          <w:rFonts w:hint="eastAsia" w:hAnsi="宋体" w:cs="宋体"/>
          <w:b/>
          <w:color w:val="auto"/>
          <w:sz w:val="32"/>
          <w:szCs w:val="32"/>
        </w:rPr>
        <w:t>23. 索赔</w:t>
      </w:r>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p>
    <w:p w14:paraId="3B5680B8">
      <w:pPr>
        <w:pStyle w:val="87"/>
        <w:spacing w:line="400" w:lineRule="exact"/>
        <w:ind w:firstLine="360"/>
        <w:jc w:val="both"/>
        <w:rPr>
          <w:rFonts w:hAnsi="宋体"/>
          <w:b/>
          <w:color w:val="auto"/>
        </w:rPr>
      </w:pPr>
      <w:r>
        <w:rPr>
          <w:rFonts w:hint="eastAsia" w:hAnsi="宋体"/>
          <w:b/>
          <w:color w:val="auto"/>
        </w:rPr>
        <w:t>23.1 承包人索赔的提出</w:t>
      </w:r>
    </w:p>
    <w:p w14:paraId="13DF17E4">
      <w:pPr>
        <w:pStyle w:val="87"/>
        <w:spacing w:line="400" w:lineRule="exact"/>
        <w:ind w:firstLine="616" w:firstLineChars="257"/>
        <w:jc w:val="both"/>
        <w:rPr>
          <w:rFonts w:hAnsi="宋体"/>
          <w:color w:val="auto"/>
        </w:rPr>
      </w:pPr>
      <w:r>
        <w:rPr>
          <w:rFonts w:hint="eastAsia" w:hAnsi="宋体"/>
          <w:color w:val="auto"/>
        </w:rPr>
        <w:t>根据合同约定，承包人认为有权得到追加付款和（或）延长工期的，应按以下程序向发包人提出索赔：</w:t>
      </w:r>
    </w:p>
    <w:p w14:paraId="571914BA">
      <w:pPr>
        <w:pStyle w:val="87"/>
        <w:spacing w:line="400" w:lineRule="exact"/>
        <w:ind w:firstLine="616" w:firstLineChars="257"/>
        <w:jc w:val="both"/>
        <w:rPr>
          <w:rFonts w:hAnsi="宋体"/>
          <w:color w:val="auto"/>
        </w:rPr>
      </w:pPr>
      <w:r>
        <w:rPr>
          <w:rFonts w:hint="eastAsia" w:hAnsi="宋体"/>
          <w:color w:val="auto"/>
        </w:rPr>
        <w:t>（1）承包人应在知道或应当知道索赔事件发生后28天内，向监理人递交索赔意向通知书，并说明发生索赔事件的事由。承包人未在前述28天内发出索赔意向通知书的，丧失要求追加付款和（或）延长工期的权利；</w:t>
      </w:r>
    </w:p>
    <w:p w14:paraId="2AB0BC30">
      <w:pPr>
        <w:pStyle w:val="87"/>
        <w:spacing w:line="400" w:lineRule="exact"/>
        <w:ind w:firstLine="616" w:firstLineChars="257"/>
        <w:jc w:val="both"/>
        <w:rPr>
          <w:rFonts w:hAnsi="宋体"/>
          <w:color w:val="auto"/>
        </w:rPr>
      </w:pPr>
      <w:r>
        <w:rPr>
          <w:rFonts w:hint="eastAsia" w:hAnsi="宋体"/>
          <w:color w:val="auto"/>
        </w:rPr>
        <w:t>（2）承包人应在发出索赔意向通知书后28 天内，向监理人正式递交索赔通知书。索赔通知书应详细说明索赔理由以及要求追加的付款金额和（或）延长的工期，并附必要的记录和证明材料；</w:t>
      </w:r>
    </w:p>
    <w:p w14:paraId="40EE548D">
      <w:pPr>
        <w:pStyle w:val="87"/>
        <w:spacing w:line="400" w:lineRule="exact"/>
        <w:ind w:firstLine="616" w:firstLineChars="257"/>
        <w:jc w:val="both"/>
        <w:rPr>
          <w:rFonts w:hAnsi="宋体"/>
          <w:color w:val="auto"/>
        </w:rPr>
      </w:pPr>
      <w:r>
        <w:rPr>
          <w:rFonts w:hint="eastAsia" w:hAnsi="宋体"/>
          <w:color w:val="auto"/>
        </w:rPr>
        <w:t>（3）索赔事件具有连续影响的，承包人应按合理时间间隔继续递交延续索赔通知，说明连续影响的实际情况和记录，列出累计的追加付款金额和（或）工期延长天数；</w:t>
      </w:r>
    </w:p>
    <w:p w14:paraId="244DE230">
      <w:pPr>
        <w:pStyle w:val="87"/>
        <w:spacing w:line="400" w:lineRule="exact"/>
        <w:ind w:firstLine="616" w:firstLineChars="257"/>
        <w:jc w:val="both"/>
        <w:rPr>
          <w:rFonts w:hAnsi="宋体"/>
          <w:color w:val="auto"/>
        </w:rPr>
      </w:pPr>
      <w:r>
        <w:rPr>
          <w:rFonts w:hint="eastAsia" w:hAnsi="宋体"/>
          <w:color w:val="auto"/>
        </w:rPr>
        <w:t>（4）在索赔事件影响结束后的28 天内，承包人应向监理人递交最终索赔通知书，说明最终要求索赔的追加付款金额和延长的工期，并附必要的记录和证明材料。</w:t>
      </w:r>
    </w:p>
    <w:p w14:paraId="6D984E8A">
      <w:pPr>
        <w:pStyle w:val="87"/>
        <w:spacing w:line="400" w:lineRule="exact"/>
        <w:ind w:firstLine="360"/>
        <w:jc w:val="both"/>
        <w:rPr>
          <w:rFonts w:hAnsi="宋体"/>
          <w:b/>
          <w:color w:val="auto"/>
        </w:rPr>
      </w:pPr>
      <w:r>
        <w:rPr>
          <w:rFonts w:hint="eastAsia" w:hAnsi="宋体"/>
          <w:b/>
          <w:color w:val="auto"/>
        </w:rPr>
        <w:t>23.2 承包人索赔处理程序</w:t>
      </w:r>
    </w:p>
    <w:p w14:paraId="05A99BCD">
      <w:pPr>
        <w:pStyle w:val="87"/>
        <w:spacing w:line="400" w:lineRule="exact"/>
        <w:ind w:firstLine="616" w:firstLineChars="257"/>
        <w:jc w:val="both"/>
        <w:rPr>
          <w:rFonts w:hAnsi="宋体"/>
          <w:color w:val="auto"/>
        </w:rPr>
      </w:pPr>
      <w:r>
        <w:rPr>
          <w:rFonts w:hint="eastAsia" w:hAnsi="宋体"/>
          <w:color w:val="auto"/>
        </w:rPr>
        <w:t>（1）监理人收到承包人提交的索赔通知书后，应及时审查索赔通知书的内容、查验承包人的记录和证明材料，必要时监理人可要求承包人提交全部原始记录副本。</w:t>
      </w:r>
    </w:p>
    <w:p w14:paraId="36C96CDE">
      <w:pPr>
        <w:pStyle w:val="87"/>
        <w:spacing w:line="400" w:lineRule="exact"/>
        <w:ind w:firstLine="616" w:firstLineChars="257"/>
        <w:jc w:val="both"/>
        <w:rPr>
          <w:rFonts w:hAnsi="宋体"/>
          <w:color w:val="auto"/>
        </w:rPr>
      </w:pPr>
      <w:r>
        <w:rPr>
          <w:rFonts w:hint="eastAsia" w:hAnsi="宋体"/>
          <w:color w:val="auto"/>
        </w:rPr>
        <w:t>（2）监理人应按第3.5 款商定或确定追加的付款和（或）延长的工期，并在收到上述索赔通知书或有关索赔的进一步证明材料后的42 天内，将索赔处理结果答复承包人。</w:t>
      </w:r>
    </w:p>
    <w:p w14:paraId="5DF1457A">
      <w:pPr>
        <w:pStyle w:val="87"/>
        <w:spacing w:line="400" w:lineRule="exact"/>
        <w:ind w:firstLine="616" w:firstLineChars="257"/>
        <w:jc w:val="both"/>
        <w:rPr>
          <w:rFonts w:hAnsi="宋体"/>
          <w:color w:val="auto"/>
        </w:rPr>
      </w:pPr>
      <w:r>
        <w:rPr>
          <w:rFonts w:hint="eastAsia" w:hAnsi="宋体"/>
          <w:color w:val="auto"/>
        </w:rPr>
        <w:t>（3）承包人接受索赔处理结果的，发包人应在作出索赔处理结果答复后28 天内完成赔付。承包人不接受索赔处理结果的，按第24 条的约定办理。</w:t>
      </w:r>
    </w:p>
    <w:p w14:paraId="1E0972D3">
      <w:pPr>
        <w:pStyle w:val="87"/>
        <w:spacing w:line="400" w:lineRule="exact"/>
        <w:ind w:firstLine="360"/>
        <w:jc w:val="both"/>
        <w:rPr>
          <w:rFonts w:hAnsi="宋体"/>
          <w:b/>
          <w:color w:val="auto"/>
        </w:rPr>
      </w:pPr>
      <w:r>
        <w:rPr>
          <w:rFonts w:hint="eastAsia" w:hAnsi="宋体"/>
          <w:b/>
          <w:color w:val="auto"/>
        </w:rPr>
        <w:t>23.3 承包人提出索赔的期限</w:t>
      </w:r>
    </w:p>
    <w:p w14:paraId="73D5C9BF">
      <w:pPr>
        <w:pStyle w:val="87"/>
        <w:spacing w:line="400" w:lineRule="exact"/>
        <w:ind w:firstLine="616" w:firstLineChars="257"/>
        <w:jc w:val="both"/>
        <w:rPr>
          <w:rFonts w:hAnsi="宋体"/>
          <w:color w:val="auto"/>
        </w:rPr>
      </w:pPr>
      <w:r>
        <w:rPr>
          <w:rFonts w:hint="eastAsia" w:hAnsi="宋体"/>
          <w:color w:val="auto"/>
        </w:rPr>
        <w:t>23.3.1 承包人按第17.5款的约定接受了完工付款证书后，应被认为已无权再提出在合同工程完工证书颁发前所发生的任何索赔。</w:t>
      </w:r>
    </w:p>
    <w:p w14:paraId="79287A04">
      <w:pPr>
        <w:pStyle w:val="87"/>
        <w:spacing w:line="400" w:lineRule="exact"/>
        <w:ind w:firstLine="616" w:firstLineChars="257"/>
        <w:jc w:val="both"/>
        <w:rPr>
          <w:rFonts w:hAnsi="宋体"/>
          <w:color w:val="auto"/>
        </w:rPr>
      </w:pPr>
      <w:r>
        <w:rPr>
          <w:rFonts w:hint="eastAsia" w:hAnsi="宋体"/>
          <w:color w:val="auto"/>
        </w:rPr>
        <w:t>23.3.2 承包人按第17.6款的约定提交的最终结清申请单中，只限于提出合同工程完工证书颁发后发生的索赔。提出索赔的期限自接受最终结清证书时终止。</w:t>
      </w:r>
    </w:p>
    <w:p w14:paraId="16795420">
      <w:pPr>
        <w:pStyle w:val="87"/>
        <w:spacing w:line="400" w:lineRule="exact"/>
        <w:ind w:firstLine="360"/>
        <w:jc w:val="both"/>
        <w:rPr>
          <w:rFonts w:hAnsi="宋体"/>
          <w:b/>
          <w:color w:val="auto"/>
        </w:rPr>
      </w:pPr>
      <w:r>
        <w:rPr>
          <w:rFonts w:hint="eastAsia" w:hAnsi="宋体"/>
          <w:b/>
          <w:color w:val="auto"/>
        </w:rPr>
        <w:t>23.4 发包人的索赔</w:t>
      </w:r>
    </w:p>
    <w:p w14:paraId="23A9C185">
      <w:pPr>
        <w:pStyle w:val="87"/>
        <w:spacing w:line="400" w:lineRule="exact"/>
        <w:ind w:firstLine="616" w:firstLineChars="257"/>
        <w:jc w:val="both"/>
        <w:rPr>
          <w:rFonts w:hAnsi="宋体"/>
          <w:color w:val="auto"/>
        </w:rPr>
      </w:pPr>
      <w:r>
        <w:rPr>
          <w:rFonts w:hint="eastAsia" w:hAnsi="宋体"/>
          <w:color w:val="auto"/>
        </w:rPr>
        <w:t>23.4.1 发生索赔事件后，监理人应及时书面通知承包人，详细说明发包人有权得到的索赔金额和（或）延长缺陷责任期的细节和依据。发包人提出索赔的期限和要求与第23.3 款的约定相同，延长缺陷责任期的通知应在缺陷责任期届满前发出。</w:t>
      </w:r>
    </w:p>
    <w:p w14:paraId="6FE04049">
      <w:pPr>
        <w:pStyle w:val="87"/>
        <w:spacing w:line="400" w:lineRule="exact"/>
        <w:ind w:firstLine="616" w:firstLineChars="257"/>
        <w:jc w:val="both"/>
        <w:rPr>
          <w:rFonts w:hAnsi="宋体"/>
          <w:color w:val="auto"/>
        </w:rPr>
      </w:pPr>
      <w:r>
        <w:rPr>
          <w:rFonts w:hint="eastAsia" w:hAnsi="宋体"/>
          <w:color w:val="auto"/>
        </w:rPr>
        <w:t>23.4.2 监理人按第3.5 款商定或确定发包人从承包人处得到赔付的金额和（或）缺陷责任期的延长期。承包人应付给发包人的金额可从拟支付给承包人的合同价款中扣除，或由承包人以其他方式支付给发包人。</w:t>
      </w:r>
    </w:p>
    <w:p w14:paraId="1307BECF">
      <w:pPr>
        <w:pStyle w:val="87"/>
        <w:spacing w:line="400" w:lineRule="exact"/>
        <w:ind w:firstLine="616" w:firstLineChars="257"/>
        <w:jc w:val="both"/>
        <w:rPr>
          <w:rFonts w:hAnsi="宋体"/>
          <w:color w:val="auto"/>
        </w:rPr>
      </w:pPr>
      <w:r>
        <w:rPr>
          <w:rFonts w:hint="eastAsia" w:hAnsi="宋体"/>
          <w:color w:val="auto"/>
        </w:rPr>
        <w:t>23.4.3 承包人对监理人按第23.4.1项发出的索赔书面通知内容持异议时，应在收到书面通知后的14天内，将持有异议的书面报告及其证明材料提交监理人。监理人应在收到承包人书面报告后的14天内，将异议的处理意见通知承包人，并按第23.4.2项的约定执行赔付。若承包人不接受监理人的索赔处理意见，可按本合同第24条的规定办理。</w:t>
      </w:r>
    </w:p>
    <w:p w14:paraId="51C492BF">
      <w:pPr>
        <w:pStyle w:val="180"/>
        <w:spacing w:before="100" w:after="100" w:line="400" w:lineRule="exact"/>
        <w:ind w:firstLine="643"/>
        <w:jc w:val="both"/>
        <w:rPr>
          <w:rFonts w:hAnsi="宋体" w:cs="宋体"/>
          <w:b/>
          <w:color w:val="auto"/>
          <w:sz w:val="32"/>
          <w:szCs w:val="32"/>
        </w:rPr>
      </w:pPr>
      <w:bookmarkStart w:id="1386" w:name="_Toc450123148"/>
      <w:bookmarkStart w:id="1387" w:name="_Toc306293180"/>
      <w:bookmarkStart w:id="1388" w:name="_Toc371937208"/>
      <w:bookmarkStart w:id="1389" w:name="_Toc504565816"/>
      <w:bookmarkStart w:id="1390" w:name="_Toc31174"/>
      <w:bookmarkStart w:id="1391" w:name="_Toc340222919"/>
      <w:bookmarkStart w:id="1392" w:name="_Toc476231315"/>
      <w:bookmarkStart w:id="1393" w:name="_Toc187475856"/>
      <w:bookmarkStart w:id="1394" w:name="_Toc510197626"/>
      <w:bookmarkStart w:id="1395" w:name="_Toc340436809"/>
      <w:bookmarkStart w:id="1396" w:name="_Toc445105551"/>
      <w:bookmarkStart w:id="1397" w:name="_Toc255470281"/>
      <w:bookmarkStart w:id="1398" w:name="_Toc439772715"/>
      <w:bookmarkStart w:id="1399" w:name="_Toc254774425"/>
      <w:bookmarkStart w:id="1400" w:name="_Toc351898561"/>
      <w:bookmarkStart w:id="1401" w:name="_Toc368145500"/>
      <w:bookmarkStart w:id="1402" w:name="_Toc388633691"/>
      <w:bookmarkStart w:id="1403" w:name="_Toc211175348"/>
      <w:bookmarkStart w:id="1404" w:name="_Toc477164676"/>
      <w:bookmarkStart w:id="1405" w:name="_Toc249848966"/>
      <w:bookmarkStart w:id="1406" w:name="_Toc187846016"/>
      <w:bookmarkStart w:id="1407" w:name="_Toc436133252"/>
      <w:bookmarkStart w:id="1408" w:name="_Toc257202849"/>
      <w:bookmarkStart w:id="1409" w:name="_Toc195864511"/>
      <w:bookmarkStart w:id="1410" w:name="_Toc389226411"/>
      <w:bookmarkStart w:id="1411" w:name="_Toc219172353"/>
      <w:bookmarkStart w:id="1412" w:name="_Toc504565703"/>
      <w:bookmarkStart w:id="1413" w:name="_Toc255470058"/>
      <w:bookmarkStart w:id="1414" w:name="_Toc436998802"/>
      <w:bookmarkStart w:id="1415" w:name="_Toc260229989"/>
      <w:bookmarkStart w:id="1416" w:name="_Toc260649044"/>
      <w:bookmarkStart w:id="1417" w:name="_Toc453768114"/>
      <w:bookmarkStart w:id="1418" w:name="_Toc449111942"/>
      <w:bookmarkStart w:id="1419" w:name="_Toc248294437"/>
      <w:bookmarkStart w:id="1420" w:name="_Toc206830037"/>
      <w:bookmarkStart w:id="1421" w:name="_Toc227658514"/>
      <w:bookmarkStart w:id="1422" w:name="_Toc215805067"/>
      <w:bookmarkStart w:id="1423" w:name="_Toc274500912"/>
      <w:bookmarkStart w:id="1424" w:name="_Toc450123382"/>
      <w:bookmarkStart w:id="1425" w:name="_Toc350857443"/>
      <w:bookmarkStart w:id="1426" w:name="_Toc338778056"/>
      <w:bookmarkStart w:id="1427" w:name="_Toc270517158"/>
      <w:bookmarkStart w:id="1428" w:name="_Toc510197488"/>
      <w:bookmarkStart w:id="1429" w:name="_Toc215556206"/>
      <w:bookmarkStart w:id="1430" w:name="_Toc215561224"/>
      <w:bookmarkStart w:id="1431" w:name="_Toc260230316"/>
      <w:bookmarkStart w:id="1432" w:name="_Toc436309609"/>
      <w:bookmarkStart w:id="1433" w:name="_Toc436309961"/>
      <w:bookmarkStart w:id="1434" w:name="_Toc460581194"/>
      <w:bookmarkStart w:id="1435" w:name="_Toc222804540"/>
      <w:bookmarkStart w:id="1436" w:name="_Toc245110754"/>
      <w:bookmarkStart w:id="1437" w:name="_Toc255741945"/>
      <w:bookmarkStart w:id="1438" w:name="_Toc458599292"/>
      <w:bookmarkStart w:id="1439" w:name="_Toc27479"/>
      <w:bookmarkStart w:id="1440" w:name="_Toc305763070"/>
      <w:bookmarkStart w:id="1441" w:name="_Toc342046330"/>
      <w:bookmarkStart w:id="1442" w:name="_Toc214355687"/>
      <w:bookmarkStart w:id="1443" w:name="_Toc452986516"/>
      <w:bookmarkStart w:id="1444" w:name="_Toc208734424"/>
      <w:bookmarkStart w:id="1445" w:name="_Toc209862346"/>
      <w:r>
        <w:rPr>
          <w:rFonts w:hint="eastAsia" w:hAnsi="宋体" w:cs="宋体"/>
          <w:b/>
          <w:color w:val="auto"/>
          <w:sz w:val="32"/>
          <w:szCs w:val="32"/>
        </w:rPr>
        <w:t>24. 争议的解决</w:t>
      </w:r>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p>
    <w:p w14:paraId="7F9BC63A">
      <w:pPr>
        <w:pStyle w:val="87"/>
        <w:spacing w:line="400" w:lineRule="exact"/>
        <w:ind w:firstLine="360"/>
        <w:jc w:val="both"/>
        <w:rPr>
          <w:rFonts w:hAnsi="宋体"/>
          <w:b/>
          <w:color w:val="auto"/>
        </w:rPr>
      </w:pPr>
      <w:r>
        <w:rPr>
          <w:rFonts w:hint="eastAsia" w:hAnsi="宋体"/>
          <w:b/>
          <w:color w:val="auto"/>
        </w:rPr>
        <w:t>24.1 争议的解决方式</w:t>
      </w:r>
    </w:p>
    <w:p w14:paraId="30E95E55">
      <w:pPr>
        <w:pStyle w:val="87"/>
        <w:spacing w:line="400" w:lineRule="exact"/>
        <w:ind w:firstLine="616" w:firstLineChars="257"/>
        <w:jc w:val="both"/>
        <w:rPr>
          <w:rFonts w:hAnsi="宋体"/>
          <w:color w:val="auto"/>
        </w:rPr>
      </w:pPr>
      <w:r>
        <w:rPr>
          <w:rFonts w:hint="eastAsia" w:hAnsi="宋体"/>
          <w:color w:val="auto"/>
        </w:rPr>
        <w:t>发包人和承包人在履行合同中发生争议的，可以友好协商解决或者提请争议评审组评审。合同当事人友好协商解决不成、不愿提请争议评审或者不接受争议评审组意见的，可在专用合同条款中约定下列一种方式解决。</w:t>
      </w:r>
    </w:p>
    <w:p w14:paraId="4B8F4E5C">
      <w:pPr>
        <w:pStyle w:val="87"/>
        <w:spacing w:line="400" w:lineRule="exact"/>
        <w:ind w:firstLine="616" w:firstLineChars="257"/>
        <w:jc w:val="both"/>
        <w:rPr>
          <w:rFonts w:hAnsi="宋体"/>
          <w:color w:val="auto"/>
        </w:rPr>
      </w:pPr>
      <w:r>
        <w:rPr>
          <w:rFonts w:hint="eastAsia" w:hAnsi="宋体"/>
          <w:color w:val="auto"/>
        </w:rPr>
        <w:t>（1）向约定的仲裁委员会申请仲裁；</w:t>
      </w:r>
    </w:p>
    <w:p w14:paraId="4D4E5EC7">
      <w:pPr>
        <w:pStyle w:val="87"/>
        <w:spacing w:line="400" w:lineRule="exact"/>
        <w:ind w:firstLine="616" w:firstLineChars="257"/>
        <w:jc w:val="both"/>
        <w:rPr>
          <w:rFonts w:hAnsi="宋体"/>
          <w:color w:val="auto"/>
        </w:rPr>
      </w:pPr>
      <w:r>
        <w:rPr>
          <w:rFonts w:hint="eastAsia" w:hAnsi="宋体"/>
          <w:color w:val="auto"/>
        </w:rPr>
        <w:t>（2）向有管辖权的人民法院提起诉讼。</w:t>
      </w:r>
    </w:p>
    <w:p w14:paraId="66792F16">
      <w:pPr>
        <w:pStyle w:val="87"/>
        <w:spacing w:line="400" w:lineRule="exact"/>
        <w:ind w:firstLine="360"/>
        <w:jc w:val="both"/>
        <w:rPr>
          <w:rFonts w:hAnsi="宋体"/>
          <w:b/>
          <w:color w:val="auto"/>
        </w:rPr>
      </w:pPr>
      <w:r>
        <w:rPr>
          <w:rFonts w:hint="eastAsia" w:hAnsi="宋体"/>
          <w:b/>
          <w:color w:val="auto"/>
        </w:rPr>
        <w:t>24.2 友好解决</w:t>
      </w:r>
    </w:p>
    <w:p w14:paraId="095C3706">
      <w:pPr>
        <w:pStyle w:val="87"/>
        <w:spacing w:line="400" w:lineRule="exact"/>
        <w:ind w:firstLine="616" w:firstLineChars="257"/>
        <w:jc w:val="both"/>
        <w:rPr>
          <w:rFonts w:hAnsi="宋体"/>
          <w:color w:val="auto"/>
        </w:rPr>
      </w:pPr>
      <w:r>
        <w:rPr>
          <w:rFonts w:hint="eastAsia" w:hAnsi="宋体"/>
          <w:color w:val="auto"/>
        </w:rPr>
        <w:t>在提请争议评审、仲裁或者诉讼前，以及在争议评审、仲裁或诉讼过程中，发包人和承包人均可共同努力友好协商解决争议。</w:t>
      </w:r>
    </w:p>
    <w:p w14:paraId="47CE6B9B">
      <w:pPr>
        <w:pStyle w:val="87"/>
        <w:spacing w:line="400" w:lineRule="exact"/>
        <w:ind w:firstLine="360"/>
        <w:jc w:val="both"/>
        <w:rPr>
          <w:rFonts w:hAnsi="宋体"/>
          <w:b/>
          <w:color w:val="auto"/>
        </w:rPr>
      </w:pPr>
      <w:r>
        <w:rPr>
          <w:rFonts w:hint="eastAsia" w:hAnsi="宋体"/>
          <w:b/>
          <w:color w:val="auto"/>
        </w:rPr>
        <w:t>24.3 争议评审</w:t>
      </w:r>
    </w:p>
    <w:p w14:paraId="11D0A5A5">
      <w:pPr>
        <w:pStyle w:val="87"/>
        <w:spacing w:line="400" w:lineRule="exact"/>
        <w:ind w:firstLine="616" w:firstLineChars="257"/>
        <w:jc w:val="both"/>
        <w:rPr>
          <w:rFonts w:hAnsi="宋体"/>
          <w:color w:val="auto"/>
        </w:rPr>
      </w:pPr>
      <w:r>
        <w:rPr>
          <w:rFonts w:hint="eastAsia" w:hAnsi="宋体"/>
          <w:color w:val="auto"/>
        </w:rPr>
        <w:t>24.3.1 采用争议评审的，发包人和承包人应在开工日后的28 天内或在争议发生后，协商成立争议评审组。争议评审组由有合同管理和工程实践经验的专家组成。</w:t>
      </w:r>
    </w:p>
    <w:p w14:paraId="63FFABE1">
      <w:pPr>
        <w:pStyle w:val="87"/>
        <w:spacing w:line="400" w:lineRule="exact"/>
        <w:ind w:firstLine="616" w:firstLineChars="257"/>
        <w:jc w:val="both"/>
        <w:rPr>
          <w:rFonts w:hAnsi="宋体"/>
          <w:color w:val="auto"/>
        </w:rPr>
      </w:pPr>
      <w:r>
        <w:rPr>
          <w:rFonts w:hint="eastAsia" w:hAnsi="宋体"/>
          <w:color w:val="auto"/>
        </w:rPr>
        <w:t>24.3.2 合同双方的争议，应首先由申请人向争议评审组提交一份详细的评审申请报告，并附必要的文件、图纸和证明材料，申请人还应将上述报告的副本同时提交给被申请人和监理人。</w:t>
      </w:r>
    </w:p>
    <w:p w14:paraId="740FFAF4">
      <w:pPr>
        <w:pStyle w:val="87"/>
        <w:spacing w:line="400" w:lineRule="exact"/>
        <w:ind w:firstLine="616" w:firstLineChars="257"/>
        <w:jc w:val="both"/>
        <w:rPr>
          <w:rFonts w:hAnsi="宋体"/>
          <w:color w:val="auto"/>
        </w:rPr>
      </w:pPr>
      <w:r>
        <w:rPr>
          <w:rFonts w:hint="eastAsia" w:hAnsi="宋体"/>
          <w:color w:val="auto"/>
        </w:rPr>
        <w:t>24.3.3 被申请人在收到申请人评审申请报告副本后的28 天内，向争议评审组提交一份答辩报告，并附证明材料。被申请人应将答辩报告的副本同时提交给申请人和监理人。</w:t>
      </w:r>
    </w:p>
    <w:p w14:paraId="113FA4B5">
      <w:pPr>
        <w:pStyle w:val="87"/>
        <w:spacing w:line="400" w:lineRule="exact"/>
        <w:ind w:firstLine="616" w:firstLineChars="257"/>
        <w:jc w:val="both"/>
        <w:rPr>
          <w:rFonts w:hAnsi="宋体"/>
          <w:color w:val="auto"/>
        </w:rPr>
      </w:pPr>
      <w:r>
        <w:rPr>
          <w:rFonts w:hint="eastAsia" w:hAnsi="宋体"/>
          <w:color w:val="auto"/>
        </w:rPr>
        <w:t>24.3.4 除专用合同条款另有约定外，争议评审组在收到合同双方报告后的14 天内，邀请双方代表和有关人员举行调查会，向双方调查争议细节；必要时争议评审组可要求双方进一步提供补充材料。</w:t>
      </w:r>
    </w:p>
    <w:p w14:paraId="201FEF6B">
      <w:pPr>
        <w:pStyle w:val="87"/>
        <w:spacing w:line="400" w:lineRule="exact"/>
        <w:ind w:firstLine="616" w:firstLineChars="257"/>
        <w:jc w:val="both"/>
        <w:rPr>
          <w:rFonts w:hAnsi="宋体"/>
          <w:color w:val="auto"/>
        </w:rPr>
      </w:pPr>
      <w:r>
        <w:rPr>
          <w:rFonts w:hint="eastAsia" w:hAnsi="宋体"/>
          <w:color w:val="auto"/>
        </w:rPr>
        <w:t>24.3.5 除专用合同条款另有约定外，在调查会结束后的14 天内，争议评审组应在不受任何干扰的情况下进行独立、公正的评审，作出书面评审意见，并说明理由。在争议评审期间，争议双方暂按总监理工程师的确定执行。</w:t>
      </w:r>
    </w:p>
    <w:p w14:paraId="6F261E7C">
      <w:pPr>
        <w:pStyle w:val="87"/>
        <w:spacing w:line="400" w:lineRule="exact"/>
        <w:ind w:firstLine="616" w:firstLineChars="257"/>
        <w:jc w:val="both"/>
        <w:rPr>
          <w:rFonts w:hAnsi="宋体"/>
          <w:color w:val="auto"/>
        </w:rPr>
      </w:pPr>
      <w:r>
        <w:rPr>
          <w:rFonts w:hint="eastAsia" w:hAnsi="宋体"/>
          <w:color w:val="auto"/>
        </w:rPr>
        <w:t>24.3.6 发包人和承包人接受评审意见的，由监理人根据评审意见拟定执行协议，经争议双方签字后作为合同的补充文件，并遵照执行。</w:t>
      </w:r>
    </w:p>
    <w:p w14:paraId="721F44E5">
      <w:pPr>
        <w:pStyle w:val="87"/>
        <w:spacing w:line="400" w:lineRule="exact"/>
        <w:ind w:firstLine="616" w:firstLineChars="257"/>
        <w:jc w:val="both"/>
        <w:rPr>
          <w:rFonts w:hAnsi="宋体"/>
          <w:color w:val="auto"/>
        </w:rPr>
      </w:pPr>
      <w:r>
        <w:rPr>
          <w:rFonts w:hint="eastAsia" w:hAnsi="宋体"/>
          <w:color w:val="auto"/>
        </w:rPr>
        <w:t>24.3.7 发包人或承包人不接受评审意见，并要求提交仲裁或提起诉讼的，应在收到评审意见后的14 天内将仲裁或起诉意向书面通知另一方，并抄送监理人，但在仲裁或诉讼结束前应暂按总监理工程师的确定执行。</w:t>
      </w:r>
    </w:p>
    <w:p w14:paraId="0A3C0634">
      <w:pPr>
        <w:pStyle w:val="87"/>
        <w:spacing w:line="400" w:lineRule="exact"/>
        <w:ind w:firstLine="360"/>
        <w:jc w:val="both"/>
        <w:rPr>
          <w:rFonts w:hAnsi="宋体"/>
          <w:b/>
          <w:color w:val="auto"/>
        </w:rPr>
      </w:pPr>
      <w:r>
        <w:rPr>
          <w:rFonts w:hint="eastAsia" w:hAnsi="宋体"/>
          <w:b/>
          <w:color w:val="auto"/>
        </w:rPr>
        <w:t>24.4 仲裁</w:t>
      </w:r>
    </w:p>
    <w:p w14:paraId="417ECE02">
      <w:pPr>
        <w:pStyle w:val="87"/>
        <w:spacing w:line="400" w:lineRule="exact"/>
        <w:ind w:firstLine="616" w:firstLineChars="257"/>
        <w:jc w:val="both"/>
        <w:rPr>
          <w:rFonts w:hAnsi="宋体"/>
          <w:color w:val="auto"/>
        </w:rPr>
      </w:pPr>
      <w:r>
        <w:rPr>
          <w:rFonts w:hint="eastAsia" w:hAnsi="宋体"/>
          <w:color w:val="auto"/>
        </w:rPr>
        <w:t>24.4.1 若合同双方商定直接向仲裁机构申请仲裁，应签订仲裁协议并约定仲裁机构。</w:t>
      </w:r>
    </w:p>
    <w:p w14:paraId="18A7A5BB">
      <w:pPr>
        <w:pStyle w:val="87"/>
        <w:spacing w:line="400" w:lineRule="exact"/>
        <w:ind w:firstLine="616" w:firstLineChars="257"/>
        <w:jc w:val="both"/>
        <w:rPr>
          <w:rFonts w:hAnsi="宋体"/>
          <w:color w:val="auto"/>
        </w:rPr>
      </w:pPr>
      <w:r>
        <w:rPr>
          <w:rFonts w:hint="eastAsia" w:hAnsi="宋体"/>
          <w:color w:val="auto"/>
        </w:rPr>
        <w:t>24.4.2 若合同双方未能达成仲裁协议，则本合同的仲裁条款无效，任一方均有权向人民法院提起诉讼。</w:t>
      </w:r>
    </w:p>
    <w:p w14:paraId="27160804">
      <w:pPr>
        <w:spacing w:before="312" w:beforeLines="100" w:line="400" w:lineRule="exact"/>
        <w:ind w:firstLine="560"/>
        <w:jc w:val="center"/>
        <w:rPr>
          <w:rFonts w:cs="宋体"/>
          <w:color w:val="auto"/>
          <w:sz w:val="36"/>
          <w:szCs w:val="36"/>
        </w:rPr>
      </w:pPr>
      <w:r>
        <w:rPr>
          <w:rFonts w:hint="eastAsia" w:cs="宋体"/>
          <w:color w:val="auto"/>
        </w:rPr>
        <w:br w:type="page"/>
      </w:r>
      <w:bookmarkStart w:id="1446" w:name="_Toc458599293"/>
      <w:bookmarkStart w:id="1447" w:name="_Toc31186"/>
      <w:r>
        <w:rPr>
          <w:rFonts w:hint="eastAsia" w:cs="宋体"/>
          <w:color w:val="auto"/>
          <w:sz w:val="36"/>
          <w:szCs w:val="36"/>
        </w:rPr>
        <w:t>第二节专用合同条款</w:t>
      </w:r>
      <w:bookmarkEnd w:id="1446"/>
      <w:bookmarkEnd w:id="1447"/>
    </w:p>
    <w:p w14:paraId="478459FF">
      <w:pPr>
        <w:spacing w:before="312" w:beforeLines="100" w:line="400" w:lineRule="exact"/>
        <w:ind w:firstLine="560"/>
        <w:rPr>
          <w:rFonts w:cs="宋体"/>
          <w:color w:val="auto"/>
        </w:rPr>
      </w:pPr>
      <w:bookmarkStart w:id="1448" w:name="_Toc187846018"/>
      <w:bookmarkStart w:id="1449" w:name="_Toc189297960"/>
      <w:r>
        <w:rPr>
          <w:rFonts w:hint="eastAsia" w:cs="宋体"/>
          <w:color w:val="auto"/>
        </w:rPr>
        <w:t>专用合同条款中的各条款是补充和修改通用合同条款中条款号相同的条款或当需要时增加新的条款，两者应对照阅读，一旦出现矛盾或不一致，则以专用合同条款为准，通用合同条款中未补充和修改的部分仍有效。</w:t>
      </w:r>
    </w:p>
    <w:p w14:paraId="7BEA0601">
      <w:pPr>
        <w:pStyle w:val="180"/>
        <w:spacing w:before="100" w:after="100" w:line="400" w:lineRule="exact"/>
        <w:ind w:firstLine="643"/>
        <w:jc w:val="both"/>
        <w:rPr>
          <w:rFonts w:hAnsi="宋体" w:cs="宋体"/>
          <w:b/>
          <w:color w:val="auto"/>
          <w:sz w:val="32"/>
          <w:szCs w:val="32"/>
        </w:rPr>
      </w:pPr>
      <w:bookmarkStart w:id="1450" w:name="_Toc208550944"/>
      <w:bookmarkStart w:id="1451" w:name="_Toc41124486"/>
      <w:bookmarkStart w:id="1452" w:name="_Toc281292245"/>
      <w:bookmarkStart w:id="1453" w:name="_Toc316471035"/>
      <w:bookmarkStart w:id="1454" w:name="_Toc208739061"/>
      <w:bookmarkStart w:id="1455" w:name="_Toc217034867"/>
      <w:bookmarkStart w:id="1456" w:name="_Toc284248363"/>
      <w:bookmarkStart w:id="1457" w:name="_Toc345155358"/>
      <w:bookmarkStart w:id="1458" w:name="_Toc208117574"/>
      <w:bookmarkStart w:id="1459" w:name="_Toc211678429"/>
      <w:bookmarkStart w:id="1460" w:name="_Toc299349192"/>
      <w:bookmarkStart w:id="1461" w:name="_Toc217038018"/>
      <w:bookmarkStart w:id="1462" w:name="_Toc230590174"/>
      <w:bookmarkStart w:id="1463" w:name="_Toc234656787"/>
      <w:bookmarkStart w:id="1464" w:name="_Toc436998804"/>
      <w:bookmarkStart w:id="1465" w:name="_Toc373851222"/>
      <w:bookmarkStart w:id="1466" w:name="_Toc280710342"/>
      <w:bookmarkStart w:id="1467" w:name="_Toc373850697"/>
      <w:bookmarkStart w:id="1468" w:name="_Toc436133254"/>
      <w:bookmarkStart w:id="1469" w:name="_Toc306620363"/>
      <w:bookmarkStart w:id="1470" w:name="_Toc217297736"/>
      <w:bookmarkStart w:id="1471" w:name="_Toc217215141"/>
      <w:bookmarkStart w:id="1472" w:name="_Toc222304218"/>
      <w:bookmarkStart w:id="1473" w:name="_Toc217277536"/>
      <w:bookmarkStart w:id="1474" w:name="_Toc289938977"/>
      <w:bookmarkStart w:id="1475" w:name="_Toc229474549"/>
      <w:bookmarkStart w:id="1476" w:name="_Toc436309611"/>
      <w:bookmarkStart w:id="1477" w:name="_Toc274307431"/>
      <w:bookmarkStart w:id="1478" w:name="_Toc208637970"/>
      <w:bookmarkStart w:id="1479" w:name="_Toc229474965"/>
      <w:bookmarkStart w:id="1480" w:name="_Toc231027094"/>
      <w:bookmarkStart w:id="1481" w:name="_Toc439772717"/>
      <w:bookmarkStart w:id="1482" w:name="_Toc224007969"/>
      <w:bookmarkStart w:id="1483" w:name="_Toc335832994"/>
      <w:bookmarkStart w:id="1484" w:name="_Toc281740668"/>
      <w:bookmarkStart w:id="1485" w:name="_Toc445105553"/>
      <w:bookmarkStart w:id="1486" w:name="_Toc436309963"/>
      <w:bookmarkStart w:id="1487" w:name="_Toc298940284"/>
      <w:bookmarkStart w:id="1488" w:name="_Toc211744116"/>
      <w:bookmarkStart w:id="1489" w:name="_Toc342034772"/>
      <w:bookmarkStart w:id="1490" w:name="_Toc223755276"/>
      <w:bookmarkStart w:id="1491" w:name="_Toc222632682"/>
      <w:bookmarkStart w:id="1492" w:name="_Toc207789611"/>
      <w:bookmarkStart w:id="1493" w:name="_Toc199256757"/>
      <w:bookmarkStart w:id="1494" w:name="_Toc274724458"/>
      <w:bookmarkStart w:id="1495" w:name="_Toc345316756"/>
      <w:r>
        <w:rPr>
          <w:rFonts w:hint="eastAsia" w:hAnsi="宋体" w:cs="宋体"/>
          <w:b/>
          <w:color w:val="auto"/>
          <w:sz w:val="32"/>
          <w:szCs w:val="32"/>
        </w:rPr>
        <w:t>1. 一般约定</w:t>
      </w:r>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p>
    <w:p w14:paraId="18429C15">
      <w:pPr>
        <w:pStyle w:val="199"/>
        <w:spacing w:line="400" w:lineRule="exact"/>
        <w:ind w:firstLine="542" w:firstLineChars="225"/>
        <w:jc w:val="both"/>
        <w:rPr>
          <w:rFonts w:hAnsi="宋体" w:cs="宋体"/>
          <w:b/>
          <w:color w:val="auto"/>
        </w:rPr>
      </w:pPr>
      <w:r>
        <w:rPr>
          <w:rFonts w:hint="eastAsia" w:hAnsi="宋体" w:cs="宋体"/>
          <w:b/>
          <w:color w:val="auto"/>
        </w:rPr>
        <w:t>1.1.2 合同当事人和人员</w:t>
      </w:r>
    </w:p>
    <w:p w14:paraId="323CCAD2">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1.1.2.2 发包人：</w:t>
      </w:r>
    </w:p>
    <w:p w14:paraId="3CC3BAEF">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1.1.2.3 承包人：（签约后填入承包人的名称）</w:t>
      </w:r>
    </w:p>
    <w:p w14:paraId="5D10CC0A">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1.1.2.6 监理人：招标人通过招标确定。</w:t>
      </w:r>
    </w:p>
    <w:p w14:paraId="15A8291E">
      <w:pPr>
        <w:pStyle w:val="199"/>
        <w:spacing w:line="400" w:lineRule="exact"/>
        <w:ind w:firstLine="542" w:firstLineChars="225"/>
        <w:jc w:val="both"/>
        <w:rPr>
          <w:rFonts w:hAnsi="宋体" w:cs="宋体"/>
          <w:b/>
          <w:color w:val="auto"/>
        </w:rPr>
      </w:pPr>
      <w:r>
        <w:rPr>
          <w:rFonts w:hint="eastAsia" w:hAnsi="宋体" w:cs="宋体"/>
          <w:b/>
          <w:color w:val="auto"/>
        </w:rPr>
        <w:t>1.1.3 工程和设备</w:t>
      </w:r>
    </w:p>
    <w:p w14:paraId="51F045BA">
      <w:pPr>
        <w:spacing w:line="400" w:lineRule="exact"/>
        <w:ind w:firstLine="630" w:firstLineChars="225"/>
        <w:rPr>
          <w:rFonts w:cs="宋体"/>
          <w:color w:val="auto"/>
        </w:rPr>
      </w:pPr>
      <w:r>
        <w:rPr>
          <w:rFonts w:hint="eastAsia" w:cs="宋体"/>
          <w:color w:val="auto"/>
        </w:rPr>
        <w:t xml:space="preserve">1.1.3.4 </w:t>
      </w:r>
      <w:r>
        <w:rPr>
          <w:rFonts w:hint="eastAsia" w:eastAsia="宋体" w:cs="宋体"/>
          <w:color w:val="auto"/>
          <w:sz w:val="21"/>
          <w:szCs w:val="24"/>
        </w:rPr>
        <w:t>单位工程：由发包人委托监理人，根据本合同工程内容按《水利水电工程施工质量评定规程》及有关规定，进行工程质量评定项目划分并报本工程质量监督部门认定的单位工程。</w:t>
      </w:r>
    </w:p>
    <w:p w14:paraId="1112456A">
      <w:pPr>
        <w:pStyle w:val="199"/>
        <w:spacing w:line="400" w:lineRule="exact"/>
        <w:ind w:firstLine="542" w:firstLineChars="225"/>
        <w:jc w:val="both"/>
        <w:rPr>
          <w:rFonts w:hAnsi="宋体" w:cs="宋体"/>
          <w:b/>
          <w:color w:val="auto"/>
        </w:rPr>
      </w:pPr>
      <w:bookmarkStart w:id="1496" w:name="_Toc222632683"/>
      <w:bookmarkStart w:id="1497" w:name="_Toc229474966"/>
      <w:bookmarkStart w:id="1498" w:name="_Toc229474550"/>
      <w:bookmarkStart w:id="1499" w:name="_Toc230590175"/>
      <w:bookmarkStart w:id="1500" w:name="_Toc222304219"/>
      <w:bookmarkStart w:id="1501" w:name="_Toc224007970"/>
      <w:bookmarkStart w:id="1502" w:name="_Toc231027095"/>
      <w:bookmarkStart w:id="1503" w:name="_Toc234656788"/>
      <w:bookmarkStart w:id="1504" w:name="_Toc223755277"/>
      <w:r>
        <w:rPr>
          <w:rFonts w:hint="eastAsia" w:hAnsi="宋体" w:cs="宋体"/>
          <w:b/>
          <w:color w:val="auto"/>
        </w:rPr>
        <w:t>1.1.4 日期</w:t>
      </w:r>
    </w:p>
    <w:p w14:paraId="6402E96C">
      <w:pPr>
        <w:spacing w:line="400" w:lineRule="exact"/>
        <w:ind w:firstLine="562"/>
        <w:rPr>
          <w:rFonts w:cs="宋体"/>
          <w:color w:val="auto"/>
          <w:szCs w:val="21"/>
        </w:rPr>
      </w:pPr>
      <w:r>
        <w:rPr>
          <w:rFonts w:hint="eastAsia" w:cs="宋体"/>
          <w:b/>
          <w:color w:val="auto"/>
        </w:rPr>
        <w:t>1.1.4.1 工期：</w:t>
      </w:r>
      <w:bookmarkStart w:id="1505" w:name="_Toc373850698"/>
      <w:bookmarkStart w:id="1506" w:name="_Toc345155359"/>
      <w:bookmarkStart w:id="1507" w:name="_Toc298940285"/>
      <w:bookmarkStart w:id="1508" w:name="_Toc281740669"/>
      <w:bookmarkStart w:id="1509" w:name="_Toc299349193"/>
      <w:bookmarkStart w:id="1510" w:name="_Toc436309964"/>
      <w:bookmarkStart w:id="1511" w:name="_Toc306620364"/>
      <w:bookmarkStart w:id="1512" w:name="_Toc439772718"/>
      <w:bookmarkStart w:id="1513" w:name="_Toc373851223"/>
      <w:bookmarkStart w:id="1514" w:name="_Toc436998805"/>
      <w:bookmarkStart w:id="1515" w:name="_Toc281292246"/>
      <w:bookmarkStart w:id="1516" w:name="_Toc284248364"/>
      <w:bookmarkStart w:id="1517" w:name="_Toc436133255"/>
      <w:bookmarkStart w:id="1518" w:name="_Toc436309612"/>
      <w:bookmarkStart w:id="1519" w:name="_Toc289938978"/>
      <w:bookmarkStart w:id="1520" w:name="_Toc342034773"/>
      <w:bookmarkStart w:id="1521" w:name="_Toc274724459"/>
      <w:bookmarkStart w:id="1522" w:name="_Toc274307432"/>
      <w:bookmarkStart w:id="1523" w:name="_Toc335832995"/>
      <w:bookmarkStart w:id="1524" w:name="_Toc345316757"/>
      <w:bookmarkStart w:id="1525" w:name="_Toc316471036"/>
      <w:bookmarkStart w:id="1526" w:name="_Toc280710343"/>
      <w:bookmarkStart w:id="1527" w:name="_Toc445105554"/>
      <w:r>
        <w:rPr>
          <w:rFonts w:hint="eastAsia" w:cs="宋体"/>
          <w:color w:val="auto"/>
          <w:szCs w:val="21"/>
        </w:rPr>
        <w:t>工期：天</w:t>
      </w:r>
    </w:p>
    <w:p w14:paraId="64D99AD5">
      <w:pPr>
        <w:spacing w:line="400" w:lineRule="exact"/>
        <w:ind w:firstLine="1960" w:firstLineChars="700"/>
        <w:rPr>
          <w:rFonts w:cs="宋体"/>
          <w:color w:val="auto"/>
          <w:szCs w:val="21"/>
        </w:rPr>
      </w:pPr>
      <w:r>
        <w:rPr>
          <w:rFonts w:hint="eastAsia" w:cs="宋体"/>
          <w:color w:val="auto"/>
          <w:szCs w:val="21"/>
        </w:rPr>
        <w:t>计划开工日期：年月日</w:t>
      </w:r>
    </w:p>
    <w:p w14:paraId="490C3B16">
      <w:pPr>
        <w:spacing w:line="400" w:lineRule="exact"/>
        <w:ind w:firstLine="1960" w:firstLineChars="700"/>
        <w:rPr>
          <w:rFonts w:cs="宋体"/>
          <w:color w:val="auto"/>
          <w:szCs w:val="21"/>
        </w:rPr>
      </w:pPr>
      <w:r>
        <w:rPr>
          <w:rFonts w:hint="eastAsia" w:cs="宋体"/>
          <w:color w:val="auto"/>
          <w:szCs w:val="21"/>
        </w:rPr>
        <w:t>计划竣工日期：年月日</w:t>
      </w:r>
    </w:p>
    <w:p w14:paraId="0BF50BC0">
      <w:pPr>
        <w:widowControl/>
        <w:spacing w:line="400" w:lineRule="exact"/>
        <w:ind w:firstLine="703" w:firstLineChars="250"/>
        <w:rPr>
          <w:rFonts w:cs="宋体"/>
          <w:b/>
          <w:color w:val="auto"/>
        </w:rPr>
      </w:pPr>
    </w:p>
    <w:p w14:paraId="4C994049">
      <w:pPr>
        <w:widowControl/>
        <w:spacing w:line="400" w:lineRule="exact"/>
        <w:ind w:firstLine="703" w:firstLineChars="250"/>
        <w:rPr>
          <w:rFonts w:cs="宋体"/>
          <w:b/>
          <w:color w:val="auto"/>
        </w:rPr>
      </w:pPr>
      <w:r>
        <w:rPr>
          <w:rFonts w:hint="eastAsia" w:cs="宋体"/>
          <w:b/>
          <w:color w:val="auto"/>
        </w:rPr>
        <w:t>1.1.4.2 缺陷责任期（工程质量保修期）：</w:t>
      </w:r>
      <w:r>
        <w:rPr>
          <w:rFonts w:hint="eastAsia" w:cs="宋体"/>
          <w:b/>
          <w:color w:val="auto"/>
          <w:u w:val="single"/>
        </w:rPr>
        <w:t>1年</w:t>
      </w:r>
      <w:r>
        <w:rPr>
          <w:rFonts w:hint="eastAsia" w:cs="宋体"/>
          <w:b/>
          <w:color w:val="auto"/>
        </w:rPr>
        <w:t>。</w:t>
      </w:r>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p>
    <w:bookmarkEnd w:id="1496"/>
    <w:bookmarkEnd w:id="1497"/>
    <w:bookmarkEnd w:id="1498"/>
    <w:bookmarkEnd w:id="1499"/>
    <w:bookmarkEnd w:id="1500"/>
    <w:bookmarkEnd w:id="1501"/>
    <w:bookmarkEnd w:id="1502"/>
    <w:bookmarkEnd w:id="1503"/>
    <w:bookmarkEnd w:id="1504"/>
    <w:p w14:paraId="0787C65B">
      <w:pPr>
        <w:pStyle w:val="180"/>
        <w:spacing w:after="0" w:line="400" w:lineRule="exact"/>
        <w:ind w:firstLine="562"/>
        <w:jc w:val="both"/>
        <w:rPr>
          <w:rFonts w:hAnsi="宋体" w:cs="宋体"/>
          <w:b/>
          <w:color w:val="auto"/>
        </w:rPr>
      </w:pPr>
      <w:bookmarkStart w:id="1528" w:name="_Toc280710344"/>
      <w:bookmarkStart w:id="1529" w:name="_Toc281740670"/>
      <w:bookmarkStart w:id="1530" w:name="_Toc345155360"/>
      <w:bookmarkStart w:id="1531" w:name="_Toc274724460"/>
      <w:bookmarkStart w:id="1532" w:name="_Toc445105555"/>
      <w:bookmarkStart w:id="1533" w:name="_Toc316471037"/>
      <w:bookmarkStart w:id="1534" w:name="_Toc436133256"/>
      <w:bookmarkStart w:id="1535" w:name="_Toc269117534"/>
      <w:bookmarkStart w:id="1536" w:name="_Toc373850700"/>
      <w:bookmarkStart w:id="1537" w:name="_Toc335832996"/>
      <w:bookmarkStart w:id="1538" w:name="_Toc262655997"/>
      <w:bookmarkStart w:id="1539" w:name="_Toc436998806"/>
      <w:bookmarkStart w:id="1540" w:name="_Toc299349194"/>
      <w:bookmarkStart w:id="1541" w:name="_Toc345316758"/>
      <w:bookmarkStart w:id="1542" w:name="_Toc342034774"/>
      <w:bookmarkStart w:id="1543" w:name="_Toc262655470"/>
      <w:bookmarkStart w:id="1544" w:name="_Toc436309965"/>
      <w:bookmarkStart w:id="1545" w:name="_Toc284248365"/>
      <w:bookmarkStart w:id="1546" w:name="_Toc281292247"/>
      <w:bookmarkStart w:id="1547" w:name="_Toc436309613"/>
      <w:bookmarkStart w:id="1548" w:name="_Toc274307433"/>
      <w:bookmarkStart w:id="1549" w:name="_Toc298940286"/>
      <w:bookmarkStart w:id="1550" w:name="_Toc289938979"/>
      <w:bookmarkStart w:id="1551" w:name="_Toc373851225"/>
      <w:bookmarkStart w:id="1552" w:name="_Toc439772719"/>
      <w:bookmarkStart w:id="1553" w:name="_Toc306620365"/>
      <w:bookmarkStart w:id="1554" w:name="_Toc265480192"/>
      <w:bookmarkStart w:id="1555" w:name="_Toc219172360"/>
      <w:bookmarkStart w:id="1556" w:name="_Toc257202856"/>
      <w:bookmarkStart w:id="1557" w:name="_Toc249848973"/>
      <w:bookmarkStart w:id="1558" w:name="_Toc200183058"/>
      <w:bookmarkStart w:id="1559" w:name="_Toc248294444"/>
      <w:bookmarkStart w:id="1560" w:name="_Toc255470065"/>
      <w:bookmarkStart w:id="1561" w:name="_Toc209862353"/>
      <w:bookmarkStart w:id="1562" w:name="_Toc255741952"/>
      <w:bookmarkStart w:id="1563" w:name="_Toc215805074"/>
      <w:bookmarkStart w:id="1564" w:name="_Toc215561231"/>
      <w:bookmarkStart w:id="1565" w:name="_Toc206485092"/>
      <w:bookmarkStart w:id="1566" w:name="_Toc245110761"/>
      <w:bookmarkStart w:id="1567" w:name="_Toc222804547"/>
      <w:bookmarkStart w:id="1568" w:name="_Toc254774432"/>
      <w:bookmarkStart w:id="1569" w:name="_Toc206830044"/>
      <w:bookmarkStart w:id="1570" w:name="_Toc206384863"/>
      <w:bookmarkStart w:id="1571" w:name="_Toc255470288"/>
      <w:bookmarkStart w:id="1572" w:name="_Toc211175355"/>
      <w:bookmarkStart w:id="1573" w:name="_Toc215556213"/>
      <w:bookmarkStart w:id="1574" w:name="_Toc208734431"/>
      <w:bookmarkStart w:id="1575" w:name="_Toc227658521"/>
      <w:bookmarkStart w:id="1576" w:name="_Toc214355694"/>
      <w:r>
        <w:rPr>
          <w:rFonts w:hint="eastAsia" w:hAnsi="宋体" w:cs="宋体"/>
          <w:b/>
          <w:color w:val="auto"/>
        </w:rPr>
        <w:t>1.7 联络</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10E3672B">
      <w:pPr>
        <w:pStyle w:val="180"/>
        <w:spacing w:after="0" w:line="400" w:lineRule="exact"/>
        <w:ind w:firstLine="540" w:firstLineChars="224"/>
        <w:jc w:val="both"/>
        <w:rPr>
          <w:rFonts w:ascii="Times New Roman" w:cs="宋体"/>
          <w:color w:val="auto"/>
          <w:kern w:val="2"/>
          <w:sz w:val="21"/>
        </w:rPr>
      </w:pPr>
      <w:bookmarkStart w:id="1577" w:name="_Toc260649047"/>
      <w:bookmarkStart w:id="1578" w:name="_Toc284248366"/>
      <w:bookmarkStart w:id="1579" w:name="_Toc436998807"/>
      <w:bookmarkStart w:id="1580" w:name="_Toc260229992"/>
      <w:bookmarkStart w:id="1581" w:name="_Toc306620366"/>
      <w:bookmarkStart w:id="1582" w:name="_Toc289938980"/>
      <w:bookmarkStart w:id="1583" w:name="_Toc298940287"/>
      <w:bookmarkStart w:id="1584" w:name="_Toc316471038"/>
      <w:bookmarkStart w:id="1585" w:name="_Toc260230319"/>
      <w:bookmarkStart w:id="1586" w:name="_Toc436133257"/>
      <w:bookmarkStart w:id="1587" w:name="_Toc262655998"/>
      <w:bookmarkStart w:id="1588" w:name="_Toc345316759"/>
      <w:bookmarkStart w:id="1589" w:name="_Toc274724461"/>
      <w:bookmarkStart w:id="1590" w:name="_Toc274307434"/>
      <w:bookmarkStart w:id="1591" w:name="_Toc439772720"/>
      <w:bookmarkStart w:id="1592" w:name="_Toc445105556"/>
      <w:bookmarkStart w:id="1593" w:name="_Toc280710345"/>
      <w:bookmarkStart w:id="1594" w:name="_Toc335832997"/>
      <w:bookmarkStart w:id="1595" w:name="_Toc436309614"/>
      <w:bookmarkStart w:id="1596" w:name="_Toc373851226"/>
      <w:bookmarkStart w:id="1597" w:name="_Toc281292248"/>
      <w:bookmarkStart w:id="1598" w:name="_Toc260994471"/>
      <w:bookmarkStart w:id="1599" w:name="_Toc299349195"/>
      <w:bookmarkStart w:id="1600" w:name="_Toc373850701"/>
      <w:bookmarkStart w:id="1601" w:name="_Toc342034775"/>
      <w:bookmarkStart w:id="1602" w:name="_Toc345155361"/>
      <w:bookmarkStart w:id="1603" w:name="_Toc281740671"/>
      <w:bookmarkStart w:id="1604" w:name="_Toc436309966"/>
      <w:bookmarkStart w:id="1605" w:name="_Toc262655471"/>
      <w:bookmarkStart w:id="1606" w:name="_Toc265480193"/>
      <w:bookmarkStart w:id="1607" w:name="_Toc269117535"/>
      <w:r>
        <w:rPr>
          <w:rFonts w:hint="eastAsia" w:hAnsi="宋体" w:cs="宋体"/>
          <w:b/>
          <w:color w:val="auto"/>
        </w:rPr>
        <w:t xml:space="preserve">1.7.2 </w:t>
      </w:r>
      <w:r>
        <w:rPr>
          <w:rFonts w:hint="eastAsia" w:ascii="Times New Roman" w:cs="宋体"/>
          <w:color w:val="auto"/>
          <w:kern w:val="2"/>
          <w:sz w:val="21"/>
        </w:rPr>
        <w:t>来往函件均应按技术标准和要求(合同技术条款)约定的期限送达工地监理机构驻地。</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0AD9D071">
      <w:pPr>
        <w:pStyle w:val="180"/>
        <w:spacing w:after="0" w:line="400" w:lineRule="exact"/>
        <w:ind w:firstLine="562"/>
        <w:jc w:val="both"/>
        <w:rPr>
          <w:rFonts w:hAnsi="宋体" w:cs="宋体"/>
          <w:b/>
          <w:color w:val="auto"/>
        </w:rPr>
      </w:pPr>
      <w:bookmarkStart w:id="1608" w:name="_Toc373850702"/>
      <w:bookmarkStart w:id="1609" w:name="_Toc281740672"/>
      <w:bookmarkStart w:id="1610" w:name="_Toc342034776"/>
      <w:bookmarkStart w:id="1611" w:name="_Toc274724462"/>
      <w:bookmarkStart w:id="1612" w:name="_Toc345316760"/>
      <w:bookmarkStart w:id="1613" w:name="_Toc262655999"/>
      <w:bookmarkStart w:id="1614" w:name="_Toc289938981"/>
      <w:bookmarkStart w:id="1615" w:name="_Toc299349196"/>
      <w:bookmarkStart w:id="1616" w:name="_Toc281292249"/>
      <w:bookmarkStart w:id="1617" w:name="_Toc316471039"/>
      <w:bookmarkStart w:id="1618" w:name="_Toc306620367"/>
      <w:bookmarkStart w:id="1619" w:name="_Toc439772721"/>
      <w:bookmarkStart w:id="1620" w:name="_Toc260229993"/>
      <w:bookmarkStart w:id="1621" w:name="_Toc436309615"/>
      <w:bookmarkStart w:id="1622" w:name="_Toc284248367"/>
      <w:bookmarkStart w:id="1623" w:name="_Toc436998808"/>
      <w:bookmarkStart w:id="1624" w:name="_Toc445105557"/>
      <w:bookmarkStart w:id="1625" w:name="_Toc436133258"/>
      <w:bookmarkStart w:id="1626" w:name="_Toc335832998"/>
      <w:bookmarkStart w:id="1627" w:name="_Toc280710346"/>
      <w:bookmarkStart w:id="1628" w:name="_Toc260649048"/>
      <w:bookmarkStart w:id="1629" w:name="_Toc345155362"/>
      <w:bookmarkStart w:id="1630" w:name="_Toc265480194"/>
      <w:bookmarkStart w:id="1631" w:name="_Toc373851227"/>
      <w:bookmarkStart w:id="1632" w:name="_Toc262655472"/>
      <w:bookmarkStart w:id="1633" w:name="_Toc436309967"/>
      <w:bookmarkStart w:id="1634" w:name="_Toc298940288"/>
      <w:bookmarkStart w:id="1635" w:name="_Toc269117536"/>
      <w:bookmarkStart w:id="1636" w:name="_Toc274307435"/>
      <w:bookmarkStart w:id="1637" w:name="_Toc260230320"/>
      <w:bookmarkStart w:id="1638" w:name="_Toc260994472"/>
      <w:r>
        <w:rPr>
          <w:rFonts w:hint="eastAsia" w:hAnsi="宋体" w:cs="宋体"/>
          <w:b/>
          <w:color w:val="auto"/>
        </w:rPr>
        <w:t>1.8 转让</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030ADB96">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未经发包人批准，不允许全部或部分转移合同义务。</w:t>
      </w:r>
    </w:p>
    <w:p w14:paraId="5135D94B">
      <w:pPr>
        <w:pStyle w:val="180"/>
        <w:spacing w:before="100" w:after="100" w:line="400" w:lineRule="exact"/>
        <w:ind w:firstLine="643"/>
        <w:jc w:val="both"/>
        <w:rPr>
          <w:rFonts w:hAnsi="宋体" w:cs="宋体"/>
          <w:b/>
          <w:color w:val="auto"/>
          <w:sz w:val="32"/>
          <w:szCs w:val="32"/>
        </w:rPr>
      </w:pPr>
      <w:bookmarkStart w:id="1639" w:name="_Toc436309968"/>
      <w:bookmarkStart w:id="1640" w:name="_Toc299349197"/>
      <w:bookmarkStart w:id="1641" w:name="_Toc345316761"/>
      <w:bookmarkStart w:id="1642" w:name="_Toc281292250"/>
      <w:bookmarkStart w:id="1643" w:name="_Toc335832999"/>
      <w:bookmarkStart w:id="1644" w:name="_Toc281740673"/>
      <w:bookmarkStart w:id="1645" w:name="_Toc289938982"/>
      <w:bookmarkStart w:id="1646" w:name="_Toc284248368"/>
      <w:bookmarkStart w:id="1647" w:name="_Toc260994473"/>
      <w:bookmarkStart w:id="1648" w:name="_Toc274307436"/>
      <w:bookmarkStart w:id="1649" w:name="_Toc445105558"/>
      <w:bookmarkStart w:id="1650" w:name="_Toc255741953"/>
      <w:bookmarkStart w:id="1651" w:name="_Toc260230321"/>
      <w:bookmarkStart w:id="1652" w:name="_Toc436998809"/>
      <w:bookmarkStart w:id="1653" w:name="_Toc298940289"/>
      <w:bookmarkStart w:id="1654" w:name="_Toc260229994"/>
      <w:bookmarkStart w:id="1655" w:name="_Toc262656000"/>
      <w:bookmarkStart w:id="1656" w:name="_Toc373850703"/>
      <w:bookmarkStart w:id="1657" w:name="_Toc316471040"/>
      <w:bookmarkStart w:id="1658" w:name="_Toc255470289"/>
      <w:bookmarkStart w:id="1659" w:name="_Toc262655473"/>
      <w:bookmarkStart w:id="1660" w:name="_Toc257202857"/>
      <w:bookmarkStart w:id="1661" w:name="_Toc255470066"/>
      <w:bookmarkStart w:id="1662" w:name="_Toc373851228"/>
      <w:bookmarkStart w:id="1663" w:name="_Toc274724463"/>
      <w:bookmarkStart w:id="1664" w:name="_Toc306620368"/>
      <w:bookmarkStart w:id="1665" w:name="_Toc439772722"/>
      <w:bookmarkStart w:id="1666" w:name="_Toc265480195"/>
      <w:bookmarkStart w:id="1667" w:name="_Toc436133259"/>
      <w:bookmarkStart w:id="1668" w:name="_Toc269117538"/>
      <w:bookmarkStart w:id="1669" w:name="_Toc342034777"/>
      <w:bookmarkStart w:id="1670" w:name="_Toc345155363"/>
      <w:bookmarkStart w:id="1671" w:name="_Toc280710347"/>
      <w:bookmarkStart w:id="1672" w:name="_Toc436309616"/>
      <w:bookmarkStart w:id="1673" w:name="_Toc260649049"/>
      <w:bookmarkStart w:id="1674" w:name="_Toc189297961"/>
      <w:bookmarkStart w:id="1675" w:name="_Toc187846019"/>
      <w:r>
        <w:rPr>
          <w:rFonts w:hint="eastAsia" w:hAnsi="宋体" w:cs="宋体"/>
          <w:b/>
          <w:color w:val="auto"/>
          <w:sz w:val="32"/>
          <w:szCs w:val="32"/>
        </w:rPr>
        <w:t>2 发包人义务</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p>
    <w:p w14:paraId="7714A7E4">
      <w:pPr>
        <w:pStyle w:val="180"/>
        <w:spacing w:after="0" w:line="400" w:lineRule="exact"/>
        <w:ind w:firstLine="562"/>
        <w:jc w:val="both"/>
        <w:rPr>
          <w:rFonts w:hAnsi="宋体" w:cs="宋体"/>
          <w:b/>
          <w:color w:val="auto"/>
        </w:rPr>
      </w:pPr>
      <w:bookmarkStart w:id="1676" w:name="_Toc342034778"/>
      <w:bookmarkStart w:id="1677" w:name="_Toc265480196"/>
      <w:bookmarkStart w:id="1678" w:name="_Toc260649050"/>
      <w:bookmarkStart w:id="1679" w:name="_Toc306620369"/>
      <w:bookmarkStart w:id="1680" w:name="_Toc436309969"/>
      <w:bookmarkStart w:id="1681" w:name="_Toc436133260"/>
      <w:bookmarkStart w:id="1682" w:name="_Toc299349198"/>
      <w:bookmarkStart w:id="1683" w:name="_Toc298940290"/>
      <w:bookmarkStart w:id="1684" w:name="_Toc335833000"/>
      <w:bookmarkStart w:id="1685" w:name="_Toc260230322"/>
      <w:bookmarkStart w:id="1686" w:name="_Toc284248369"/>
      <w:bookmarkStart w:id="1687" w:name="_Toc373851229"/>
      <w:bookmarkStart w:id="1688" w:name="_Toc260229995"/>
      <w:bookmarkStart w:id="1689" w:name="_Toc289938983"/>
      <w:bookmarkStart w:id="1690" w:name="_Toc345316762"/>
      <w:bookmarkStart w:id="1691" w:name="_Toc262655474"/>
      <w:bookmarkStart w:id="1692" w:name="_Toc373850704"/>
      <w:bookmarkStart w:id="1693" w:name="_Toc255470067"/>
      <w:bookmarkStart w:id="1694" w:name="_Toc280710348"/>
      <w:bookmarkStart w:id="1695" w:name="_Toc255741954"/>
      <w:bookmarkStart w:id="1696" w:name="_Toc281740674"/>
      <w:bookmarkStart w:id="1697" w:name="_Toc269117539"/>
      <w:bookmarkStart w:id="1698" w:name="_Toc316471041"/>
      <w:bookmarkStart w:id="1699" w:name="_Toc255470290"/>
      <w:bookmarkStart w:id="1700" w:name="_Toc274724464"/>
      <w:bookmarkStart w:id="1701" w:name="_Toc436998810"/>
      <w:bookmarkStart w:id="1702" w:name="_Toc260994474"/>
      <w:bookmarkStart w:id="1703" w:name="_Toc436309617"/>
      <w:bookmarkStart w:id="1704" w:name="_Toc439772723"/>
      <w:bookmarkStart w:id="1705" w:name="_Toc345155364"/>
      <w:bookmarkStart w:id="1706" w:name="_Toc262656001"/>
      <w:bookmarkStart w:id="1707" w:name="_Toc257202858"/>
      <w:bookmarkStart w:id="1708" w:name="_Toc445105559"/>
      <w:bookmarkStart w:id="1709" w:name="_Toc281292251"/>
      <w:bookmarkStart w:id="1710" w:name="_Toc274307437"/>
      <w:r>
        <w:rPr>
          <w:rFonts w:hint="eastAsia" w:hAnsi="宋体" w:cs="宋体"/>
          <w:b/>
          <w:color w:val="auto"/>
        </w:rPr>
        <w:t>2.3 提供施工场地</w:t>
      </w:r>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p>
    <w:p w14:paraId="5C5FD9FF">
      <w:pPr>
        <w:spacing w:line="400" w:lineRule="exact"/>
        <w:ind w:firstLine="562"/>
        <w:rPr>
          <w:rFonts w:cs="宋体"/>
          <w:color w:val="auto"/>
        </w:rPr>
      </w:pPr>
      <w:r>
        <w:rPr>
          <w:rFonts w:hint="eastAsia" w:cs="宋体"/>
          <w:b/>
          <w:color w:val="auto"/>
        </w:rPr>
        <w:t>2.3.2</w:t>
      </w:r>
      <w:r>
        <w:rPr>
          <w:rFonts w:hint="eastAsia" w:eastAsia="宋体" w:cs="宋体"/>
          <w:color w:val="auto"/>
          <w:sz w:val="21"/>
          <w:szCs w:val="24"/>
        </w:rPr>
        <w:t>发包人提供的施工场地范围为：</w:t>
      </w:r>
    </w:p>
    <w:p w14:paraId="37175E44">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（1）发包人提供工程范围内永久和临时用地。</w:t>
      </w:r>
    </w:p>
    <w:p w14:paraId="1D4AA9ED">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2）临时工程用地范围包括承包人驻地的办公室、食堂、宿舍、道路和机械设备停放场、材料堆放场地、弃土场、预制场、拌和场、仓库、进场临时道路、临时便道、便桥等。如承包人在发包人提供的用地范围之外另需临时用地，由承包人自行向当地政府土地管理部门申请，并办理租用手续，承包人按有关规定直接支付其费用。</w:t>
      </w:r>
    </w:p>
    <w:p w14:paraId="26D15DA6">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3）承包人在发包人提供的用地范围布置施工临时工程，原有设施的拆除、清理及所需的费用，由承包人自行解决，所需相关费用均应含入工程量清单的报价中，不再另行支付。在此范围以外以及因承包人原因导致工期延长而增加的临时用地费用，由承包人负责办理有关手续并承担相关费用，发包人给予协助。发包人有权对施工用地范围作适当的调整。</w:t>
      </w:r>
    </w:p>
    <w:p w14:paraId="4EFCEE62">
      <w:pPr>
        <w:pStyle w:val="180"/>
        <w:spacing w:before="100" w:after="100" w:line="400" w:lineRule="exact"/>
        <w:ind w:firstLine="643"/>
        <w:jc w:val="both"/>
        <w:rPr>
          <w:rFonts w:hAnsi="宋体" w:cs="宋体"/>
          <w:b/>
          <w:color w:val="auto"/>
          <w:sz w:val="32"/>
          <w:szCs w:val="32"/>
        </w:rPr>
      </w:pPr>
      <w:bookmarkStart w:id="1711" w:name="_Toc265480197"/>
      <w:bookmarkStart w:id="1712" w:name="_Toc260229996"/>
      <w:bookmarkStart w:id="1713" w:name="_Toc281292252"/>
      <w:bookmarkStart w:id="1714" w:name="_Toc298940291"/>
      <w:bookmarkStart w:id="1715" w:name="_Toc306620370"/>
      <w:bookmarkStart w:id="1716" w:name="_Toc260230323"/>
      <w:bookmarkStart w:id="1717" w:name="_Toc436309970"/>
      <w:bookmarkStart w:id="1718" w:name="_Toc316471042"/>
      <w:bookmarkStart w:id="1719" w:name="_Toc299349199"/>
      <w:bookmarkStart w:id="1720" w:name="_Toc260994475"/>
      <w:bookmarkStart w:id="1721" w:name="_Toc445105560"/>
      <w:bookmarkStart w:id="1722" w:name="_Toc280710349"/>
      <w:bookmarkStart w:id="1723" w:name="_Toc274724465"/>
      <w:bookmarkStart w:id="1724" w:name="_Toc284248370"/>
      <w:bookmarkStart w:id="1725" w:name="_Toc439772724"/>
      <w:bookmarkStart w:id="1726" w:name="_Toc436998811"/>
      <w:bookmarkStart w:id="1727" w:name="_Toc373850705"/>
      <w:bookmarkStart w:id="1728" w:name="_Toc436309618"/>
      <w:bookmarkStart w:id="1729" w:name="_Toc281740675"/>
      <w:bookmarkStart w:id="1730" w:name="_Toc260649051"/>
      <w:bookmarkStart w:id="1731" w:name="_Toc262655475"/>
      <w:bookmarkStart w:id="1732" w:name="_Toc345155365"/>
      <w:bookmarkStart w:id="1733" w:name="_Toc342034779"/>
      <w:bookmarkStart w:id="1734" w:name="_Toc262656002"/>
      <w:bookmarkStart w:id="1735" w:name="_Toc289938984"/>
      <w:bookmarkStart w:id="1736" w:name="_Toc373851230"/>
      <w:bookmarkStart w:id="1737" w:name="_Toc335833001"/>
      <w:bookmarkStart w:id="1738" w:name="_Toc345316763"/>
      <w:bookmarkStart w:id="1739" w:name="_Toc436133261"/>
      <w:bookmarkStart w:id="1740" w:name="_Toc257202859"/>
      <w:bookmarkStart w:id="1741" w:name="_Toc269117540"/>
      <w:bookmarkStart w:id="1742" w:name="_Toc274307438"/>
      <w:r>
        <w:rPr>
          <w:rFonts w:hint="eastAsia" w:hAnsi="宋体" w:cs="宋体"/>
          <w:b/>
          <w:color w:val="auto"/>
          <w:sz w:val="32"/>
          <w:szCs w:val="32"/>
        </w:rPr>
        <w:t>4. 承包人</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p>
    <w:p w14:paraId="0C524D02">
      <w:pPr>
        <w:pStyle w:val="180"/>
        <w:spacing w:after="0" w:line="400" w:lineRule="exact"/>
        <w:ind w:firstLine="562"/>
        <w:jc w:val="both"/>
        <w:rPr>
          <w:rFonts w:hAnsi="宋体" w:cs="宋体"/>
          <w:b/>
          <w:color w:val="auto"/>
        </w:rPr>
      </w:pPr>
      <w:bookmarkStart w:id="1743" w:name="_Toc255470069"/>
      <w:bookmarkStart w:id="1744" w:name="_Toc211175357"/>
      <w:bookmarkStart w:id="1745" w:name="_Toc436133262"/>
      <w:bookmarkStart w:id="1746" w:name="_Toc254774434"/>
      <w:bookmarkStart w:id="1747" w:name="_Toc257202860"/>
      <w:bookmarkStart w:id="1748" w:name="_Toc209862355"/>
      <w:bookmarkStart w:id="1749" w:name="_Toc215556215"/>
      <w:bookmarkStart w:id="1750" w:name="_Toc260994476"/>
      <w:bookmarkStart w:id="1751" w:name="_Toc255470292"/>
      <w:bookmarkStart w:id="1752" w:name="_Toc335833002"/>
      <w:bookmarkStart w:id="1753" w:name="_Toc206485094"/>
      <w:bookmarkStart w:id="1754" w:name="_Toc306620371"/>
      <w:bookmarkStart w:id="1755" w:name="_Toc260229997"/>
      <w:bookmarkStart w:id="1756" w:name="_Toc274724466"/>
      <w:bookmarkStart w:id="1757" w:name="_Toc298940292"/>
      <w:bookmarkStart w:id="1758" w:name="_Toc284248371"/>
      <w:bookmarkStart w:id="1759" w:name="_Toc439772725"/>
      <w:bookmarkStart w:id="1760" w:name="_Toc281740676"/>
      <w:bookmarkStart w:id="1761" w:name="_Toc248294446"/>
      <w:bookmarkStart w:id="1762" w:name="_Toc262656003"/>
      <w:bookmarkStart w:id="1763" w:name="_Toc299349200"/>
      <w:bookmarkStart w:id="1764" w:name="_Toc342034780"/>
      <w:bookmarkStart w:id="1765" w:name="_Toc373850706"/>
      <w:bookmarkStart w:id="1766" w:name="_Toc208734433"/>
      <w:bookmarkStart w:id="1767" w:name="_Toc260649052"/>
      <w:bookmarkStart w:id="1768" w:name="_Toc274307439"/>
      <w:bookmarkStart w:id="1769" w:name="_Toc373851231"/>
      <w:bookmarkStart w:id="1770" w:name="_Toc445105561"/>
      <w:bookmarkStart w:id="1771" w:name="_Toc289938985"/>
      <w:bookmarkStart w:id="1772" w:name="_Toc222804549"/>
      <w:bookmarkStart w:id="1773" w:name="_Toc262655476"/>
      <w:bookmarkStart w:id="1774" w:name="_Toc265480198"/>
      <w:bookmarkStart w:id="1775" w:name="_Toc316471043"/>
      <w:bookmarkStart w:id="1776" w:name="_Toc215561233"/>
      <w:bookmarkStart w:id="1777" w:name="_Toc436309971"/>
      <w:bookmarkStart w:id="1778" w:name="_Toc206384865"/>
      <w:bookmarkStart w:id="1779" w:name="_Toc280710350"/>
      <w:bookmarkStart w:id="1780" w:name="_Toc345155366"/>
      <w:bookmarkStart w:id="1781" w:name="_Toc219172362"/>
      <w:bookmarkStart w:id="1782" w:name="_Toc206830046"/>
      <w:bookmarkStart w:id="1783" w:name="_Toc200183060"/>
      <w:bookmarkStart w:id="1784" w:name="_Toc345316764"/>
      <w:bookmarkStart w:id="1785" w:name="_Toc281292253"/>
      <w:bookmarkStart w:id="1786" w:name="_Toc255741956"/>
      <w:bookmarkStart w:id="1787" w:name="_Toc245110763"/>
      <w:bookmarkStart w:id="1788" w:name="_Toc436998812"/>
      <w:bookmarkStart w:id="1789" w:name="_Toc215805076"/>
      <w:bookmarkStart w:id="1790" w:name="_Toc249848975"/>
      <w:bookmarkStart w:id="1791" w:name="_Toc214355696"/>
      <w:bookmarkStart w:id="1792" w:name="_Toc436309619"/>
      <w:bookmarkStart w:id="1793" w:name="_Toc269117541"/>
      <w:bookmarkStart w:id="1794" w:name="_Toc260230324"/>
      <w:bookmarkStart w:id="1795" w:name="_Toc227658523"/>
      <w:r>
        <w:rPr>
          <w:rFonts w:hint="eastAsia" w:hAnsi="宋体" w:cs="宋体"/>
          <w:b/>
          <w:color w:val="auto"/>
        </w:rPr>
        <w:t>4.1 承包人的一般义务</w:t>
      </w:r>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p>
    <w:p w14:paraId="2D03C184">
      <w:pPr>
        <w:pStyle w:val="180"/>
        <w:spacing w:after="0" w:line="400" w:lineRule="exact"/>
        <w:ind w:firstLine="542" w:firstLineChars="225"/>
        <w:jc w:val="both"/>
        <w:rPr>
          <w:rFonts w:hAnsi="宋体" w:cs="宋体"/>
          <w:b/>
          <w:color w:val="auto"/>
        </w:rPr>
      </w:pPr>
      <w:r>
        <w:rPr>
          <w:rFonts w:hint="eastAsia" w:hAnsi="宋体" w:cs="宋体"/>
          <w:b/>
          <w:color w:val="auto"/>
        </w:rPr>
        <w:t>4.1.10 其他义务</w:t>
      </w:r>
    </w:p>
    <w:p w14:paraId="72E89414">
      <w:pPr>
        <w:pStyle w:val="87"/>
        <w:spacing w:line="400" w:lineRule="exact"/>
        <w:ind w:firstLine="630" w:firstLineChars="300"/>
        <w:jc w:val="both"/>
        <w:rPr>
          <w:rFonts w:ascii="Times New Roman"/>
          <w:color w:val="auto"/>
          <w:kern w:val="2"/>
          <w:sz w:val="21"/>
        </w:rPr>
      </w:pPr>
      <w:bookmarkStart w:id="1796" w:name="_Toc222804550"/>
      <w:bookmarkStart w:id="1797" w:name="_Toc269117542"/>
      <w:bookmarkStart w:id="1798" w:name="_Toc206384866"/>
      <w:bookmarkStart w:id="1799" w:name="_Toc215561234"/>
      <w:bookmarkStart w:id="1800" w:name="_Toc249848976"/>
      <w:bookmarkStart w:id="1801" w:name="_Toc255470072"/>
      <w:bookmarkStart w:id="1802" w:name="_Toc209862356"/>
      <w:bookmarkStart w:id="1803" w:name="_Toc274724467"/>
      <w:bookmarkStart w:id="1804" w:name="_Toc335833008"/>
      <w:bookmarkStart w:id="1805" w:name="_Toc298940293"/>
      <w:bookmarkStart w:id="1806" w:name="_Toc200183061"/>
      <w:bookmarkStart w:id="1807" w:name="_Toc255470295"/>
      <w:bookmarkStart w:id="1808" w:name="_Toc274307440"/>
      <w:bookmarkStart w:id="1809" w:name="_Toc260994477"/>
      <w:bookmarkStart w:id="1810" w:name="_Toc206830047"/>
      <w:bookmarkStart w:id="1811" w:name="_Toc436309977"/>
      <w:bookmarkStart w:id="1812" w:name="_Toc299349201"/>
      <w:bookmarkStart w:id="1813" w:name="_Toc436133268"/>
      <w:bookmarkStart w:id="1814" w:name="_Toc281292254"/>
      <w:bookmarkStart w:id="1815" w:name="_Toc260230325"/>
      <w:bookmarkStart w:id="1816" w:name="_Toc284248372"/>
      <w:bookmarkStart w:id="1817" w:name="_Toc206485095"/>
      <w:bookmarkStart w:id="1818" w:name="_Toc345316770"/>
      <w:bookmarkStart w:id="1819" w:name="_Toc373850712"/>
      <w:bookmarkStart w:id="1820" w:name="_Toc214355697"/>
      <w:bookmarkStart w:id="1821" w:name="_Toc254774435"/>
      <w:bookmarkStart w:id="1822" w:name="_Toc289938986"/>
      <w:bookmarkStart w:id="1823" w:name="_Toc219172363"/>
      <w:bookmarkStart w:id="1824" w:name="_Toc373851237"/>
      <w:bookmarkStart w:id="1825" w:name="_Toc257202863"/>
      <w:bookmarkStart w:id="1826" w:name="_Toc211175358"/>
      <w:bookmarkStart w:id="1827" w:name="_Toc445105568"/>
      <w:bookmarkStart w:id="1828" w:name="_Toc255741959"/>
      <w:bookmarkStart w:id="1829" w:name="_Toc439772732"/>
      <w:bookmarkStart w:id="1830" w:name="_Toc260229998"/>
      <w:bookmarkStart w:id="1831" w:name="_Toc227658524"/>
      <w:bookmarkStart w:id="1832" w:name="_Toc306620377"/>
      <w:bookmarkStart w:id="1833" w:name="_Toc262656004"/>
      <w:bookmarkStart w:id="1834" w:name="_Toc208734434"/>
      <w:bookmarkStart w:id="1835" w:name="_Toc345155372"/>
      <w:bookmarkStart w:id="1836" w:name="_Toc280710351"/>
      <w:bookmarkStart w:id="1837" w:name="_Toc265480199"/>
      <w:bookmarkStart w:id="1838" w:name="_Toc215556216"/>
      <w:bookmarkStart w:id="1839" w:name="_Toc436309625"/>
      <w:bookmarkStart w:id="1840" w:name="_Toc281740677"/>
      <w:bookmarkStart w:id="1841" w:name="_Toc262655477"/>
      <w:bookmarkStart w:id="1842" w:name="_Toc342034786"/>
      <w:bookmarkStart w:id="1843" w:name="_Toc260649053"/>
      <w:bookmarkStart w:id="1844" w:name="_Toc215805077"/>
      <w:bookmarkStart w:id="1845" w:name="_Toc436998819"/>
      <w:bookmarkStart w:id="1846" w:name="_Toc245110764"/>
      <w:bookmarkStart w:id="1847" w:name="_Toc316471049"/>
      <w:bookmarkStart w:id="1848" w:name="_Toc248294447"/>
      <w:r>
        <w:rPr>
          <w:rFonts w:hint="eastAsia" w:ascii="Times New Roman"/>
          <w:color w:val="auto"/>
          <w:kern w:val="2"/>
          <w:sz w:val="21"/>
        </w:rPr>
        <w:t>本项细化为：</w:t>
      </w:r>
    </w:p>
    <w:p w14:paraId="4A4EA035">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1）承包人应严格遵守国家有关解决拖欠工程款和民工工资的法律、法规，及时支付工程中的材料、设备货款及民工工资等费用。承包人不得以任何借口拖欠材料、设备货款及民工工资等费用，如果出现此种现象，经查实后，一律通报批评并责令承包人自行组织资金迅速偿还欠款，在必要时，发包人有权从应付给承包人的工程款中代为支付其拖欠的材料、设备货款及民工工资。</w:t>
      </w:r>
    </w:p>
    <w:p w14:paraId="4C1D4C8D">
      <w:pPr>
        <w:pStyle w:val="87"/>
        <w:spacing w:line="400" w:lineRule="exact"/>
        <w:ind w:firstLine="630" w:firstLineChars="300"/>
        <w:jc w:val="both"/>
        <w:rPr>
          <w:rFonts w:ascii="Times New Roman"/>
          <w:color w:val="auto"/>
          <w:kern w:val="2"/>
          <w:sz w:val="21"/>
        </w:rPr>
      </w:pPr>
      <w:bookmarkStart w:id="1849" w:name="_Toc382481892"/>
      <w:bookmarkStart w:id="1850" w:name="_Toc439158006"/>
      <w:bookmarkStart w:id="1851" w:name="_Toc373315711"/>
      <w:bookmarkStart w:id="1852" w:name="_Toc408910407"/>
      <w:bookmarkStart w:id="1853" w:name="_Toc390438800"/>
      <w:bookmarkStart w:id="1854" w:name="_Toc23173"/>
      <w:bookmarkStart w:id="1855" w:name="_Toc408910098"/>
      <w:bookmarkStart w:id="1856" w:name="_Toc439669246"/>
      <w:bookmarkStart w:id="1857" w:name="_Toc412640844"/>
      <w:bookmarkStart w:id="1858" w:name="_Toc406059257"/>
      <w:r>
        <w:rPr>
          <w:rFonts w:hint="eastAsia" w:ascii="Times New Roman"/>
          <w:color w:val="auto"/>
          <w:kern w:val="2"/>
          <w:sz w:val="21"/>
        </w:rPr>
        <w:t>（2）承包人必须设计好施工材料卸货地点，承包人应负责施工材料的场内二次倒运等工作。</w:t>
      </w:r>
      <w:bookmarkEnd w:id="1849"/>
      <w:bookmarkEnd w:id="1850"/>
      <w:bookmarkEnd w:id="1851"/>
      <w:bookmarkEnd w:id="1852"/>
      <w:bookmarkEnd w:id="1853"/>
      <w:bookmarkEnd w:id="1854"/>
      <w:bookmarkEnd w:id="1855"/>
      <w:bookmarkEnd w:id="1856"/>
      <w:bookmarkEnd w:id="1857"/>
      <w:bookmarkEnd w:id="1858"/>
    </w:p>
    <w:p w14:paraId="1BD74C06">
      <w:pPr>
        <w:pStyle w:val="87"/>
        <w:spacing w:line="400" w:lineRule="exact"/>
        <w:ind w:firstLine="630" w:firstLineChars="300"/>
        <w:jc w:val="both"/>
        <w:rPr>
          <w:rFonts w:ascii="Times New Roman"/>
          <w:color w:val="auto"/>
          <w:kern w:val="2"/>
          <w:sz w:val="21"/>
        </w:rPr>
      </w:pPr>
      <w:bookmarkStart w:id="1859" w:name="_Toc439669247"/>
      <w:bookmarkStart w:id="1860" w:name="_Toc412640845"/>
      <w:bookmarkStart w:id="1861" w:name="_Toc439158007"/>
      <w:r>
        <w:rPr>
          <w:rFonts w:hint="eastAsia" w:ascii="Times New Roman"/>
          <w:color w:val="auto"/>
          <w:kern w:val="2"/>
          <w:sz w:val="21"/>
        </w:rPr>
        <w:t>（3）承包人在重要设备采购时应会同发包人和监理人共同考察确定供应商。</w:t>
      </w:r>
      <w:bookmarkEnd w:id="1859"/>
      <w:bookmarkEnd w:id="1860"/>
      <w:bookmarkEnd w:id="1861"/>
    </w:p>
    <w:p w14:paraId="7659295B">
      <w:pPr>
        <w:pStyle w:val="180"/>
        <w:spacing w:after="0" w:line="400" w:lineRule="exact"/>
        <w:ind w:firstLine="562"/>
        <w:jc w:val="both"/>
        <w:rPr>
          <w:rFonts w:hAnsi="宋体" w:cs="宋体"/>
          <w:b/>
          <w:color w:val="auto"/>
        </w:rPr>
      </w:pPr>
      <w:r>
        <w:rPr>
          <w:rFonts w:hint="eastAsia" w:hAnsi="宋体" w:cs="宋体"/>
          <w:b/>
          <w:color w:val="auto"/>
        </w:rPr>
        <w:t>4.3 分包</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p>
    <w:p w14:paraId="3C826A95">
      <w:pPr>
        <w:pStyle w:val="87"/>
        <w:spacing w:line="400" w:lineRule="exact"/>
        <w:ind w:firstLine="539" w:firstLineChars="257"/>
        <w:jc w:val="both"/>
        <w:rPr>
          <w:rFonts w:ascii="Times New Roman"/>
          <w:color w:val="auto"/>
          <w:kern w:val="2"/>
          <w:sz w:val="21"/>
        </w:rPr>
      </w:pPr>
      <w:r>
        <w:rPr>
          <w:rFonts w:hint="eastAsia" w:ascii="Times New Roman"/>
          <w:color w:val="auto"/>
          <w:kern w:val="2"/>
          <w:sz w:val="21"/>
        </w:rPr>
        <w:t>4.3.2 未经发包人同意，承包人不得将工程的其他部分或工作分包给第三人。</w:t>
      </w:r>
    </w:p>
    <w:p w14:paraId="6AFC46FF">
      <w:pPr>
        <w:pStyle w:val="180"/>
        <w:spacing w:after="0" w:line="400" w:lineRule="exact"/>
        <w:ind w:firstLine="562"/>
        <w:jc w:val="both"/>
        <w:rPr>
          <w:rFonts w:hAnsi="宋体" w:cs="宋体"/>
          <w:b/>
          <w:color w:val="auto"/>
        </w:rPr>
      </w:pPr>
      <w:bookmarkStart w:id="1862" w:name="_Toc439772733"/>
      <w:bookmarkStart w:id="1863" w:name="_Toc436309626"/>
      <w:bookmarkStart w:id="1864" w:name="_Toc281292255"/>
      <w:bookmarkStart w:id="1865" w:name="_Toc299349202"/>
      <w:bookmarkStart w:id="1866" w:name="_Toc222804551"/>
      <w:bookmarkStart w:id="1867" w:name="_Toc298940294"/>
      <w:bookmarkStart w:id="1868" w:name="_Toc260229999"/>
      <w:bookmarkStart w:id="1869" w:name="_Toc262656005"/>
      <w:bookmarkStart w:id="1870" w:name="_Toc257202864"/>
      <w:bookmarkStart w:id="1871" w:name="_Toc249848977"/>
      <w:bookmarkStart w:id="1872" w:name="_Toc269117543"/>
      <w:bookmarkStart w:id="1873" w:name="_Toc245110765"/>
      <w:bookmarkStart w:id="1874" w:name="_Toc227658525"/>
      <w:bookmarkStart w:id="1875" w:name="_Toc206830048"/>
      <w:bookmarkStart w:id="1876" w:name="_Toc260230326"/>
      <w:bookmarkStart w:id="1877" w:name="_Toc206384867"/>
      <w:bookmarkStart w:id="1878" w:name="_Toc209862357"/>
      <w:bookmarkStart w:id="1879" w:name="_Toc289938987"/>
      <w:bookmarkStart w:id="1880" w:name="_Toc215556217"/>
      <w:bookmarkStart w:id="1881" w:name="_Toc262655478"/>
      <w:bookmarkStart w:id="1882" w:name="_Toc211175359"/>
      <w:bookmarkStart w:id="1883" w:name="_Toc280710352"/>
      <w:bookmarkStart w:id="1884" w:name="_Toc260994478"/>
      <w:bookmarkStart w:id="1885" w:name="_Toc373851238"/>
      <w:bookmarkStart w:id="1886" w:name="_Toc335833009"/>
      <w:bookmarkStart w:id="1887" w:name="_Toc260649054"/>
      <w:bookmarkStart w:id="1888" w:name="_Toc248294448"/>
      <w:bookmarkStart w:id="1889" w:name="_Toc436133269"/>
      <w:bookmarkStart w:id="1890" w:name="_Toc255470073"/>
      <w:bookmarkStart w:id="1891" w:name="_Toc284248373"/>
      <w:bookmarkStart w:id="1892" w:name="_Toc373850713"/>
      <w:bookmarkStart w:id="1893" w:name="_Toc345155373"/>
      <w:bookmarkStart w:id="1894" w:name="_Toc306620378"/>
      <w:bookmarkStart w:id="1895" w:name="_Toc255470296"/>
      <w:bookmarkStart w:id="1896" w:name="_Toc436309978"/>
      <w:bookmarkStart w:id="1897" w:name="_Toc345316771"/>
      <w:bookmarkStart w:id="1898" w:name="_Toc316471050"/>
      <w:bookmarkStart w:id="1899" w:name="_Toc215561235"/>
      <w:bookmarkStart w:id="1900" w:name="_Toc255741960"/>
      <w:bookmarkStart w:id="1901" w:name="_Toc274307441"/>
      <w:bookmarkStart w:id="1902" w:name="_Toc265480200"/>
      <w:bookmarkStart w:id="1903" w:name="_Toc214355698"/>
      <w:bookmarkStart w:id="1904" w:name="_Toc208734435"/>
      <w:bookmarkStart w:id="1905" w:name="_Toc254774436"/>
      <w:bookmarkStart w:id="1906" w:name="_Toc219172364"/>
      <w:bookmarkStart w:id="1907" w:name="_Toc281740678"/>
      <w:bookmarkStart w:id="1908" w:name="_Toc274724468"/>
      <w:bookmarkStart w:id="1909" w:name="_Toc206485096"/>
      <w:bookmarkStart w:id="1910" w:name="_Toc200183062"/>
      <w:bookmarkStart w:id="1911" w:name="_Toc445105569"/>
      <w:bookmarkStart w:id="1912" w:name="_Toc342034787"/>
      <w:bookmarkStart w:id="1913" w:name="_Toc215805078"/>
      <w:bookmarkStart w:id="1914" w:name="_Toc436998820"/>
      <w:r>
        <w:rPr>
          <w:rFonts w:hint="eastAsia" w:hAnsi="宋体" w:cs="宋体"/>
          <w:b/>
          <w:color w:val="auto"/>
        </w:rPr>
        <w:t>4.4 联合体</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p>
    <w:p w14:paraId="5FA0AC81">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删去本款全文。</w:t>
      </w:r>
    </w:p>
    <w:p w14:paraId="6CAF1F82">
      <w:pPr>
        <w:pStyle w:val="180"/>
        <w:spacing w:after="0" w:line="400" w:lineRule="exact"/>
        <w:ind w:firstLine="562"/>
        <w:jc w:val="both"/>
        <w:rPr>
          <w:rFonts w:hAnsi="宋体" w:cs="宋体"/>
          <w:b/>
          <w:color w:val="auto"/>
        </w:rPr>
      </w:pPr>
      <w:bookmarkStart w:id="1915" w:name="_Toc373850714"/>
      <w:bookmarkStart w:id="1916" w:name="_Toc280710353"/>
      <w:bookmarkStart w:id="1917" w:name="_Toc345316772"/>
      <w:bookmarkStart w:id="1918" w:name="_Toc211175360"/>
      <w:bookmarkStart w:id="1919" w:name="_Toc265480201"/>
      <w:bookmarkStart w:id="1920" w:name="_Toc206830049"/>
      <w:bookmarkStart w:id="1921" w:name="_Toc254774437"/>
      <w:bookmarkStart w:id="1922" w:name="_Toc260994479"/>
      <w:bookmarkStart w:id="1923" w:name="_Toc436309979"/>
      <w:bookmarkStart w:id="1924" w:name="_Toc257202865"/>
      <w:bookmarkStart w:id="1925" w:name="_Toc299349203"/>
      <w:bookmarkStart w:id="1926" w:name="_Toc260649055"/>
      <w:bookmarkStart w:id="1927" w:name="_Toc255470074"/>
      <w:bookmarkStart w:id="1928" w:name="_Toc215805079"/>
      <w:bookmarkStart w:id="1929" w:name="_Toc227658526"/>
      <w:bookmarkStart w:id="1930" w:name="_Toc439772734"/>
      <w:bookmarkStart w:id="1931" w:name="_Toc208734436"/>
      <w:bookmarkStart w:id="1932" w:name="_Toc436309627"/>
      <w:bookmarkStart w:id="1933" w:name="_Toc269117544"/>
      <w:bookmarkStart w:id="1934" w:name="_Toc222804552"/>
      <w:bookmarkStart w:id="1935" w:name="_Toc436133270"/>
      <w:bookmarkStart w:id="1936" w:name="_Toc262656006"/>
      <w:bookmarkStart w:id="1937" w:name="_Toc249848978"/>
      <w:bookmarkStart w:id="1938" w:name="_Toc281292256"/>
      <w:bookmarkStart w:id="1939" w:name="_Toc335833010"/>
      <w:bookmarkStart w:id="1940" w:name="_Toc342034788"/>
      <w:bookmarkStart w:id="1941" w:name="_Toc298940295"/>
      <w:bookmarkStart w:id="1942" w:name="_Toc436998821"/>
      <w:bookmarkStart w:id="1943" w:name="_Toc316471051"/>
      <w:bookmarkStart w:id="1944" w:name="_Toc245110766"/>
      <w:bookmarkStart w:id="1945" w:name="_Toc206384868"/>
      <w:bookmarkStart w:id="1946" w:name="_Toc345155374"/>
      <w:bookmarkStart w:id="1947" w:name="_Toc255470297"/>
      <w:bookmarkStart w:id="1948" w:name="_Toc260230000"/>
      <w:bookmarkStart w:id="1949" w:name="_Toc260230327"/>
      <w:bookmarkStart w:id="1950" w:name="_Toc274307442"/>
      <w:bookmarkStart w:id="1951" w:name="_Toc306620379"/>
      <w:bookmarkStart w:id="1952" w:name="_Toc200183063"/>
      <w:bookmarkStart w:id="1953" w:name="_Toc206485097"/>
      <w:bookmarkStart w:id="1954" w:name="_Toc215561236"/>
      <w:bookmarkStart w:id="1955" w:name="_Toc274724469"/>
      <w:bookmarkStart w:id="1956" w:name="_Toc248294449"/>
      <w:bookmarkStart w:id="1957" w:name="_Toc445105570"/>
      <w:bookmarkStart w:id="1958" w:name="_Toc373851239"/>
      <w:bookmarkStart w:id="1959" w:name="_Toc289938988"/>
      <w:bookmarkStart w:id="1960" w:name="_Toc281740679"/>
      <w:bookmarkStart w:id="1961" w:name="_Toc215556218"/>
      <w:bookmarkStart w:id="1962" w:name="_Toc214355699"/>
      <w:bookmarkStart w:id="1963" w:name="_Toc255741961"/>
      <w:bookmarkStart w:id="1964" w:name="_Toc209862358"/>
      <w:bookmarkStart w:id="1965" w:name="_Toc284248374"/>
      <w:bookmarkStart w:id="1966" w:name="_Toc219172365"/>
      <w:bookmarkStart w:id="1967" w:name="_Toc262655479"/>
      <w:r>
        <w:rPr>
          <w:rFonts w:hint="eastAsia" w:hAnsi="宋体" w:cs="宋体"/>
          <w:b/>
          <w:color w:val="auto"/>
        </w:rPr>
        <w:t>4.5 承包人项目经理</w:t>
      </w:r>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p>
    <w:p w14:paraId="22A4C1C8">
      <w:pPr>
        <w:pStyle w:val="87"/>
        <w:spacing w:line="400" w:lineRule="exact"/>
        <w:ind w:firstLine="472" w:firstLineChars="225"/>
        <w:jc w:val="both"/>
        <w:rPr>
          <w:rFonts w:ascii="Times New Roman"/>
          <w:color w:val="auto"/>
          <w:kern w:val="2"/>
          <w:sz w:val="21"/>
        </w:rPr>
      </w:pPr>
      <w:r>
        <w:rPr>
          <w:rFonts w:hint="eastAsia" w:ascii="Times New Roman"/>
          <w:color w:val="auto"/>
          <w:kern w:val="2"/>
          <w:sz w:val="21"/>
        </w:rPr>
        <w:t>补充下述条款：</w:t>
      </w:r>
    </w:p>
    <w:bookmarkEnd w:id="1674"/>
    <w:bookmarkEnd w:id="1675"/>
    <w:p w14:paraId="7819D3C3">
      <w:pPr>
        <w:pStyle w:val="87"/>
        <w:spacing w:line="400" w:lineRule="exact"/>
        <w:ind w:firstLine="422"/>
        <w:jc w:val="both"/>
        <w:rPr>
          <w:rFonts w:ascii="Times New Roman"/>
          <w:color w:val="auto"/>
          <w:kern w:val="2"/>
          <w:sz w:val="21"/>
        </w:rPr>
      </w:pPr>
      <w:bookmarkStart w:id="1968" w:name="_Toc436998822"/>
      <w:bookmarkStart w:id="1969" w:name="_Toc299349204"/>
      <w:bookmarkStart w:id="1970" w:name="_Toc274724470"/>
      <w:bookmarkStart w:id="1971" w:name="_Toc227658527"/>
      <w:bookmarkStart w:id="1972" w:name="_Toc245110767"/>
      <w:bookmarkStart w:id="1973" w:name="_Toc342034789"/>
      <w:bookmarkStart w:id="1974" w:name="_Toc260994480"/>
      <w:bookmarkStart w:id="1975" w:name="_Toc281740680"/>
      <w:bookmarkStart w:id="1976" w:name="_Toc255470075"/>
      <w:bookmarkStart w:id="1977" w:name="_Toc215556219"/>
      <w:bookmarkStart w:id="1978" w:name="_Toc316471052"/>
      <w:bookmarkStart w:id="1979" w:name="_Toc335833011"/>
      <w:bookmarkStart w:id="1980" w:name="_Toc373850715"/>
      <w:bookmarkStart w:id="1981" w:name="_Toc260230001"/>
      <w:bookmarkStart w:id="1982" w:name="_Toc436309980"/>
      <w:bookmarkStart w:id="1983" w:name="_Toc260230328"/>
      <w:bookmarkStart w:id="1984" w:name="_Toc262655480"/>
      <w:bookmarkStart w:id="1985" w:name="_Toc206830050"/>
      <w:bookmarkStart w:id="1986" w:name="_Toc257202866"/>
      <w:bookmarkStart w:id="1987" w:name="_Toc281292257"/>
      <w:bookmarkStart w:id="1988" w:name="_Toc262656007"/>
      <w:bookmarkStart w:id="1989" w:name="_Toc189297962"/>
      <w:bookmarkStart w:id="1990" w:name="_Toc306620380"/>
      <w:bookmarkStart w:id="1991" w:name="_Toc209862359"/>
      <w:bookmarkStart w:id="1992" w:name="_Toc254774438"/>
      <w:bookmarkStart w:id="1993" w:name="_Toc255741962"/>
      <w:bookmarkStart w:id="1994" w:name="_Toc280710354"/>
      <w:bookmarkStart w:id="1995" w:name="_Toc265480202"/>
      <w:bookmarkStart w:id="1996" w:name="_Toc214355700"/>
      <w:bookmarkStart w:id="1997" w:name="_Toc215805080"/>
      <w:bookmarkStart w:id="1998" w:name="_Toc199842019"/>
      <w:bookmarkStart w:id="1999" w:name="_Toc208734437"/>
      <w:bookmarkStart w:id="2000" w:name="_Toc373851240"/>
      <w:bookmarkStart w:id="2001" w:name="_Toc219172366"/>
      <w:bookmarkStart w:id="2002" w:name="_Toc260649056"/>
      <w:bookmarkStart w:id="2003" w:name="_Toc199733036"/>
      <w:bookmarkStart w:id="2004" w:name="_Toc298940296"/>
      <w:bookmarkStart w:id="2005" w:name="_Toc200183064"/>
      <w:bookmarkStart w:id="2006" w:name="_Toc345155375"/>
      <w:bookmarkStart w:id="2007" w:name="_Toc187846020"/>
      <w:bookmarkStart w:id="2008" w:name="_Toc222804553"/>
      <w:bookmarkStart w:id="2009" w:name="_Toc289938989"/>
      <w:bookmarkStart w:id="2010" w:name="_Toc249848979"/>
      <w:bookmarkStart w:id="2011" w:name="_Toc436133271"/>
      <w:bookmarkStart w:id="2012" w:name="_Toc284248375"/>
      <w:bookmarkStart w:id="2013" w:name="_Toc345316773"/>
      <w:bookmarkStart w:id="2014" w:name="_Toc269117545"/>
      <w:bookmarkStart w:id="2015" w:name="_Toc255470298"/>
      <w:bookmarkStart w:id="2016" w:name="_Toc248294450"/>
      <w:bookmarkStart w:id="2017" w:name="_Toc215561237"/>
      <w:bookmarkStart w:id="2018" w:name="_Toc436309628"/>
      <w:bookmarkStart w:id="2019" w:name="_Toc206384869"/>
      <w:bookmarkStart w:id="2020" w:name="_Toc206485098"/>
      <w:bookmarkStart w:id="2021" w:name="_Toc211175361"/>
      <w:bookmarkStart w:id="2022" w:name="_Toc274307443"/>
      <w:r>
        <w:rPr>
          <w:rFonts w:hint="eastAsia" w:ascii="Times New Roman"/>
          <w:color w:val="auto"/>
          <w:kern w:val="2"/>
          <w:sz w:val="21"/>
        </w:rPr>
        <w:t>4.5.5 开工后项目经理和技术负责人每月至少应在工地工作21日，其离开工地应经发包人及监理工程师同意，其他主要人员应确保工程施工期间90%的时间在工地现场工作。每月每人在工地的时间少于上述规定的时间一天，发包人扣罚违约金￥2000.00元整。</w:t>
      </w:r>
    </w:p>
    <w:p w14:paraId="199F8035">
      <w:pPr>
        <w:pStyle w:val="87"/>
        <w:spacing w:line="400" w:lineRule="exact"/>
        <w:ind w:firstLine="422"/>
        <w:jc w:val="both"/>
        <w:rPr>
          <w:rFonts w:ascii="Times New Roman"/>
          <w:color w:val="auto"/>
          <w:kern w:val="2"/>
          <w:sz w:val="21"/>
        </w:rPr>
      </w:pPr>
      <w:r>
        <w:rPr>
          <w:rFonts w:hint="eastAsia" w:ascii="Times New Roman"/>
          <w:color w:val="auto"/>
          <w:kern w:val="2"/>
          <w:sz w:val="21"/>
        </w:rPr>
        <w:t>4.5.6 投标文件中拟定的项目经理和技术负责人一经发包人确认，将不得更换，必须按计划准时进场。确有特殊原因需更换时，若更换项目经理或技术负责人，应以文件的形式上报发包人批准，项目经理和技术负责人每更换一人次缴纳违约金￥50000.00元整。</w:t>
      </w:r>
    </w:p>
    <w:p w14:paraId="73BE0048">
      <w:pPr>
        <w:pStyle w:val="87"/>
        <w:spacing w:line="400" w:lineRule="exact"/>
        <w:ind w:firstLine="422"/>
        <w:jc w:val="both"/>
        <w:rPr>
          <w:rFonts w:ascii="Times New Roman"/>
          <w:color w:val="auto"/>
          <w:kern w:val="2"/>
          <w:sz w:val="21"/>
        </w:rPr>
      </w:pPr>
      <w:r>
        <w:rPr>
          <w:rFonts w:hint="eastAsia" w:ascii="Times New Roman"/>
          <w:color w:val="auto"/>
          <w:kern w:val="2"/>
          <w:sz w:val="21"/>
        </w:rPr>
        <w:t>4.5.7 如发包人认为现场项目经理或技术负责人不能胜任本工作，发包人有权提出更换，承包人应积极配合，提供新的合适人选，15天内新人选及时进场，每拖延一天交纳违约金10000元。</w:t>
      </w:r>
    </w:p>
    <w:p w14:paraId="45B19E09">
      <w:pPr>
        <w:pStyle w:val="87"/>
        <w:spacing w:line="400" w:lineRule="exact"/>
        <w:ind w:firstLine="422"/>
        <w:jc w:val="both"/>
        <w:rPr>
          <w:rFonts w:ascii="Times New Roman"/>
          <w:color w:val="auto"/>
          <w:kern w:val="2"/>
          <w:sz w:val="21"/>
        </w:rPr>
      </w:pPr>
      <w:r>
        <w:rPr>
          <w:rFonts w:hint="eastAsia" w:ascii="Times New Roman"/>
          <w:color w:val="auto"/>
          <w:kern w:val="2"/>
          <w:sz w:val="21"/>
        </w:rPr>
        <w:t>4.5.8投标文件中拟定的项目经理的注册建造师证、技术负责人职称证和专职安全员的安全考核合格证等相关证件在签订合同时交由发包人，待本标段工程完工前一个月再返还。</w:t>
      </w:r>
    </w:p>
    <w:p w14:paraId="49A585FA">
      <w:pPr>
        <w:pStyle w:val="180"/>
        <w:spacing w:before="100" w:after="100" w:line="400" w:lineRule="exact"/>
        <w:ind w:firstLine="643"/>
        <w:jc w:val="both"/>
        <w:rPr>
          <w:rFonts w:hAnsi="宋体" w:cs="宋体"/>
          <w:b/>
          <w:color w:val="auto"/>
          <w:sz w:val="32"/>
          <w:szCs w:val="32"/>
        </w:rPr>
      </w:pPr>
      <w:bookmarkStart w:id="2023" w:name="_Toc439772735"/>
      <w:bookmarkStart w:id="2024" w:name="_Toc445105571"/>
      <w:r>
        <w:rPr>
          <w:rFonts w:hint="eastAsia" w:hAnsi="宋体" w:cs="宋体"/>
          <w:b/>
          <w:color w:val="auto"/>
          <w:sz w:val="32"/>
          <w:szCs w:val="32"/>
        </w:rPr>
        <w:t>5. 材料和工程设备</w:t>
      </w:r>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p>
    <w:p w14:paraId="0F9059F6">
      <w:pPr>
        <w:pStyle w:val="180"/>
        <w:spacing w:after="0" w:line="400" w:lineRule="exact"/>
        <w:ind w:firstLine="562"/>
        <w:jc w:val="both"/>
        <w:rPr>
          <w:rFonts w:hAnsi="宋体" w:cs="宋体"/>
          <w:b/>
          <w:color w:val="auto"/>
        </w:rPr>
      </w:pPr>
      <w:bookmarkStart w:id="2025" w:name="_Toc436309981"/>
      <w:bookmarkStart w:id="2026" w:name="_Toc281292258"/>
      <w:bookmarkStart w:id="2027" w:name="_Toc265480203"/>
      <w:bookmarkStart w:id="2028" w:name="_Toc439772736"/>
      <w:bookmarkStart w:id="2029" w:name="_Toc274724471"/>
      <w:bookmarkStart w:id="2030" w:name="_Toc227658528"/>
      <w:bookmarkStart w:id="2031" w:name="_Toc260649057"/>
      <w:bookmarkStart w:id="2032" w:name="_Toc262656008"/>
      <w:bookmarkStart w:id="2033" w:name="_Toc436133272"/>
      <w:bookmarkStart w:id="2034" w:name="_Toc255741963"/>
      <w:bookmarkStart w:id="2035" w:name="_Toc248294451"/>
      <w:bookmarkStart w:id="2036" w:name="_Toc436998823"/>
      <w:bookmarkStart w:id="2037" w:name="_Toc260230329"/>
      <w:bookmarkStart w:id="2038" w:name="_Toc222804554"/>
      <w:bookmarkStart w:id="2039" w:name="_Toc206384870"/>
      <w:bookmarkStart w:id="2040" w:name="_Toc269117546"/>
      <w:bookmarkStart w:id="2041" w:name="_Toc289938990"/>
      <w:bookmarkStart w:id="2042" w:name="_Toc215561238"/>
      <w:bookmarkStart w:id="2043" w:name="_Toc215805081"/>
      <w:bookmarkStart w:id="2044" w:name="_Toc254774439"/>
      <w:bookmarkStart w:id="2045" w:name="_Toc209862360"/>
      <w:bookmarkStart w:id="2046" w:name="_Toc206830051"/>
      <w:bookmarkStart w:id="2047" w:name="_Toc316471053"/>
      <w:bookmarkStart w:id="2048" w:name="_Toc211175362"/>
      <w:bookmarkStart w:id="2049" w:name="_Toc260230002"/>
      <w:bookmarkStart w:id="2050" w:name="_Toc373851241"/>
      <w:bookmarkStart w:id="2051" w:name="_Toc345316774"/>
      <w:bookmarkStart w:id="2052" w:name="_Toc306620381"/>
      <w:bookmarkStart w:id="2053" w:name="_Toc445105572"/>
      <w:bookmarkStart w:id="2054" w:name="_Toc335833012"/>
      <w:bookmarkStart w:id="2055" w:name="_Toc215556220"/>
      <w:bookmarkStart w:id="2056" w:name="_Toc219172367"/>
      <w:bookmarkStart w:id="2057" w:name="_Toc373850716"/>
      <w:bookmarkStart w:id="2058" w:name="_Toc257202867"/>
      <w:bookmarkStart w:id="2059" w:name="_Toc284248376"/>
      <w:bookmarkStart w:id="2060" w:name="_Toc262655481"/>
      <w:bookmarkStart w:id="2061" w:name="_Toc298940297"/>
      <w:bookmarkStart w:id="2062" w:name="_Toc255470299"/>
      <w:bookmarkStart w:id="2063" w:name="_Toc208734438"/>
      <w:bookmarkStart w:id="2064" w:name="_Toc214355701"/>
      <w:bookmarkStart w:id="2065" w:name="_Toc281740681"/>
      <w:bookmarkStart w:id="2066" w:name="_Toc436309629"/>
      <w:bookmarkStart w:id="2067" w:name="_Toc260994481"/>
      <w:bookmarkStart w:id="2068" w:name="_Toc274307444"/>
      <w:bookmarkStart w:id="2069" w:name="_Toc280710355"/>
      <w:bookmarkStart w:id="2070" w:name="_Toc255470076"/>
      <w:bookmarkStart w:id="2071" w:name="_Toc345155376"/>
      <w:bookmarkStart w:id="2072" w:name="_Toc342034790"/>
      <w:bookmarkStart w:id="2073" w:name="_Toc299349205"/>
      <w:bookmarkStart w:id="2074" w:name="_Toc249848980"/>
      <w:bookmarkStart w:id="2075" w:name="_Toc245110768"/>
      <w:bookmarkStart w:id="2076" w:name="_Toc206485099"/>
      <w:r>
        <w:rPr>
          <w:rFonts w:hint="eastAsia" w:hAnsi="宋体" w:cs="宋体"/>
          <w:b/>
          <w:color w:val="auto"/>
        </w:rPr>
        <w:t>5.1 承包人提供的材料和工程设备</w:t>
      </w:r>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p>
    <w:p w14:paraId="46E90B11">
      <w:pPr>
        <w:pStyle w:val="87"/>
        <w:spacing w:line="400" w:lineRule="exact"/>
        <w:ind w:firstLine="630" w:firstLineChars="300"/>
        <w:jc w:val="both"/>
        <w:rPr>
          <w:rFonts w:ascii="Times New Roman"/>
          <w:color w:val="auto"/>
          <w:kern w:val="2"/>
          <w:sz w:val="21"/>
        </w:rPr>
      </w:pPr>
      <w:bookmarkStart w:id="2077" w:name="_Toc373850717"/>
      <w:bookmarkStart w:id="2078" w:name="_Toc274724472"/>
      <w:bookmarkStart w:id="2079" w:name="_Toc298940298"/>
      <w:bookmarkStart w:id="2080" w:name="_Toc445105573"/>
      <w:bookmarkStart w:id="2081" w:name="_Toc281740682"/>
      <w:bookmarkStart w:id="2082" w:name="_Toc306620382"/>
      <w:bookmarkStart w:id="2083" w:name="_Toc345155377"/>
      <w:bookmarkStart w:id="2084" w:name="_Toc299349206"/>
      <w:bookmarkStart w:id="2085" w:name="_Toc269117547"/>
      <w:bookmarkStart w:id="2086" w:name="_Toc284248377"/>
      <w:bookmarkStart w:id="2087" w:name="_Toc436309630"/>
      <w:bookmarkStart w:id="2088" w:name="_Toc281292259"/>
      <w:bookmarkStart w:id="2089" w:name="_Toc436998824"/>
      <w:bookmarkStart w:id="2090" w:name="_Toc262656009"/>
      <w:bookmarkStart w:id="2091" w:name="_Toc262655482"/>
      <w:bookmarkStart w:id="2092" w:name="_Toc316471054"/>
      <w:bookmarkStart w:id="2093" w:name="_Toc280710356"/>
      <w:bookmarkStart w:id="2094" w:name="_Toc265480204"/>
      <w:bookmarkStart w:id="2095" w:name="_Toc274307445"/>
      <w:bookmarkStart w:id="2096" w:name="_Toc345316775"/>
      <w:bookmarkStart w:id="2097" w:name="_Toc436309982"/>
      <w:bookmarkStart w:id="2098" w:name="_Toc436133273"/>
      <w:bookmarkStart w:id="2099" w:name="_Toc289938991"/>
      <w:bookmarkStart w:id="2100" w:name="_Toc373851242"/>
      <w:bookmarkStart w:id="2101" w:name="_Toc335833013"/>
      <w:bookmarkStart w:id="2102" w:name="_Toc342034791"/>
      <w:bookmarkStart w:id="2103" w:name="_Toc439772737"/>
      <w:r>
        <w:rPr>
          <w:rFonts w:hint="eastAsia" w:ascii="Times New Roman"/>
          <w:color w:val="auto"/>
          <w:kern w:val="2"/>
          <w:sz w:val="21"/>
        </w:rPr>
        <w:t>5.1.1 承包人应负责本合同所需其他材料、设备的采购。</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p>
    <w:p w14:paraId="2125E0FC">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承包人应将其提供的各项材料和工程设备的供货人及品种、规格、数量和供货时间等报送监理人审批，并向监理人提交一份供货协议副本。承包人应向监理人提交其负责提供的材料和工程设备的质量证明文件，并满足合同约定的质量标准。承包人应按合同进度计划和本技术条款的要求制订材料采购计划报送监理人审批。若施工过程中发生变更或需要修订合同进度时，则应相应调整材料的采购计划报送监理人审批。</w:t>
      </w:r>
    </w:p>
    <w:p w14:paraId="75DD4D7B">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补充下述条款：</w:t>
      </w:r>
    </w:p>
    <w:p w14:paraId="7ECE81D7">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5.1.4材料交货验收</w:t>
      </w:r>
    </w:p>
    <w:p w14:paraId="3C9CA439">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承包人提供的材料应按规定进行检查和验收，其材料交货验收的内容包括：</w:t>
      </w:r>
    </w:p>
    <w:p w14:paraId="060CC6B4">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(1)查验证件：承包人应按供货合同的要求查验每批材料的发货单、计量单、装箱单、材料合格证书、化验单、图纸或其它有关证件，并应将这些证件的复印件提交监理人。</w:t>
      </w:r>
    </w:p>
    <w:p w14:paraId="5BA45143">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(2)抽样检验：承包人应会同监理人按技术条款各章的有关规定进行材料抽样检验，并将检验结果报送监理人。监理人认为有必要时，可进行随机抽样检验。</w:t>
      </w:r>
    </w:p>
    <w:p w14:paraId="7119F7E6">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(3)承包人应对每批材料是否合格作出鉴定，并将鉴定意见书提交监理人复查。</w:t>
      </w:r>
    </w:p>
    <w:p w14:paraId="7FD6144F">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(4)材料验收：经鉴定合格的材料方可验收入库，承包人应派专人负责核对材料品名、规格、数量、包装以及封记的完整性，并作好记录。</w:t>
      </w:r>
    </w:p>
    <w:p w14:paraId="0A3E6856">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5.1.5不合格材料的处理</w:t>
      </w:r>
    </w:p>
    <w:p w14:paraId="5A8CA364">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严禁将不合格的材料运往现场，经监理人查库发现的不合格材料，应禁止使用。承包人违约使用了不合格材料，应按本合同《通用合同条款》第5.4条的规定处理。</w:t>
      </w:r>
    </w:p>
    <w:p w14:paraId="0B05F5F7">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5.1.6 材料的代用</w:t>
      </w:r>
    </w:p>
    <w:p w14:paraId="3B943CDF">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承包人申请代用材料，应提供代用材料的技术标准、质量证明书和试验报告。只有在证明其材料不降低工程质量和不影响施工进度的前提下，经监理人批准后，才能采用代用材料。</w:t>
      </w:r>
    </w:p>
    <w:p w14:paraId="7C4EA306">
      <w:pPr>
        <w:pStyle w:val="180"/>
        <w:spacing w:after="0" w:line="400" w:lineRule="exact"/>
        <w:ind w:firstLine="562"/>
        <w:jc w:val="both"/>
        <w:rPr>
          <w:rFonts w:hAnsi="宋体" w:cs="宋体"/>
          <w:b/>
          <w:color w:val="auto"/>
        </w:rPr>
      </w:pPr>
      <w:bookmarkStart w:id="2104" w:name="_Toc255470077"/>
      <w:bookmarkStart w:id="2105" w:name="_Toc255470300"/>
      <w:bookmarkStart w:id="2106" w:name="_Toc211175363"/>
      <w:bookmarkStart w:id="2107" w:name="_Toc227658529"/>
      <w:bookmarkStart w:id="2108" w:name="_Toc254774440"/>
      <w:bookmarkStart w:id="2109" w:name="_Toc257202868"/>
      <w:bookmarkStart w:id="2110" w:name="_Toc274307446"/>
      <w:bookmarkStart w:id="2111" w:name="_Toc445105574"/>
      <w:bookmarkStart w:id="2112" w:name="_Toc345155378"/>
      <w:bookmarkStart w:id="2113" w:name="_Toc299349207"/>
      <w:bookmarkStart w:id="2114" w:name="_Toc436133274"/>
      <w:bookmarkStart w:id="2115" w:name="_Toc439772738"/>
      <w:bookmarkStart w:id="2116" w:name="_Toc289938992"/>
      <w:bookmarkStart w:id="2117" w:name="_Toc249848981"/>
      <w:bookmarkStart w:id="2118" w:name="_Toc260649058"/>
      <w:bookmarkStart w:id="2119" w:name="_Toc208734439"/>
      <w:bookmarkStart w:id="2120" w:name="_Toc436309631"/>
      <w:bookmarkStart w:id="2121" w:name="_Toc206384871"/>
      <w:bookmarkStart w:id="2122" w:name="_Toc260230003"/>
      <w:bookmarkStart w:id="2123" w:name="_Toc262655483"/>
      <w:bookmarkStart w:id="2124" w:name="_Toc316471055"/>
      <w:bookmarkStart w:id="2125" w:name="_Toc209862361"/>
      <w:bookmarkStart w:id="2126" w:name="_Toc274724473"/>
      <w:bookmarkStart w:id="2127" w:name="_Toc222804555"/>
      <w:bookmarkStart w:id="2128" w:name="_Toc281740683"/>
      <w:bookmarkStart w:id="2129" w:name="_Toc260994482"/>
      <w:bookmarkStart w:id="2130" w:name="_Toc248294452"/>
      <w:bookmarkStart w:id="2131" w:name="_Toc265480205"/>
      <w:bookmarkStart w:id="2132" w:name="_Toc206485100"/>
      <w:bookmarkStart w:id="2133" w:name="_Toc260230330"/>
      <w:bookmarkStart w:id="2134" w:name="_Toc214355702"/>
      <w:bookmarkStart w:id="2135" w:name="_Toc245110769"/>
      <w:bookmarkStart w:id="2136" w:name="_Toc436998825"/>
      <w:bookmarkStart w:id="2137" w:name="_Toc306620383"/>
      <w:bookmarkStart w:id="2138" w:name="_Toc255741964"/>
      <w:bookmarkStart w:id="2139" w:name="_Toc262656010"/>
      <w:bookmarkStart w:id="2140" w:name="_Toc373850725"/>
      <w:bookmarkStart w:id="2141" w:name="_Toc342034792"/>
      <w:bookmarkStart w:id="2142" w:name="_Toc373851250"/>
      <w:bookmarkStart w:id="2143" w:name="_Toc215805082"/>
      <w:bookmarkStart w:id="2144" w:name="_Toc215561239"/>
      <w:bookmarkStart w:id="2145" w:name="_Toc436309983"/>
      <w:bookmarkStart w:id="2146" w:name="_Toc269117548"/>
      <w:bookmarkStart w:id="2147" w:name="_Toc281292260"/>
      <w:bookmarkStart w:id="2148" w:name="_Toc335833014"/>
      <w:bookmarkStart w:id="2149" w:name="_Toc284248378"/>
      <w:bookmarkStart w:id="2150" w:name="_Toc280710357"/>
      <w:bookmarkStart w:id="2151" w:name="_Toc215556221"/>
      <w:bookmarkStart w:id="2152" w:name="_Toc345316783"/>
      <w:bookmarkStart w:id="2153" w:name="_Toc219172368"/>
      <w:bookmarkStart w:id="2154" w:name="_Toc206830052"/>
      <w:bookmarkStart w:id="2155" w:name="_Toc298940299"/>
      <w:r>
        <w:rPr>
          <w:rFonts w:hint="eastAsia" w:hAnsi="宋体" w:cs="宋体"/>
          <w:b/>
          <w:color w:val="auto"/>
        </w:rPr>
        <w:t>5.2 发包人提供的材料和工程设备</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p>
    <w:p w14:paraId="3F62873F">
      <w:pPr>
        <w:pStyle w:val="87"/>
        <w:spacing w:line="400" w:lineRule="exact"/>
        <w:ind w:firstLine="360"/>
        <w:jc w:val="both"/>
        <w:rPr>
          <w:rFonts w:hAnsi="宋体"/>
          <w:b/>
          <w:color w:val="auto"/>
        </w:rPr>
      </w:pPr>
      <w:bookmarkStart w:id="2156" w:name="_Toc436998826"/>
      <w:bookmarkStart w:id="2157" w:name="_Toc306620384"/>
      <w:bookmarkStart w:id="2158" w:name="_Toc436309632"/>
      <w:bookmarkStart w:id="2159" w:name="_Toc436133275"/>
      <w:bookmarkStart w:id="2160" w:name="_Toc436309984"/>
      <w:bookmarkStart w:id="2161" w:name="_Toc342034793"/>
      <w:bookmarkStart w:id="2162" w:name="_Toc373851251"/>
      <w:bookmarkStart w:id="2163" w:name="_Toc373850726"/>
      <w:bookmarkStart w:id="2164" w:name="_Toc316471056"/>
      <w:bookmarkStart w:id="2165" w:name="_Toc335833015"/>
      <w:bookmarkStart w:id="2166" w:name="_Toc345155379"/>
      <w:bookmarkStart w:id="2167" w:name="_Toc345316784"/>
      <w:r>
        <w:rPr>
          <w:rFonts w:hint="eastAsia" w:hAnsi="宋体"/>
          <w:b/>
          <w:color w:val="auto"/>
        </w:rPr>
        <w:t>发包人不提供材料和工程设备。</w:t>
      </w:r>
    </w:p>
    <w:p w14:paraId="0596CE79">
      <w:pPr>
        <w:pStyle w:val="180"/>
        <w:spacing w:before="100" w:after="100" w:line="400" w:lineRule="exact"/>
        <w:ind w:firstLine="643"/>
        <w:jc w:val="both"/>
        <w:rPr>
          <w:rFonts w:hAnsi="宋体" w:cs="宋体"/>
          <w:b/>
          <w:color w:val="auto"/>
          <w:sz w:val="32"/>
          <w:szCs w:val="32"/>
        </w:rPr>
      </w:pPr>
      <w:bookmarkStart w:id="2168" w:name="_Toc439772739"/>
      <w:bookmarkStart w:id="2169" w:name="_Toc445105575"/>
      <w:r>
        <w:rPr>
          <w:rFonts w:hint="eastAsia" w:hAnsi="宋体" w:cs="宋体"/>
          <w:b/>
          <w:color w:val="auto"/>
          <w:sz w:val="32"/>
          <w:szCs w:val="32"/>
        </w:rPr>
        <w:t>7. 交通运输</w:t>
      </w:r>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p>
    <w:p w14:paraId="0B4B58A6">
      <w:pPr>
        <w:pStyle w:val="180"/>
        <w:spacing w:after="0" w:line="400" w:lineRule="exact"/>
        <w:ind w:firstLine="562"/>
        <w:jc w:val="both"/>
        <w:rPr>
          <w:rFonts w:hAnsi="宋体" w:cs="宋体"/>
          <w:b/>
          <w:color w:val="auto"/>
        </w:rPr>
      </w:pPr>
      <w:bookmarkStart w:id="2170" w:name="_Toc345155380"/>
      <w:bookmarkStart w:id="2171" w:name="_Toc306620385"/>
      <w:bookmarkStart w:id="2172" w:name="_Toc436309985"/>
      <w:bookmarkStart w:id="2173" w:name="_Toc436998827"/>
      <w:bookmarkStart w:id="2174" w:name="_Toc345316785"/>
      <w:bookmarkStart w:id="2175" w:name="_Toc373851252"/>
      <w:bookmarkStart w:id="2176" w:name="_Toc436309633"/>
      <w:bookmarkStart w:id="2177" w:name="_Toc439772740"/>
      <w:bookmarkStart w:id="2178" w:name="_Toc445105576"/>
      <w:bookmarkStart w:id="2179" w:name="_Toc373850727"/>
      <w:bookmarkStart w:id="2180" w:name="_Toc316471057"/>
      <w:bookmarkStart w:id="2181" w:name="_Toc335833016"/>
      <w:bookmarkStart w:id="2182" w:name="_Toc436133276"/>
      <w:bookmarkStart w:id="2183" w:name="_Toc342034794"/>
      <w:r>
        <w:rPr>
          <w:rFonts w:hint="eastAsia" w:hAnsi="宋体" w:cs="宋体"/>
          <w:b/>
          <w:color w:val="auto"/>
        </w:rPr>
        <w:t>7.7 补充以下条款：</w:t>
      </w:r>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p>
    <w:p w14:paraId="6907A971">
      <w:pPr>
        <w:pStyle w:val="87"/>
        <w:spacing w:line="400" w:lineRule="exact"/>
        <w:ind w:firstLine="630" w:firstLineChars="300"/>
        <w:jc w:val="both"/>
        <w:rPr>
          <w:rFonts w:ascii="Times New Roman"/>
          <w:color w:val="auto"/>
          <w:kern w:val="2"/>
          <w:sz w:val="21"/>
        </w:rPr>
      </w:pPr>
      <w:bookmarkStart w:id="2184" w:name="_Toc436133277"/>
      <w:bookmarkStart w:id="2185" w:name="_Toc262655484"/>
      <w:bookmarkStart w:id="2186" w:name="_Toc255470078"/>
      <w:bookmarkStart w:id="2187" w:name="_Toc262656011"/>
      <w:bookmarkStart w:id="2188" w:name="_Toc335833017"/>
      <w:bookmarkStart w:id="2189" w:name="_Toc342034795"/>
      <w:bookmarkStart w:id="2190" w:name="_Toc289938993"/>
      <w:bookmarkStart w:id="2191" w:name="_Toc281740684"/>
      <w:bookmarkStart w:id="2192" w:name="_Toc436309986"/>
      <w:bookmarkStart w:id="2193" w:name="_Toc345316786"/>
      <w:bookmarkStart w:id="2194" w:name="_Toc260649059"/>
      <w:bookmarkStart w:id="2195" w:name="_Toc255741965"/>
      <w:bookmarkStart w:id="2196" w:name="_Toc260994483"/>
      <w:bookmarkStart w:id="2197" w:name="_Toc299349208"/>
      <w:bookmarkStart w:id="2198" w:name="_Toc280710358"/>
      <w:bookmarkStart w:id="2199" w:name="_Toc260230331"/>
      <w:bookmarkStart w:id="2200" w:name="_Toc274307447"/>
      <w:bookmarkStart w:id="2201" w:name="_Toc281292261"/>
      <w:bookmarkStart w:id="2202" w:name="_Toc255470301"/>
      <w:bookmarkStart w:id="2203" w:name="_Toc274724474"/>
      <w:bookmarkStart w:id="2204" w:name="_Toc373850728"/>
      <w:bookmarkStart w:id="2205" w:name="_Toc306620386"/>
      <w:bookmarkStart w:id="2206" w:name="_Toc373851253"/>
      <w:bookmarkStart w:id="2207" w:name="_Toc265480206"/>
      <w:bookmarkStart w:id="2208" w:name="_Toc345155381"/>
      <w:bookmarkStart w:id="2209" w:name="_Toc316471058"/>
      <w:bookmarkStart w:id="2210" w:name="_Toc269117549"/>
      <w:bookmarkStart w:id="2211" w:name="_Toc284248379"/>
      <w:bookmarkStart w:id="2212" w:name="_Toc257202869"/>
      <w:bookmarkStart w:id="2213" w:name="_Toc260230004"/>
      <w:bookmarkStart w:id="2214" w:name="_Toc298940300"/>
      <w:bookmarkStart w:id="2215" w:name="_Toc436309634"/>
      <w:r>
        <w:rPr>
          <w:rFonts w:hint="eastAsia" w:ascii="Times New Roman"/>
          <w:color w:val="auto"/>
          <w:kern w:val="2"/>
          <w:sz w:val="21"/>
        </w:rPr>
        <w:t>（1）土方运输车辆需符合国家相关规定并办齐各类保险；</w:t>
      </w:r>
    </w:p>
    <w:p w14:paraId="11280FB6">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2）承包人应采取各种合理的措施，防止承包人的运输损坏连接现场的或通往现场的道路和桥梁。承包人特别应该选择运输路线，挑选使用的车辆，限制和分散运载重量，以便使来往于现场的材料、永久设备、承包人设备或临时工程运输所不可避免的特殊运输受到尽可能合理的限制，从而避免对这些道路和桥梁造成不必要的破坏和损伤。承包人为便于搬运设备或临时设施应负责并自费加固任何桥梁或重修或改进任何与施工现场连接或通往现场的任何道路。</w:t>
      </w:r>
    </w:p>
    <w:p w14:paraId="2D73F34E">
      <w:pPr>
        <w:pStyle w:val="180"/>
        <w:spacing w:before="100" w:after="100" w:line="400" w:lineRule="exact"/>
        <w:ind w:firstLine="643"/>
        <w:jc w:val="both"/>
        <w:rPr>
          <w:rFonts w:hAnsi="宋体" w:cs="宋体"/>
          <w:b/>
          <w:color w:val="auto"/>
          <w:sz w:val="32"/>
          <w:szCs w:val="32"/>
        </w:rPr>
      </w:pPr>
      <w:bookmarkStart w:id="2216" w:name="_Toc445105577"/>
      <w:bookmarkStart w:id="2217" w:name="_Toc436998828"/>
      <w:bookmarkStart w:id="2218" w:name="_Toc439772741"/>
      <w:r>
        <w:rPr>
          <w:rFonts w:hint="eastAsia" w:hAnsi="宋体" w:cs="宋体"/>
          <w:b/>
          <w:color w:val="auto"/>
          <w:sz w:val="32"/>
          <w:szCs w:val="32"/>
        </w:rPr>
        <w:t>8. 测量放线</w:t>
      </w:r>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p>
    <w:p w14:paraId="0129790C">
      <w:pPr>
        <w:pStyle w:val="180"/>
        <w:spacing w:after="0" w:line="400" w:lineRule="exact"/>
        <w:ind w:firstLine="562"/>
        <w:jc w:val="both"/>
        <w:rPr>
          <w:rFonts w:hAnsi="宋体" w:cs="宋体"/>
          <w:b/>
          <w:color w:val="auto"/>
        </w:rPr>
      </w:pPr>
      <w:bookmarkStart w:id="2219" w:name="_Toc215561241"/>
      <w:bookmarkStart w:id="2220" w:name="_Toc289938994"/>
      <w:bookmarkStart w:id="2221" w:name="_Toc255741966"/>
      <w:bookmarkStart w:id="2222" w:name="_Toc214355704"/>
      <w:bookmarkStart w:id="2223" w:name="_Toc436309987"/>
      <w:bookmarkStart w:id="2224" w:name="_Toc262656012"/>
      <w:bookmarkStart w:id="2225" w:name="_Toc342034796"/>
      <w:bookmarkStart w:id="2226" w:name="_Toc200183068"/>
      <w:bookmarkStart w:id="2227" w:name="_Toc373850729"/>
      <w:bookmarkStart w:id="2228" w:name="_Toc206830054"/>
      <w:bookmarkStart w:id="2229" w:name="_Toc436133278"/>
      <w:bookmarkStart w:id="2230" w:name="_Toc281292262"/>
      <w:bookmarkStart w:id="2231" w:name="_Toc274307448"/>
      <w:bookmarkStart w:id="2232" w:name="_Toc298940301"/>
      <w:bookmarkStart w:id="2233" w:name="_Toc248294454"/>
      <w:bookmarkStart w:id="2234" w:name="_Toc260230332"/>
      <w:bookmarkStart w:id="2235" w:name="_Toc439772742"/>
      <w:bookmarkStart w:id="2236" w:name="_Toc227658531"/>
      <w:bookmarkStart w:id="2237" w:name="_Toc222804557"/>
      <w:bookmarkStart w:id="2238" w:name="_Toc284248380"/>
      <w:bookmarkStart w:id="2239" w:name="_Toc257202870"/>
      <w:bookmarkStart w:id="2240" w:name="_Toc249848983"/>
      <w:bookmarkStart w:id="2241" w:name="_Toc269117550"/>
      <w:bookmarkStart w:id="2242" w:name="_Toc255470302"/>
      <w:bookmarkStart w:id="2243" w:name="_Toc299349209"/>
      <w:bookmarkStart w:id="2244" w:name="_Toc306620387"/>
      <w:bookmarkStart w:id="2245" w:name="_Toc436309635"/>
      <w:bookmarkStart w:id="2246" w:name="_Toc260649060"/>
      <w:bookmarkStart w:id="2247" w:name="_Toc215805084"/>
      <w:bookmarkStart w:id="2248" w:name="_Toc260994484"/>
      <w:bookmarkStart w:id="2249" w:name="_Toc262655485"/>
      <w:bookmarkStart w:id="2250" w:name="_Toc208734441"/>
      <w:bookmarkStart w:id="2251" w:name="_Toc436998829"/>
      <w:bookmarkStart w:id="2252" w:name="_Toc280710359"/>
      <w:bookmarkStart w:id="2253" w:name="_Toc335833018"/>
      <w:bookmarkStart w:id="2254" w:name="_Toc373851254"/>
      <w:bookmarkStart w:id="2255" w:name="_Toc215556223"/>
      <w:bookmarkStart w:id="2256" w:name="_Toc265480207"/>
      <w:bookmarkStart w:id="2257" w:name="_Toc245110771"/>
      <w:bookmarkStart w:id="2258" w:name="_Toc445105578"/>
      <w:bookmarkStart w:id="2259" w:name="_Toc260230005"/>
      <w:bookmarkStart w:id="2260" w:name="_Toc274724475"/>
      <w:bookmarkStart w:id="2261" w:name="_Toc206384873"/>
      <w:bookmarkStart w:id="2262" w:name="_Toc316471059"/>
      <w:bookmarkStart w:id="2263" w:name="_Toc219172370"/>
      <w:bookmarkStart w:id="2264" w:name="_Toc255470079"/>
      <w:bookmarkStart w:id="2265" w:name="_Toc206485102"/>
      <w:bookmarkStart w:id="2266" w:name="_Toc209862363"/>
      <w:bookmarkStart w:id="2267" w:name="_Toc254774442"/>
      <w:bookmarkStart w:id="2268" w:name="_Toc281740685"/>
      <w:bookmarkStart w:id="2269" w:name="_Toc211175365"/>
      <w:bookmarkStart w:id="2270" w:name="_Toc345316787"/>
      <w:bookmarkStart w:id="2271" w:name="_Toc345155382"/>
      <w:r>
        <w:rPr>
          <w:rFonts w:hint="eastAsia" w:hAnsi="宋体" w:cs="宋体"/>
          <w:b/>
          <w:color w:val="auto"/>
        </w:rPr>
        <w:t>8.1 施工控制网</w:t>
      </w:r>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p>
    <w:p w14:paraId="2A67C731">
      <w:pPr>
        <w:pStyle w:val="87"/>
        <w:spacing w:line="400" w:lineRule="exact"/>
        <w:ind w:firstLine="630" w:firstLineChars="300"/>
        <w:jc w:val="both"/>
        <w:rPr>
          <w:rFonts w:ascii="Times New Roman"/>
          <w:color w:val="auto"/>
          <w:kern w:val="2"/>
          <w:sz w:val="21"/>
        </w:rPr>
      </w:pPr>
      <w:bookmarkStart w:id="2272" w:name="_Toc199733038"/>
      <w:bookmarkStart w:id="2273" w:name="_Toc199842021"/>
      <w:bookmarkStart w:id="2274" w:name="_Toc200183069"/>
      <w:r>
        <w:rPr>
          <w:rFonts w:hint="eastAsia" w:ascii="Times New Roman"/>
          <w:color w:val="auto"/>
          <w:kern w:val="2"/>
          <w:sz w:val="21"/>
        </w:rPr>
        <w:t>8.1.1 发包人应在工程开工3天前，通过监理人向承包人提供测量基准点、基准线和水准点及其书面资料。承包人接收监理人提供的测量基准后，应与监理人共同校测其基准点(线)的测量精度，并复核其资料和数据的准确性。承包人应以监理人提供的测量基准点(线)为基准，按国家测绘标准和本工程施工精度要求，测设用于工程施工的控制网，并应在收到开工通知后3天内，将施工控制网资料报送监理人审批。</w:t>
      </w:r>
    </w:p>
    <w:p w14:paraId="7D411C29">
      <w:pPr>
        <w:pStyle w:val="180"/>
        <w:spacing w:after="0" w:line="400" w:lineRule="exact"/>
        <w:ind w:firstLine="562"/>
        <w:jc w:val="both"/>
        <w:rPr>
          <w:rFonts w:hAnsi="宋体" w:cs="宋体"/>
          <w:b/>
          <w:color w:val="auto"/>
        </w:rPr>
      </w:pPr>
      <w:bookmarkStart w:id="2275" w:name="_Toc436309636"/>
      <w:bookmarkStart w:id="2276" w:name="_Toc274307449"/>
      <w:bookmarkStart w:id="2277" w:name="_Toc289938995"/>
      <w:bookmarkStart w:id="2278" w:name="_Toc257202871"/>
      <w:bookmarkStart w:id="2279" w:name="_Toc219172371"/>
      <w:bookmarkStart w:id="2280" w:name="_Toc299349210"/>
      <w:bookmarkStart w:id="2281" w:name="_Toc436309988"/>
      <w:bookmarkStart w:id="2282" w:name="_Toc345155383"/>
      <w:bookmarkStart w:id="2283" w:name="_Toc373851255"/>
      <w:bookmarkStart w:id="2284" w:name="_Toc298940302"/>
      <w:bookmarkStart w:id="2285" w:name="_Toc206830055"/>
      <w:bookmarkStart w:id="2286" w:name="_Toc255470080"/>
      <w:bookmarkStart w:id="2287" w:name="_Toc373850730"/>
      <w:bookmarkStart w:id="2288" w:name="_Toc260649061"/>
      <w:bookmarkStart w:id="2289" w:name="_Toc306620388"/>
      <w:bookmarkStart w:id="2290" w:name="_Toc211175366"/>
      <w:bookmarkStart w:id="2291" w:name="_Toc254774443"/>
      <w:bookmarkStart w:id="2292" w:name="_Toc249848984"/>
      <w:bookmarkStart w:id="2293" w:name="_Toc214355705"/>
      <w:bookmarkStart w:id="2294" w:name="_Toc265480208"/>
      <w:bookmarkStart w:id="2295" w:name="_Toc209862364"/>
      <w:bookmarkStart w:id="2296" w:name="_Toc215805085"/>
      <w:bookmarkStart w:id="2297" w:name="_Toc335833019"/>
      <w:bookmarkStart w:id="2298" w:name="_Toc260230006"/>
      <w:bookmarkStart w:id="2299" w:name="_Toc206384874"/>
      <w:bookmarkStart w:id="2300" w:name="_Toc215556224"/>
      <w:bookmarkStart w:id="2301" w:name="_Toc284248381"/>
      <w:bookmarkStart w:id="2302" w:name="_Toc345316788"/>
      <w:bookmarkStart w:id="2303" w:name="_Toc262655486"/>
      <w:bookmarkStart w:id="2304" w:name="_Toc260994485"/>
      <w:bookmarkStart w:id="2305" w:name="_Toc269117551"/>
      <w:bookmarkStart w:id="2306" w:name="_Toc215561242"/>
      <w:bookmarkStart w:id="2307" w:name="_Toc262656013"/>
      <w:bookmarkStart w:id="2308" w:name="_Toc245110772"/>
      <w:bookmarkStart w:id="2309" w:name="_Toc280710360"/>
      <w:bookmarkStart w:id="2310" w:name="_Toc208734442"/>
      <w:bookmarkStart w:id="2311" w:name="_Toc281292263"/>
      <w:bookmarkStart w:id="2312" w:name="_Toc436998830"/>
      <w:bookmarkStart w:id="2313" w:name="_Toc342034797"/>
      <w:bookmarkStart w:id="2314" w:name="_Toc222804558"/>
      <w:bookmarkStart w:id="2315" w:name="_Toc227658532"/>
      <w:bookmarkStart w:id="2316" w:name="_Toc439772743"/>
      <w:bookmarkStart w:id="2317" w:name="_Toc255470303"/>
      <w:bookmarkStart w:id="2318" w:name="_Toc255741967"/>
      <w:bookmarkStart w:id="2319" w:name="_Toc248294455"/>
      <w:bookmarkStart w:id="2320" w:name="_Toc316471060"/>
      <w:bookmarkStart w:id="2321" w:name="_Toc436133279"/>
      <w:bookmarkStart w:id="2322" w:name="_Toc206485103"/>
      <w:bookmarkStart w:id="2323" w:name="_Toc274724476"/>
      <w:bookmarkStart w:id="2324" w:name="_Toc281740686"/>
      <w:bookmarkStart w:id="2325" w:name="_Toc260230333"/>
      <w:bookmarkStart w:id="2326" w:name="_Toc445105579"/>
      <w:r>
        <w:rPr>
          <w:rFonts w:hint="eastAsia" w:hAnsi="宋体" w:cs="宋体"/>
          <w:b/>
          <w:color w:val="auto"/>
        </w:rPr>
        <w:t>8.2 施工测量</w:t>
      </w:r>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p>
    <w:p w14:paraId="4E50DBE3">
      <w:pPr>
        <w:pStyle w:val="87"/>
        <w:spacing w:line="400" w:lineRule="exact"/>
        <w:ind w:firstLine="630" w:firstLineChars="300"/>
        <w:jc w:val="both"/>
        <w:rPr>
          <w:rFonts w:ascii="Times New Roman"/>
          <w:color w:val="auto"/>
          <w:kern w:val="2"/>
          <w:sz w:val="21"/>
        </w:rPr>
      </w:pPr>
      <w:bookmarkStart w:id="2327" w:name="_Toc206830056"/>
      <w:bookmarkStart w:id="2328" w:name="_Toc214355706"/>
      <w:bookmarkStart w:id="2329" w:name="_Toc209862365"/>
      <w:bookmarkStart w:id="2330" w:name="_Toc206485104"/>
      <w:bookmarkStart w:id="2331" w:name="_Toc219172372"/>
      <w:bookmarkStart w:id="2332" w:name="_Toc206384875"/>
      <w:bookmarkStart w:id="2333" w:name="_Toc249848985"/>
      <w:bookmarkStart w:id="2334" w:name="_Toc215805086"/>
      <w:bookmarkStart w:id="2335" w:name="_Toc215561243"/>
      <w:bookmarkStart w:id="2336" w:name="_Toc208734443"/>
      <w:bookmarkStart w:id="2337" w:name="_Toc227658533"/>
      <w:bookmarkStart w:id="2338" w:name="_Toc248294456"/>
      <w:bookmarkStart w:id="2339" w:name="_Toc211175367"/>
      <w:bookmarkStart w:id="2340" w:name="_Toc222804559"/>
      <w:bookmarkStart w:id="2341" w:name="_Toc245110773"/>
      <w:bookmarkStart w:id="2342" w:name="_Toc215556225"/>
      <w:r>
        <w:rPr>
          <w:rFonts w:hint="eastAsia" w:ascii="Times New Roman"/>
          <w:color w:val="auto"/>
          <w:kern w:val="2"/>
          <w:sz w:val="21"/>
        </w:rPr>
        <w:t>本款补充如下内容：</w:t>
      </w:r>
    </w:p>
    <w:p w14:paraId="5938A194">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8.2.3承包人进场后应测量开挖区横断面图，用于计量土石方开挖工程量。若经双方协商同意，承包人可邀请监理人的测量人员联合进行计量测量，经双方核签的测量成果，在经发包人审核批准后，可直接用于计量付款。</w:t>
      </w:r>
    </w:p>
    <w:p w14:paraId="35BFC52C">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8.2.4承包人应负责保护好测量基准点、基准线和水准点及自行增设的控制网点，并提供通向网点的道路和防护栏杆。测量网点的缺失和损坏应由承包人负责修复。</w:t>
      </w:r>
    </w:p>
    <w:p w14:paraId="4AB36B96">
      <w:pPr>
        <w:pStyle w:val="180"/>
        <w:spacing w:before="100" w:after="100" w:line="400" w:lineRule="exact"/>
        <w:ind w:firstLine="643"/>
        <w:jc w:val="both"/>
        <w:rPr>
          <w:rFonts w:hAnsi="宋体" w:cs="宋体"/>
          <w:b/>
          <w:color w:val="auto"/>
          <w:sz w:val="32"/>
          <w:szCs w:val="32"/>
        </w:rPr>
      </w:pPr>
      <w:bookmarkStart w:id="2343" w:name="_Toc298940303"/>
      <w:bookmarkStart w:id="2344" w:name="_Toc373850731"/>
      <w:bookmarkStart w:id="2345" w:name="_Toc299349211"/>
      <w:bookmarkStart w:id="2346" w:name="_Toc262655487"/>
      <w:bookmarkStart w:id="2347" w:name="_Toc445105580"/>
      <w:bookmarkStart w:id="2348" w:name="_Toc436309637"/>
      <w:bookmarkStart w:id="2349" w:name="_Toc262656014"/>
      <w:bookmarkStart w:id="2350" w:name="_Toc345155384"/>
      <w:bookmarkStart w:id="2351" w:name="_Toc306620389"/>
      <w:bookmarkStart w:id="2352" w:name="_Toc260994486"/>
      <w:bookmarkStart w:id="2353" w:name="_Toc260649062"/>
      <w:bookmarkStart w:id="2354" w:name="_Toc281740687"/>
      <w:bookmarkStart w:id="2355" w:name="_Toc284248382"/>
      <w:bookmarkStart w:id="2356" w:name="_Toc257202872"/>
      <w:bookmarkStart w:id="2357" w:name="_Toc316471061"/>
      <w:bookmarkStart w:id="2358" w:name="_Toc255470081"/>
      <w:bookmarkStart w:id="2359" w:name="_Toc274724477"/>
      <w:bookmarkStart w:id="2360" w:name="_Toc274307450"/>
      <w:bookmarkStart w:id="2361" w:name="_Toc436998831"/>
      <w:bookmarkStart w:id="2362" w:name="_Toc342034798"/>
      <w:bookmarkStart w:id="2363" w:name="_Toc269117552"/>
      <w:bookmarkStart w:id="2364" w:name="_Toc255741968"/>
      <w:bookmarkStart w:id="2365" w:name="_Toc289938996"/>
      <w:bookmarkStart w:id="2366" w:name="_Toc281292264"/>
      <w:bookmarkStart w:id="2367" w:name="_Toc260230007"/>
      <w:bookmarkStart w:id="2368" w:name="_Toc254774444"/>
      <w:bookmarkStart w:id="2369" w:name="_Toc345316789"/>
      <w:bookmarkStart w:id="2370" w:name="_Toc260230334"/>
      <w:bookmarkStart w:id="2371" w:name="_Toc265480209"/>
      <w:bookmarkStart w:id="2372" w:name="_Toc335833020"/>
      <w:bookmarkStart w:id="2373" w:name="_Toc436133280"/>
      <w:bookmarkStart w:id="2374" w:name="_Toc436309989"/>
      <w:bookmarkStart w:id="2375" w:name="_Toc255470304"/>
      <w:bookmarkStart w:id="2376" w:name="_Toc373851256"/>
      <w:bookmarkStart w:id="2377" w:name="_Toc439772744"/>
      <w:bookmarkStart w:id="2378" w:name="_Toc280710361"/>
      <w:r>
        <w:rPr>
          <w:rFonts w:hint="eastAsia" w:hAnsi="宋体" w:cs="宋体"/>
          <w:b/>
          <w:color w:val="auto"/>
          <w:sz w:val="32"/>
          <w:szCs w:val="32"/>
        </w:rPr>
        <w:t>9.施工安全、治安保卫和环境保护</w:t>
      </w:r>
      <w:bookmarkEnd w:id="2272"/>
      <w:bookmarkEnd w:id="2273"/>
      <w:bookmarkEnd w:id="2274"/>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p>
    <w:p w14:paraId="0AFDAE37">
      <w:pPr>
        <w:pStyle w:val="180"/>
        <w:spacing w:after="0" w:line="400" w:lineRule="exact"/>
        <w:ind w:firstLine="562"/>
        <w:jc w:val="both"/>
        <w:rPr>
          <w:rFonts w:hAnsi="宋体" w:cs="宋体"/>
          <w:b/>
          <w:color w:val="auto"/>
        </w:rPr>
      </w:pPr>
      <w:bookmarkStart w:id="2379" w:name="_Toc306620390"/>
      <w:bookmarkStart w:id="2380" w:name="_Toc280710362"/>
      <w:bookmarkStart w:id="2381" w:name="_Toc436998832"/>
      <w:bookmarkStart w:id="2382" w:name="_Toc284248383"/>
      <w:bookmarkStart w:id="2383" w:name="_Toc274724478"/>
      <w:bookmarkStart w:id="2384" w:name="_Toc439772745"/>
      <w:bookmarkStart w:id="2385" w:name="_Toc299349212"/>
      <w:bookmarkStart w:id="2386" w:name="_Toc260230335"/>
      <w:bookmarkStart w:id="2387" w:name="_Toc373851257"/>
      <w:bookmarkStart w:id="2388" w:name="_Toc345316790"/>
      <w:bookmarkStart w:id="2389" w:name="_Toc281740688"/>
      <w:bookmarkStart w:id="2390" w:name="_Toc445105581"/>
      <w:bookmarkStart w:id="2391" w:name="_Toc373850732"/>
      <w:bookmarkStart w:id="2392" w:name="_Toc345155385"/>
      <w:bookmarkStart w:id="2393" w:name="_Toc298940304"/>
      <w:bookmarkStart w:id="2394" w:name="_Toc260994487"/>
      <w:bookmarkStart w:id="2395" w:name="_Toc260230008"/>
      <w:bookmarkStart w:id="2396" w:name="_Toc265480210"/>
      <w:bookmarkStart w:id="2397" w:name="_Toc436309990"/>
      <w:bookmarkStart w:id="2398" w:name="_Toc260649063"/>
      <w:bookmarkStart w:id="2399" w:name="_Toc436133281"/>
      <w:bookmarkStart w:id="2400" w:name="_Toc316471062"/>
      <w:bookmarkStart w:id="2401" w:name="_Toc262655488"/>
      <w:bookmarkStart w:id="2402" w:name="_Toc335833021"/>
      <w:bookmarkStart w:id="2403" w:name="_Toc269117553"/>
      <w:bookmarkStart w:id="2404" w:name="_Toc436309638"/>
      <w:bookmarkStart w:id="2405" w:name="_Toc262656015"/>
      <w:bookmarkStart w:id="2406" w:name="_Toc289938997"/>
      <w:bookmarkStart w:id="2407" w:name="_Toc281292265"/>
      <w:bookmarkStart w:id="2408" w:name="_Toc342034799"/>
      <w:bookmarkStart w:id="2409" w:name="_Toc214355707"/>
      <w:bookmarkStart w:id="2410" w:name="_Toc227658534"/>
      <w:bookmarkStart w:id="2411" w:name="_Toc211175368"/>
      <w:bookmarkStart w:id="2412" w:name="_Toc255470082"/>
      <w:bookmarkStart w:id="2413" w:name="_Toc206485105"/>
      <w:bookmarkStart w:id="2414" w:name="_Toc257202873"/>
      <w:bookmarkStart w:id="2415" w:name="_Toc219172373"/>
      <w:bookmarkStart w:id="2416" w:name="_Toc206384876"/>
      <w:bookmarkStart w:id="2417" w:name="_Toc209862366"/>
      <w:bookmarkStart w:id="2418" w:name="_Toc200183070"/>
      <w:bookmarkStart w:id="2419" w:name="_Toc222804560"/>
      <w:bookmarkStart w:id="2420" w:name="_Toc215805087"/>
      <w:bookmarkStart w:id="2421" w:name="_Toc215556226"/>
      <w:bookmarkStart w:id="2422" w:name="_Toc215561244"/>
      <w:bookmarkStart w:id="2423" w:name="_Toc249848986"/>
      <w:bookmarkStart w:id="2424" w:name="_Toc255741969"/>
      <w:bookmarkStart w:id="2425" w:name="_Toc255470305"/>
      <w:bookmarkStart w:id="2426" w:name="_Toc245110774"/>
      <w:bookmarkStart w:id="2427" w:name="_Toc206830057"/>
      <w:bookmarkStart w:id="2428" w:name="_Toc254774445"/>
      <w:bookmarkStart w:id="2429" w:name="_Toc208734444"/>
      <w:bookmarkStart w:id="2430" w:name="_Toc248294457"/>
      <w:r>
        <w:rPr>
          <w:rFonts w:hint="eastAsia" w:hAnsi="宋体" w:cs="宋体"/>
          <w:b/>
          <w:color w:val="auto"/>
        </w:rPr>
        <w:t>9.1 发包人的施工安全责任</w:t>
      </w:r>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p>
    <w:p w14:paraId="75045F07">
      <w:pPr>
        <w:pStyle w:val="180"/>
        <w:spacing w:after="0" w:line="400" w:lineRule="exact"/>
        <w:ind w:firstLine="540" w:firstLineChars="224"/>
        <w:jc w:val="both"/>
        <w:rPr>
          <w:rFonts w:ascii="Times New Roman" w:cs="宋体"/>
          <w:color w:val="auto"/>
          <w:kern w:val="2"/>
          <w:sz w:val="21"/>
        </w:rPr>
      </w:pPr>
      <w:bookmarkStart w:id="2431" w:name="_Toc262656016"/>
      <w:bookmarkStart w:id="2432" w:name="_Toc262655489"/>
      <w:bookmarkStart w:id="2433" w:name="_Toc436133282"/>
      <w:bookmarkStart w:id="2434" w:name="_Toc265480211"/>
      <w:bookmarkStart w:id="2435" w:name="_Toc342034800"/>
      <w:bookmarkStart w:id="2436" w:name="_Toc284248384"/>
      <w:bookmarkStart w:id="2437" w:name="_Toc260230336"/>
      <w:bookmarkStart w:id="2438" w:name="_Toc335833022"/>
      <w:bookmarkStart w:id="2439" w:name="_Toc373850733"/>
      <w:bookmarkStart w:id="2440" w:name="_Toc281292266"/>
      <w:bookmarkStart w:id="2441" w:name="_Toc345155386"/>
      <w:bookmarkStart w:id="2442" w:name="_Toc260994488"/>
      <w:bookmarkStart w:id="2443" w:name="_Toc445105582"/>
      <w:bookmarkStart w:id="2444" w:name="_Toc289938998"/>
      <w:bookmarkStart w:id="2445" w:name="_Toc306620391"/>
      <w:bookmarkStart w:id="2446" w:name="_Toc316471063"/>
      <w:bookmarkStart w:id="2447" w:name="_Toc436309991"/>
      <w:bookmarkStart w:id="2448" w:name="_Toc269117554"/>
      <w:bookmarkStart w:id="2449" w:name="_Toc281740689"/>
      <w:bookmarkStart w:id="2450" w:name="_Toc299349213"/>
      <w:bookmarkStart w:id="2451" w:name="_Toc280710363"/>
      <w:bookmarkStart w:id="2452" w:name="_Toc260649064"/>
      <w:bookmarkStart w:id="2453" w:name="_Toc298940305"/>
      <w:bookmarkStart w:id="2454" w:name="_Toc373851258"/>
      <w:bookmarkStart w:id="2455" w:name="_Toc260230009"/>
      <w:bookmarkStart w:id="2456" w:name="_Toc274724479"/>
      <w:bookmarkStart w:id="2457" w:name="_Toc436998833"/>
      <w:bookmarkStart w:id="2458" w:name="_Toc439772746"/>
      <w:bookmarkStart w:id="2459" w:name="_Toc436309639"/>
      <w:bookmarkStart w:id="2460" w:name="_Toc345316791"/>
      <w:r>
        <w:rPr>
          <w:rFonts w:hint="eastAsia" w:hAnsi="宋体" w:cs="宋体"/>
          <w:b/>
          <w:color w:val="auto"/>
        </w:rPr>
        <w:t xml:space="preserve">9.1.4 </w:t>
      </w:r>
      <w:r>
        <w:rPr>
          <w:rFonts w:hint="eastAsia" w:ascii="Times New Roman" w:cs="宋体"/>
          <w:color w:val="auto"/>
          <w:kern w:val="2"/>
          <w:sz w:val="21"/>
        </w:rPr>
        <w:t>发包人提供的资料仅限于平面布置图、条带图中注明的内容，其它施工中需要的资料由承包人负责收集。</w:t>
      </w:r>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p>
    <w:p w14:paraId="63B12BF8">
      <w:pPr>
        <w:pStyle w:val="180"/>
        <w:spacing w:after="0" w:line="400" w:lineRule="exact"/>
        <w:ind w:firstLine="562"/>
        <w:jc w:val="both"/>
        <w:rPr>
          <w:rFonts w:hAnsi="宋体" w:cs="宋体"/>
          <w:b/>
          <w:color w:val="auto"/>
        </w:rPr>
      </w:pPr>
      <w:bookmarkStart w:id="2461" w:name="_Toc260649065"/>
      <w:bookmarkStart w:id="2462" w:name="_Toc262656017"/>
      <w:bookmarkStart w:id="2463" w:name="_Toc436998834"/>
      <w:bookmarkStart w:id="2464" w:name="_Toc298940306"/>
      <w:bookmarkStart w:id="2465" w:name="_Toc439772747"/>
      <w:bookmarkStart w:id="2466" w:name="_Toc335833023"/>
      <w:bookmarkStart w:id="2467" w:name="_Toc316471064"/>
      <w:bookmarkStart w:id="2468" w:name="_Toc265480212"/>
      <w:bookmarkStart w:id="2469" w:name="_Toc445105583"/>
      <w:bookmarkStart w:id="2470" w:name="_Toc342034801"/>
      <w:bookmarkStart w:id="2471" w:name="_Toc436309992"/>
      <w:bookmarkStart w:id="2472" w:name="_Toc306620392"/>
      <w:bookmarkStart w:id="2473" w:name="_Toc345316792"/>
      <w:bookmarkStart w:id="2474" w:name="_Toc373850734"/>
      <w:bookmarkStart w:id="2475" w:name="_Toc260230010"/>
      <w:bookmarkStart w:id="2476" w:name="_Toc281740690"/>
      <w:bookmarkStart w:id="2477" w:name="_Toc260994489"/>
      <w:bookmarkStart w:id="2478" w:name="_Toc289938999"/>
      <w:bookmarkStart w:id="2479" w:name="_Toc436133283"/>
      <w:bookmarkStart w:id="2480" w:name="_Toc436309640"/>
      <w:bookmarkStart w:id="2481" w:name="_Toc284248385"/>
      <w:bookmarkStart w:id="2482" w:name="_Toc281292267"/>
      <w:bookmarkStart w:id="2483" w:name="_Toc262655490"/>
      <w:bookmarkStart w:id="2484" w:name="_Toc274724480"/>
      <w:bookmarkStart w:id="2485" w:name="_Toc269117555"/>
      <w:bookmarkStart w:id="2486" w:name="_Toc280710364"/>
      <w:bookmarkStart w:id="2487" w:name="_Toc260230337"/>
      <w:bookmarkStart w:id="2488" w:name="_Toc373851259"/>
      <w:bookmarkStart w:id="2489" w:name="_Toc345155387"/>
      <w:bookmarkStart w:id="2490" w:name="_Toc299349214"/>
      <w:r>
        <w:rPr>
          <w:rFonts w:hint="eastAsia" w:hAnsi="宋体" w:cs="宋体"/>
          <w:b/>
          <w:color w:val="auto"/>
        </w:rPr>
        <w:t>9.2 承包人的施工安全责任</w:t>
      </w:r>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p>
    <w:p w14:paraId="318B84A6">
      <w:pPr>
        <w:pStyle w:val="87"/>
        <w:spacing w:line="400" w:lineRule="exact"/>
        <w:ind w:firstLine="723" w:firstLineChars="300"/>
        <w:jc w:val="both"/>
        <w:rPr>
          <w:rFonts w:ascii="Times New Roman"/>
          <w:color w:val="auto"/>
          <w:kern w:val="2"/>
          <w:sz w:val="21"/>
        </w:rPr>
      </w:pPr>
      <w:r>
        <w:rPr>
          <w:rFonts w:hint="eastAsia" w:hAnsi="宋体"/>
          <w:b/>
          <w:color w:val="auto"/>
        </w:rPr>
        <w:t xml:space="preserve">9.2.5 </w:t>
      </w:r>
      <w:r>
        <w:rPr>
          <w:rFonts w:hint="eastAsia" w:ascii="Times New Roman"/>
          <w:color w:val="auto"/>
          <w:kern w:val="2"/>
          <w:sz w:val="21"/>
        </w:rPr>
        <w:t>本款补充：承包人应按照《中华人民共和国安全生产法》和其他有关安全生产的法律、法规，加强安全生产管理，在工地建立安全生产管理机构，并建立、健全安全生产责任制度与规章，认真履行其安全生产管理职责，完善安全生产条件创造良好的安全作业环境，确保安全生产。由于承包方的违约、疏忽等原因所造成的安全事故由承包人承担责任并负责赔偿，与发包人无关。</w:t>
      </w:r>
    </w:p>
    <w:p w14:paraId="10E4BE21">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安全作业环境及安全施工措施所需费用”单独列支必须专款专用以确保本工程安全施工。发包人和监理人可按国家有关规定及《技术规范》要求，随时对承包人责任区进行安全检查，并将检查结果通报所有承包人；对存在的安全隐患应限期整改，对拒不整改或整改不力的，发包人有权要求承包人停工整改，且工期不予延长。</w:t>
      </w:r>
    </w:p>
    <w:p w14:paraId="149D61CB">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9.2.12 承包人在施工现场采取爆破等施工作业应编制专项施工方案，除应按国家有关法律法规办理爆破安全许可证书及采取安全措施外，还应提前与当地政府和周围群众进行沟通协商，采取措施防止影响周围群众正常的生产生活，由此带来的系列问题由承包人自行解决。</w:t>
      </w:r>
    </w:p>
    <w:p w14:paraId="63747A7F">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9.2.13承包人应根据招标文件和有关水文地质资料，充分考虑施工期洪水问题，编制切实可行的施工安全及度汛方案，合理地调整施工进度，并考虑到雨季的影响，施工安全及度汛方案由承包人通过实地调查后自行确定，由此带来的系列费用及问题由承包人自行解决。</w:t>
      </w:r>
    </w:p>
    <w:p w14:paraId="4AA56A8F">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9.3.1本款补充：发包人协助承包人与当地公安部门联系、协商，由承包人和当地公安部门共同建立或由承包人委托当地公安部门，建立一个现场治安管理机构，统一管理全工地的治安保卫事宜，负责履行本工程的治安保卫职责。工地的治安保卫事宜由承包人自行承担。</w:t>
      </w:r>
    </w:p>
    <w:p w14:paraId="0A43D8C7">
      <w:pPr>
        <w:pStyle w:val="180"/>
        <w:spacing w:after="0" w:line="400" w:lineRule="exact"/>
        <w:ind w:firstLine="562"/>
        <w:jc w:val="both"/>
        <w:rPr>
          <w:rFonts w:hAnsi="宋体" w:cs="宋体"/>
          <w:b/>
          <w:color w:val="auto"/>
        </w:rPr>
      </w:pPr>
      <w:bookmarkStart w:id="2491" w:name="_Toc306620393"/>
      <w:bookmarkStart w:id="2492" w:name="_Toc439772748"/>
      <w:bookmarkStart w:id="2493" w:name="_Toc373851260"/>
      <w:bookmarkStart w:id="2494" w:name="_Toc262655491"/>
      <w:bookmarkStart w:id="2495" w:name="_Toc208734445"/>
      <w:bookmarkStart w:id="2496" w:name="_Toc335833024"/>
      <w:bookmarkStart w:id="2497" w:name="_Toc436309641"/>
      <w:bookmarkStart w:id="2498" w:name="_Toc299349215"/>
      <w:bookmarkStart w:id="2499" w:name="_Toc206830058"/>
      <w:bookmarkStart w:id="2500" w:name="_Toc436309993"/>
      <w:bookmarkStart w:id="2501" w:name="_Toc316471065"/>
      <w:bookmarkStart w:id="2502" w:name="_Toc257202874"/>
      <w:bookmarkStart w:id="2503" w:name="_Toc269117556"/>
      <w:bookmarkStart w:id="2504" w:name="_Toc211175369"/>
      <w:bookmarkStart w:id="2505" w:name="_Toc260230011"/>
      <w:bookmarkStart w:id="2506" w:name="_Toc436133284"/>
      <w:bookmarkStart w:id="2507" w:name="_Toc255741970"/>
      <w:bookmarkStart w:id="2508" w:name="_Toc215556227"/>
      <w:bookmarkStart w:id="2509" w:name="_Toc280710365"/>
      <w:bookmarkStart w:id="2510" w:name="_Toc436998835"/>
      <w:bookmarkStart w:id="2511" w:name="_Toc342034802"/>
      <w:bookmarkStart w:id="2512" w:name="_Toc255470306"/>
      <w:bookmarkStart w:id="2513" w:name="_Toc255470083"/>
      <w:bookmarkStart w:id="2514" w:name="_Toc260649066"/>
      <w:bookmarkStart w:id="2515" w:name="_Toc249848987"/>
      <w:bookmarkStart w:id="2516" w:name="_Toc245110775"/>
      <w:bookmarkStart w:id="2517" w:name="_Toc260994490"/>
      <w:bookmarkStart w:id="2518" w:name="_Toc227658535"/>
      <w:bookmarkStart w:id="2519" w:name="_Toc265480213"/>
      <w:bookmarkStart w:id="2520" w:name="_Toc289939000"/>
      <w:bookmarkStart w:id="2521" w:name="_Toc345155388"/>
      <w:bookmarkStart w:id="2522" w:name="_Toc298940307"/>
      <w:bookmarkStart w:id="2523" w:name="_Toc260230338"/>
      <w:bookmarkStart w:id="2524" w:name="_Toc209862367"/>
      <w:bookmarkStart w:id="2525" w:name="_Toc281292268"/>
      <w:bookmarkStart w:id="2526" w:name="_Toc284248386"/>
      <w:bookmarkStart w:id="2527" w:name="_Toc248294458"/>
      <w:bookmarkStart w:id="2528" w:name="_Toc262656018"/>
      <w:bookmarkStart w:id="2529" w:name="_Toc274724481"/>
      <w:bookmarkStart w:id="2530" w:name="_Toc345316793"/>
      <w:bookmarkStart w:id="2531" w:name="_Toc215805088"/>
      <w:bookmarkStart w:id="2532" w:name="_Toc219172374"/>
      <w:bookmarkStart w:id="2533" w:name="_Toc215561245"/>
      <w:bookmarkStart w:id="2534" w:name="_Toc214355708"/>
      <w:bookmarkStart w:id="2535" w:name="_Toc222804561"/>
      <w:bookmarkStart w:id="2536" w:name="_Toc206384877"/>
      <w:bookmarkStart w:id="2537" w:name="_Toc445105584"/>
      <w:bookmarkStart w:id="2538" w:name="_Toc254774446"/>
      <w:bookmarkStart w:id="2539" w:name="_Toc281740691"/>
      <w:bookmarkStart w:id="2540" w:name="_Toc373850735"/>
      <w:bookmarkStart w:id="2541" w:name="_Toc206485106"/>
      <w:r>
        <w:rPr>
          <w:rFonts w:hint="eastAsia" w:hAnsi="宋体" w:cs="宋体"/>
          <w:b/>
          <w:color w:val="auto"/>
        </w:rPr>
        <w:t>9.4 环境保护</w:t>
      </w:r>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p>
    <w:p w14:paraId="223DD4E1">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9.4.2环境保护措施计划</w:t>
      </w:r>
    </w:p>
    <w:p w14:paraId="71EBA6BA">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承包人应在编报施工总布置设计文件的同时，编制一份施工区和生活区的环境保护措施计划，报送监理人审批。其内容应包括：</w:t>
      </w:r>
    </w:p>
    <w:p w14:paraId="64212437">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(1)施工弃渣的利用和堆放；</w:t>
      </w:r>
    </w:p>
    <w:p w14:paraId="26F0E236">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(2)施工场地开挖的边坡保护和水土流失防治措施；</w:t>
      </w:r>
    </w:p>
    <w:p w14:paraId="3E89975B">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(3)防止饮用水污染措施；</w:t>
      </w:r>
    </w:p>
    <w:p w14:paraId="441737E6">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(4)施工活动中的噪声、粉尘、废气、废水和废油等的治理措施；</w:t>
      </w:r>
    </w:p>
    <w:p w14:paraId="3DA0DC32">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(5)施工区和生活区的卫生设施以及粪便、垃圾的治理措施；</w:t>
      </w:r>
    </w:p>
    <w:p w14:paraId="583B0F5F">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(6)完工后的场地清理。</w:t>
      </w:r>
    </w:p>
    <w:p w14:paraId="4A4095CA">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本款补充9.4.7条：</w:t>
      </w:r>
    </w:p>
    <w:p w14:paraId="7531D838">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9.4.7承包人应切实执行技术规范中有关环境保护方面的条款和规定。</w:t>
      </w:r>
    </w:p>
    <w:p w14:paraId="6B36A9C6">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1）对于来自施工机械和运输车辆的施工噪声，为保护施工人员的健康，应遵守《中华人民共和国环境噪声污染防治法》并依据《工业企业噪声卫生标准》合理安排工作人员轮流操作筑路机械，减少接触高噪声的时间，或间歇安排高噪声的工作。对距噪声源较近的施工人员，除采取使用防护耳塞或头盔等有效措施外，还应当缩短其劳动时间。同时，要注意对机械的经常性保养，尽量使其噪声降低到最低水平。为保护施工现场附近居民的夜间休息，对居民区150m以内的施工现场，施工时间应加以控制。</w:t>
      </w:r>
    </w:p>
    <w:p w14:paraId="70EEBA71">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（2）采取可靠措施保证原有交通的正常通行，维持沿线村镇的居民饮水、农田灌溉、生产生活用电及通讯等管线的正常使用。</w:t>
      </w:r>
    </w:p>
    <w:p w14:paraId="64D2A4D8">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2）在整个施工过程中对承包人采取的环境保护措施，发包人和监理人有权监督，并向承包人提出整改要求。如果由于承包人未能对其负责的上述事项采取各种必要的措施而导致或发生与此有关的人身伤亡、罚款、索赔、损失补偿、诉讼费用及其他一切责任应由承包人负责。</w:t>
      </w:r>
    </w:p>
    <w:p w14:paraId="1ADB0239">
      <w:pPr>
        <w:pStyle w:val="180"/>
        <w:spacing w:before="100" w:after="100" w:line="400" w:lineRule="exact"/>
        <w:ind w:firstLine="643"/>
        <w:jc w:val="both"/>
        <w:rPr>
          <w:rFonts w:hAnsi="宋体" w:cs="宋体"/>
          <w:b/>
          <w:color w:val="auto"/>
          <w:sz w:val="32"/>
          <w:szCs w:val="32"/>
        </w:rPr>
      </w:pPr>
      <w:bookmarkStart w:id="2542" w:name="_Toc189297965"/>
      <w:bookmarkStart w:id="2543" w:name="_Toc214355711"/>
      <w:bookmarkStart w:id="2544" w:name="_Toc199733040"/>
      <w:bookmarkStart w:id="2545" w:name="_Toc215561248"/>
      <w:bookmarkStart w:id="2546" w:name="_Toc227658538"/>
      <w:bookmarkStart w:id="2547" w:name="_Toc219172377"/>
      <w:bookmarkStart w:id="2548" w:name="_Toc206830061"/>
      <w:bookmarkStart w:id="2549" w:name="_Toc254774449"/>
      <w:bookmarkStart w:id="2550" w:name="_Toc255470086"/>
      <w:bookmarkStart w:id="2551" w:name="_Toc255470309"/>
      <w:bookmarkStart w:id="2552" w:name="_Toc249848990"/>
      <w:bookmarkStart w:id="2553" w:name="_Toc206384880"/>
      <w:bookmarkStart w:id="2554" w:name="_Toc215805091"/>
      <w:bookmarkStart w:id="2555" w:name="_Toc209862370"/>
      <w:bookmarkStart w:id="2556" w:name="_Toc245110778"/>
      <w:bookmarkStart w:id="2557" w:name="_Toc257202877"/>
      <w:bookmarkStart w:id="2558" w:name="_Toc187846023"/>
      <w:bookmarkStart w:id="2559" w:name="_Toc255741973"/>
      <w:bookmarkStart w:id="2560" w:name="_Toc215556230"/>
      <w:bookmarkStart w:id="2561" w:name="_Toc208734448"/>
      <w:bookmarkStart w:id="2562" w:name="_Toc199842023"/>
      <w:bookmarkStart w:id="2563" w:name="_Toc248294461"/>
      <w:bookmarkStart w:id="2564" w:name="_Toc222804564"/>
      <w:bookmarkStart w:id="2565" w:name="_Toc211175372"/>
      <w:bookmarkStart w:id="2566" w:name="_Toc206485109"/>
      <w:bookmarkStart w:id="2567" w:name="_Toc200183073"/>
      <w:bookmarkStart w:id="2568" w:name="_Toc445105585"/>
      <w:bookmarkStart w:id="2569" w:name="_Toc260230339"/>
      <w:bookmarkStart w:id="2570" w:name="_Toc289939001"/>
      <w:bookmarkStart w:id="2571" w:name="_Toc274724482"/>
      <w:bookmarkStart w:id="2572" w:name="_Toc373850736"/>
      <w:bookmarkStart w:id="2573" w:name="_Toc274307455"/>
      <w:bookmarkStart w:id="2574" w:name="_Toc345155389"/>
      <w:bookmarkStart w:id="2575" w:name="_Toc260230012"/>
      <w:bookmarkStart w:id="2576" w:name="_Toc299349216"/>
      <w:bookmarkStart w:id="2577" w:name="_Toc281292269"/>
      <w:bookmarkStart w:id="2578" w:name="_Toc436309642"/>
      <w:bookmarkStart w:id="2579" w:name="_Toc298940308"/>
      <w:bookmarkStart w:id="2580" w:name="_Toc260649067"/>
      <w:bookmarkStart w:id="2581" w:name="_Toc436309994"/>
      <w:bookmarkStart w:id="2582" w:name="_Toc265480214"/>
      <w:bookmarkStart w:id="2583" w:name="_Toc262655492"/>
      <w:bookmarkStart w:id="2584" w:name="_Toc316471066"/>
      <w:bookmarkStart w:id="2585" w:name="_Toc439772749"/>
      <w:bookmarkStart w:id="2586" w:name="_Toc281740692"/>
      <w:bookmarkStart w:id="2587" w:name="_Toc262656019"/>
      <w:bookmarkStart w:id="2588" w:name="_Toc284248387"/>
      <w:bookmarkStart w:id="2589" w:name="_Toc373851261"/>
      <w:bookmarkStart w:id="2590" w:name="_Toc306620394"/>
      <w:bookmarkStart w:id="2591" w:name="_Toc436133285"/>
      <w:bookmarkStart w:id="2592" w:name="_Toc436998836"/>
      <w:bookmarkStart w:id="2593" w:name="_Toc269117557"/>
      <w:bookmarkStart w:id="2594" w:name="_Toc260994491"/>
      <w:bookmarkStart w:id="2595" w:name="_Toc335833025"/>
      <w:bookmarkStart w:id="2596" w:name="_Toc280710366"/>
      <w:bookmarkStart w:id="2597" w:name="_Toc342034803"/>
      <w:bookmarkStart w:id="2598" w:name="_Toc345316794"/>
      <w:r>
        <w:rPr>
          <w:rFonts w:hint="eastAsia" w:hAnsi="宋体" w:cs="宋体"/>
          <w:b/>
          <w:color w:val="auto"/>
          <w:sz w:val="32"/>
          <w:szCs w:val="32"/>
        </w:rPr>
        <w:t>11.</w:t>
      </w:r>
      <w:r>
        <w:rPr>
          <w:rFonts w:hint="eastAsia" w:hAnsi="宋体" w:cs="宋体"/>
          <w:b/>
          <w:color w:val="auto"/>
          <w:sz w:val="32"/>
          <w:szCs w:val="32"/>
        </w:rPr>
        <w:tab/>
      </w:r>
      <w:r>
        <w:rPr>
          <w:rFonts w:hint="eastAsia" w:hAnsi="宋体" w:cs="宋体"/>
          <w:b/>
          <w:color w:val="auto"/>
          <w:sz w:val="32"/>
          <w:szCs w:val="32"/>
        </w:rPr>
        <w:t>开工和竣工</w:t>
      </w:r>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r>
        <w:rPr>
          <w:rFonts w:hint="eastAsia" w:hAnsi="宋体" w:cs="宋体"/>
          <w:b/>
          <w:color w:val="auto"/>
          <w:sz w:val="32"/>
          <w:szCs w:val="32"/>
        </w:rPr>
        <w:t>（完工）</w:t>
      </w:r>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p>
    <w:p w14:paraId="39A0951E">
      <w:pPr>
        <w:pStyle w:val="180"/>
        <w:spacing w:after="0" w:line="400" w:lineRule="exact"/>
        <w:ind w:firstLine="562"/>
        <w:jc w:val="both"/>
        <w:rPr>
          <w:rFonts w:hAnsi="宋体" w:cs="宋体"/>
          <w:b/>
          <w:color w:val="auto"/>
        </w:rPr>
      </w:pPr>
      <w:bookmarkStart w:id="2599" w:name="_Toc439772750"/>
      <w:bookmarkStart w:id="2600" w:name="_Toc436998837"/>
      <w:bookmarkStart w:id="2601" w:name="_Toc445105586"/>
      <w:bookmarkStart w:id="2602" w:name="_Toc289939005"/>
      <w:bookmarkStart w:id="2603" w:name="_Toc298940312"/>
      <w:bookmarkStart w:id="2604" w:name="_Toc260230016"/>
      <w:bookmarkStart w:id="2605" w:name="_Toc436309646"/>
      <w:bookmarkStart w:id="2606" w:name="_Toc255470090"/>
      <w:bookmarkStart w:id="2607" w:name="_Toc260649071"/>
      <w:bookmarkStart w:id="2608" w:name="_Toc262655496"/>
      <w:bookmarkStart w:id="2609" w:name="_Toc209862374"/>
      <w:bookmarkStart w:id="2610" w:name="_Toc345155393"/>
      <w:bookmarkStart w:id="2611" w:name="_Toc254774453"/>
      <w:bookmarkStart w:id="2612" w:name="_Toc255741977"/>
      <w:bookmarkStart w:id="2613" w:name="_Toc200183076"/>
      <w:bookmarkStart w:id="2614" w:name="_Toc281740696"/>
      <w:bookmarkStart w:id="2615" w:name="_Toc262656023"/>
      <w:bookmarkStart w:id="2616" w:name="_Toc373851265"/>
      <w:bookmarkStart w:id="2617" w:name="_Toc248294465"/>
      <w:bookmarkStart w:id="2618" w:name="_Toc280710370"/>
      <w:bookmarkStart w:id="2619" w:name="_Toc215561252"/>
      <w:bookmarkStart w:id="2620" w:name="_Toc257202881"/>
      <w:bookmarkStart w:id="2621" w:name="_Toc316471070"/>
      <w:bookmarkStart w:id="2622" w:name="_Toc260994495"/>
      <w:bookmarkStart w:id="2623" w:name="_Toc335833029"/>
      <w:bookmarkStart w:id="2624" w:name="_Toc345316798"/>
      <w:bookmarkStart w:id="2625" w:name="_Toc206830065"/>
      <w:bookmarkStart w:id="2626" w:name="_Toc227658542"/>
      <w:bookmarkStart w:id="2627" w:name="_Toc274724486"/>
      <w:bookmarkStart w:id="2628" w:name="_Toc208734452"/>
      <w:bookmarkStart w:id="2629" w:name="_Toc219172381"/>
      <w:bookmarkStart w:id="2630" w:name="_Toc255470313"/>
      <w:bookmarkStart w:id="2631" w:name="_Toc260230343"/>
      <w:bookmarkStart w:id="2632" w:name="_Toc206384883"/>
      <w:bookmarkStart w:id="2633" w:name="_Toc222804568"/>
      <w:bookmarkStart w:id="2634" w:name="_Toc299349220"/>
      <w:bookmarkStart w:id="2635" w:name="_Toc436309998"/>
      <w:bookmarkStart w:id="2636" w:name="_Toc249848994"/>
      <w:bookmarkStart w:id="2637" w:name="_Toc306620398"/>
      <w:bookmarkStart w:id="2638" w:name="_Toc274307459"/>
      <w:bookmarkStart w:id="2639" w:name="_Toc215805095"/>
      <w:bookmarkStart w:id="2640" w:name="_Toc281292273"/>
      <w:bookmarkStart w:id="2641" w:name="_Toc342034807"/>
      <w:bookmarkStart w:id="2642" w:name="_Toc211175376"/>
      <w:bookmarkStart w:id="2643" w:name="_Toc215556234"/>
      <w:bookmarkStart w:id="2644" w:name="_Toc269117561"/>
      <w:bookmarkStart w:id="2645" w:name="_Toc265480218"/>
      <w:bookmarkStart w:id="2646" w:name="_Toc245110782"/>
      <w:bookmarkStart w:id="2647" w:name="_Toc284248391"/>
      <w:bookmarkStart w:id="2648" w:name="_Toc373850740"/>
      <w:bookmarkStart w:id="2649" w:name="_Toc214355715"/>
      <w:bookmarkStart w:id="2650" w:name="_Toc206485112"/>
      <w:bookmarkStart w:id="2651" w:name="_Toc436133289"/>
      <w:r>
        <w:rPr>
          <w:rFonts w:hint="eastAsia" w:hAnsi="宋体" w:cs="宋体"/>
          <w:b/>
          <w:color w:val="auto"/>
        </w:rPr>
        <w:t>11.3 发包人的工期延误</w:t>
      </w:r>
      <w:bookmarkEnd w:id="2599"/>
      <w:bookmarkEnd w:id="2600"/>
      <w:bookmarkEnd w:id="2601"/>
    </w:p>
    <w:p w14:paraId="4F58A9F4">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因发包人原因造成工期延误，只给与延长工期，不办理任何经济补偿签证。</w:t>
      </w:r>
    </w:p>
    <w:p w14:paraId="2D552B8C">
      <w:pPr>
        <w:pStyle w:val="180"/>
        <w:spacing w:after="0" w:line="400" w:lineRule="exact"/>
        <w:ind w:firstLine="562"/>
        <w:jc w:val="both"/>
        <w:rPr>
          <w:rFonts w:hAnsi="宋体" w:cs="宋体"/>
          <w:b/>
          <w:color w:val="auto"/>
        </w:rPr>
      </w:pPr>
      <w:bookmarkStart w:id="2652" w:name="_Toc262655494"/>
      <w:bookmarkStart w:id="2653" w:name="_Toc436998838"/>
      <w:bookmarkStart w:id="2654" w:name="_Toc245110780"/>
      <w:bookmarkStart w:id="2655" w:name="_Toc274724484"/>
      <w:bookmarkStart w:id="2656" w:name="_Toc373850738"/>
      <w:bookmarkStart w:id="2657" w:name="_Toc248294463"/>
      <w:bookmarkStart w:id="2658" w:name="_Toc209862372"/>
      <w:bookmarkStart w:id="2659" w:name="_Toc215805093"/>
      <w:bookmarkStart w:id="2660" w:name="_Toc281292271"/>
      <w:bookmarkStart w:id="2661" w:name="_Toc436133287"/>
      <w:bookmarkStart w:id="2662" w:name="_Toc206485111"/>
      <w:bookmarkStart w:id="2663" w:name="_Toc280710368"/>
      <w:bookmarkStart w:id="2664" w:name="_Toc342034805"/>
      <w:bookmarkStart w:id="2665" w:name="_Toc262656021"/>
      <w:bookmarkStart w:id="2666" w:name="_Toc215561250"/>
      <w:bookmarkStart w:id="2667" w:name="_Toc298940310"/>
      <w:bookmarkStart w:id="2668" w:name="_Toc257202879"/>
      <w:bookmarkStart w:id="2669" w:name="_Toc260649069"/>
      <w:bookmarkStart w:id="2670" w:name="_Toc299349218"/>
      <w:bookmarkStart w:id="2671" w:name="_Toc249848992"/>
      <w:bookmarkStart w:id="2672" w:name="_Toc284248389"/>
      <w:bookmarkStart w:id="2673" w:name="_Toc200183075"/>
      <w:bookmarkStart w:id="2674" w:name="_Toc227658540"/>
      <w:bookmarkStart w:id="2675" w:name="_Toc206830063"/>
      <w:bookmarkStart w:id="2676" w:name="_Toc265480216"/>
      <w:bookmarkStart w:id="2677" w:name="_Toc254774451"/>
      <w:bookmarkStart w:id="2678" w:name="_Toc274307457"/>
      <w:bookmarkStart w:id="2679" w:name="_Toc335833027"/>
      <w:bookmarkStart w:id="2680" w:name="_Toc289939003"/>
      <w:bookmarkStart w:id="2681" w:name="_Toc222804566"/>
      <w:bookmarkStart w:id="2682" w:name="_Toc208734450"/>
      <w:bookmarkStart w:id="2683" w:name="_Toc260230341"/>
      <w:bookmarkStart w:id="2684" w:name="_Toc445105587"/>
      <w:bookmarkStart w:id="2685" w:name="_Toc206384882"/>
      <w:bookmarkStart w:id="2686" w:name="_Toc255470088"/>
      <w:bookmarkStart w:id="2687" w:name="_Toc260230014"/>
      <w:bookmarkStart w:id="2688" w:name="_Toc219172379"/>
      <w:bookmarkStart w:id="2689" w:name="_Toc306620396"/>
      <w:bookmarkStart w:id="2690" w:name="_Toc260994493"/>
      <w:bookmarkStart w:id="2691" w:name="_Toc255741975"/>
      <w:bookmarkStart w:id="2692" w:name="_Toc215556232"/>
      <w:bookmarkStart w:id="2693" w:name="_Toc439772751"/>
      <w:bookmarkStart w:id="2694" w:name="_Toc255470311"/>
      <w:bookmarkStart w:id="2695" w:name="_Toc345155391"/>
      <w:bookmarkStart w:id="2696" w:name="_Toc373851263"/>
      <w:bookmarkStart w:id="2697" w:name="_Toc281740694"/>
      <w:bookmarkStart w:id="2698" w:name="_Toc316471068"/>
      <w:bookmarkStart w:id="2699" w:name="_Toc214355713"/>
      <w:bookmarkStart w:id="2700" w:name="_Toc345316796"/>
      <w:bookmarkStart w:id="2701" w:name="_Toc211175374"/>
      <w:bookmarkStart w:id="2702" w:name="_Toc269117559"/>
      <w:r>
        <w:rPr>
          <w:rFonts w:hint="eastAsia" w:hAnsi="宋体" w:cs="宋体"/>
          <w:b/>
          <w:color w:val="auto"/>
        </w:rPr>
        <w:t>11.4 异常恶劣的气候条件</w:t>
      </w:r>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p>
    <w:p w14:paraId="5AEB6C71">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属于不可抗力的超标准洪水，并导致连续3天以上无法正常施工，需经监理和发包人的确认，发包人同意延长工期。</w:t>
      </w:r>
    </w:p>
    <w:p w14:paraId="51A88B1A">
      <w:pPr>
        <w:pStyle w:val="180"/>
        <w:spacing w:after="0" w:line="400" w:lineRule="exact"/>
        <w:ind w:firstLine="562"/>
        <w:jc w:val="both"/>
        <w:rPr>
          <w:rFonts w:hAnsi="宋体" w:cs="宋体"/>
          <w:b/>
          <w:color w:val="auto"/>
        </w:rPr>
      </w:pPr>
      <w:bookmarkStart w:id="2703" w:name="_Toc214355714"/>
      <w:bookmarkStart w:id="2704" w:name="_Toc215556233"/>
      <w:bookmarkStart w:id="2705" w:name="_Toc439772752"/>
      <w:bookmarkStart w:id="2706" w:name="_Toc260649070"/>
      <w:bookmarkStart w:id="2707" w:name="_Toc208734451"/>
      <w:bookmarkStart w:id="2708" w:name="_Toc274307458"/>
      <w:bookmarkStart w:id="2709" w:name="_Toc227658541"/>
      <w:bookmarkStart w:id="2710" w:name="_Toc262656022"/>
      <w:bookmarkStart w:id="2711" w:name="_Toc316471069"/>
      <w:bookmarkStart w:id="2712" w:name="_Toc257202880"/>
      <w:bookmarkStart w:id="2713" w:name="_Toc260230015"/>
      <w:bookmarkStart w:id="2714" w:name="_Toc219172380"/>
      <w:bookmarkStart w:id="2715" w:name="_Toc345316797"/>
      <w:bookmarkStart w:id="2716" w:name="_Toc306620397"/>
      <w:bookmarkStart w:id="2717" w:name="_Toc260230342"/>
      <w:bookmarkStart w:id="2718" w:name="_Toc436998839"/>
      <w:bookmarkStart w:id="2719" w:name="_Toc255470312"/>
      <w:bookmarkStart w:id="2720" w:name="_Toc249848993"/>
      <w:bookmarkStart w:id="2721" w:name="_Toc269117560"/>
      <w:bookmarkStart w:id="2722" w:name="_Toc206830064"/>
      <w:bookmarkStart w:id="2723" w:name="_Toc245110781"/>
      <w:bookmarkStart w:id="2724" w:name="_Toc345155392"/>
      <w:bookmarkStart w:id="2725" w:name="_Toc255741976"/>
      <w:bookmarkStart w:id="2726" w:name="_Toc222804567"/>
      <w:bookmarkStart w:id="2727" w:name="_Toc248294464"/>
      <w:bookmarkStart w:id="2728" w:name="_Toc265480217"/>
      <w:bookmarkStart w:id="2729" w:name="_Toc445105588"/>
      <w:bookmarkStart w:id="2730" w:name="_Toc281292272"/>
      <w:bookmarkStart w:id="2731" w:name="_Toc335833028"/>
      <w:bookmarkStart w:id="2732" w:name="_Toc255470089"/>
      <w:bookmarkStart w:id="2733" w:name="_Toc209862373"/>
      <w:bookmarkStart w:id="2734" w:name="_Toc299349219"/>
      <w:bookmarkStart w:id="2735" w:name="_Toc280710369"/>
      <w:bookmarkStart w:id="2736" w:name="_Toc260994494"/>
      <w:bookmarkStart w:id="2737" w:name="_Toc215561251"/>
      <w:bookmarkStart w:id="2738" w:name="_Toc373850739"/>
      <w:bookmarkStart w:id="2739" w:name="_Toc254774452"/>
      <w:bookmarkStart w:id="2740" w:name="_Toc284248390"/>
      <w:bookmarkStart w:id="2741" w:name="_Toc274724485"/>
      <w:bookmarkStart w:id="2742" w:name="_Toc436133288"/>
      <w:bookmarkStart w:id="2743" w:name="_Toc373851264"/>
      <w:bookmarkStart w:id="2744" w:name="_Toc298940311"/>
      <w:bookmarkStart w:id="2745" w:name="_Toc215805094"/>
      <w:bookmarkStart w:id="2746" w:name="_Toc211175375"/>
      <w:bookmarkStart w:id="2747" w:name="_Toc281740695"/>
      <w:bookmarkStart w:id="2748" w:name="_Toc342034806"/>
      <w:bookmarkStart w:id="2749" w:name="_Toc262655495"/>
      <w:bookmarkStart w:id="2750" w:name="_Toc289939004"/>
      <w:r>
        <w:rPr>
          <w:rFonts w:hint="eastAsia" w:hAnsi="宋体" w:cs="宋体"/>
          <w:b/>
          <w:color w:val="auto"/>
        </w:rPr>
        <w:t>11.5 承包人工期延误</w:t>
      </w:r>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p>
    <w:p w14:paraId="3481F2DE">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由于承包人的原因造成工期延误的，承包人应向发包人支付逾期完工违约金人民币10000元/天；延期超过30天，甲方有权解除合同，已完工程量按照已完成合格工程合同价款的80%结算。</w:t>
      </w:r>
    </w:p>
    <w:p w14:paraId="6F5BA9BB">
      <w:pPr>
        <w:pStyle w:val="180"/>
        <w:spacing w:after="0" w:line="400" w:lineRule="exact"/>
        <w:ind w:firstLine="562"/>
        <w:jc w:val="both"/>
        <w:rPr>
          <w:rFonts w:hAnsi="宋体" w:cs="宋体"/>
          <w:b/>
          <w:color w:val="auto"/>
        </w:rPr>
      </w:pPr>
      <w:bookmarkStart w:id="2751" w:name="_Toc445105589"/>
      <w:bookmarkStart w:id="2752" w:name="_Toc436998841"/>
      <w:bookmarkStart w:id="2753" w:name="_Toc439772753"/>
      <w:r>
        <w:rPr>
          <w:rFonts w:hint="eastAsia" w:hAnsi="宋体" w:cs="宋体"/>
          <w:b/>
          <w:color w:val="auto"/>
        </w:rPr>
        <w:t>11.6 工期提前</w:t>
      </w:r>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751"/>
      <w:bookmarkEnd w:id="2752"/>
      <w:bookmarkEnd w:id="2753"/>
    </w:p>
    <w:p w14:paraId="54EFB37A">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发包人不对提前完工进行奖励。</w:t>
      </w:r>
    </w:p>
    <w:p w14:paraId="759B70BE">
      <w:pPr>
        <w:pStyle w:val="180"/>
        <w:spacing w:before="100" w:after="100" w:line="400" w:lineRule="exact"/>
        <w:ind w:firstLine="643"/>
        <w:jc w:val="both"/>
        <w:rPr>
          <w:rFonts w:hAnsi="宋体" w:cs="宋体"/>
          <w:b/>
          <w:color w:val="auto"/>
          <w:sz w:val="32"/>
          <w:szCs w:val="32"/>
        </w:rPr>
      </w:pPr>
      <w:bookmarkStart w:id="2754" w:name="_Toc260230019"/>
      <w:bookmarkStart w:id="2755" w:name="_Toc215561255"/>
      <w:bookmarkStart w:id="2756" w:name="_Toc316471073"/>
      <w:bookmarkStart w:id="2757" w:name="_Toc206384886"/>
      <w:bookmarkStart w:id="2758" w:name="_Toc257202884"/>
      <w:bookmarkStart w:id="2759" w:name="_Toc227658545"/>
      <w:bookmarkStart w:id="2760" w:name="_Toc445105590"/>
      <w:bookmarkStart w:id="2761" w:name="_Toc265480221"/>
      <w:bookmarkStart w:id="2762" w:name="_Toc219172384"/>
      <w:bookmarkStart w:id="2763" w:name="_Toc299349223"/>
      <w:bookmarkStart w:id="2764" w:name="_Toc199842025"/>
      <w:bookmarkStart w:id="2765" w:name="_Toc187846025"/>
      <w:bookmarkStart w:id="2766" w:name="_Toc254774456"/>
      <w:bookmarkStart w:id="2767" w:name="_Toc209862377"/>
      <w:bookmarkStart w:id="2768" w:name="_Toc222804571"/>
      <w:bookmarkStart w:id="2769" w:name="_Toc298940315"/>
      <w:bookmarkStart w:id="2770" w:name="_Toc255470316"/>
      <w:bookmarkStart w:id="2771" w:name="_Toc206830068"/>
      <w:bookmarkStart w:id="2772" w:name="_Toc289939008"/>
      <w:bookmarkStart w:id="2773" w:name="_Toc342034810"/>
      <w:bookmarkStart w:id="2774" w:name="_Toc260649075"/>
      <w:bookmarkStart w:id="2775" w:name="_Toc249848997"/>
      <w:bookmarkStart w:id="2776" w:name="_Toc255470093"/>
      <w:bookmarkStart w:id="2777" w:name="_Toc208734455"/>
      <w:bookmarkStart w:id="2778" w:name="_Toc284248394"/>
      <w:bookmarkStart w:id="2779" w:name="_Toc260994498"/>
      <w:bookmarkStart w:id="2780" w:name="_Toc281292276"/>
      <w:bookmarkStart w:id="2781" w:name="_Toc436309649"/>
      <w:bookmarkStart w:id="2782" w:name="_Toc274307462"/>
      <w:bookmarkStart w:id="2783" w:name="_Toc436998844"/>
      <w:bookmarkStart w:id="2784" w:name="_Toc245110785"/>
      <w:bookmarkStart w:id="2785" w:name="_Toc280710373"/>
      <w:bookmarkStart w:id="2786" w:name="_Toc262656026"/>
      <w:bookmarkStart w:id="2787" w:name="_Toc436133292"/>
      <w:bookmarkStart w:id="2788" w:name="_Toc373851268"/>
      <w:bookmarkStart w:id="2789" w:name="_Toc206485115"/>
      <w:bookmarkStart w:id="2790" w:name="_Toc215556237"/>
      <w:bookmarkStart w:id="2791" w:name="_Toc373850743"/>
      <w:bookmarkStart w:id="2792" w:name="_Toc260230346"/>
      <w:bookmarkStart w:id="2793" w:name="_Toc248294468"/>
      <w:bookmarkStart w:id="2794" w:name="_Toc189297967"/>
      <w:bookmarkStart w:id="2795" w:name="_Toc269117564"/>
      <w:bookmarkStart w:id="2796" w:name="_Toc215805098"/>
      <w:bookmarkStart w:id="2797" w:name="_Toc214355718"/>
      <w:bookmarkStart w:id="2798" w:name="_Toc439772756"/>
      <w:bookmarkStart w:id="2799" w:name="_Toc199733042"/>
      <w:bookmarkStart w:id="2800" w:name="_Toc345155396"/>
      <w:bookmarkStart w:id="2801" w:name="_Toc255741980"/>
      <w:bookmarkStart w:id="2802" w:name="_Toc306620401"/>
      <w:bookmarkStart w:id="2803" w:name="_Toc200183079"/>
      <w:bookmarkStart w:id="2804" w:name="_Toc345316801"/>
      <w:bookmarkStart w:id="2805" w:name="_Toc436310001"/>
      <w:bookmarkStart w:id="2806" w:name="_Toc211175379"/>
      <w:bookmarkStart w:id="2807" w:name="_Toc274724489"/>
      <w:bookmarkStart w:id="2808" w:name="_Toc262655499"/>
      <w:bookmarkStart w:id="2809" w:name="_Toc335833032"/>
      <w:bookmarkStart w:id="2810" w:name="_Toc281740699"/>
      <w:r>
        <w:rPr>
          <w:rFonts w:hint="eastAsia" w:hAnsi="宋体" w:cs="宋体"/>
          <w:b/>
          <w:color w:val="auto"/>
          <w:sz w:val="32"/>
          <w:szCs w:val="32"/>
        </w:rPr>
        <w:t>15.变更</w:t>
      </w:r>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p>
    <w:p w14:paraId="3F1E242D">
      <w:pPr>
        <w:pStyle w:val="180"/>
        <w:spacing w:after="0" w:line="400" w:lineRule="exact"/>
        <w:ind w:firstLine="562"/>
        <w:jc w:val="both"/>
        <w:rPr>
          <w:rFonts w:hAnsi="宋体" w:cs="宋体"/>
          <w:b/>
          <w:color w:val="auto"/>
        </w:rPr>
      </w:pPr>
      <w:bookmarkStart w:id="2811" w:name="_Toc280710374"/>
      <w:bookmarkStart w:id="2812" w:name="_Toc445105591"/>
      <w:bookmarkStart w:id="2813" w:name="_Toc274724490"/>
      <w:bookmarkStart w:id="2814" w:name="_Toc345316802"/>
      <w:bookmarkStart w:id="2815" w:name="_Toc289939009"/>
      <w:bookmarkStart w:id="2816" w:name="_Toc299349224"/>
      <w:bookmarkStart w:id="2817" w:name="_Toc260230347"/>
      <w:bookmarkStart w:id="2818" w:name="_Toc265480222"/>
      <w:bookmarkStart w:id="2819" w:name="_Toc281292277"/>
      <w:bookmarkStart w:id="2820" w:name="_Toc260649076"/>
      <w:bookmarkStart w:id="2821" w:name="_Toc269117565"/>
      <w:bookmarkStart w:id="2822" w:name="_Toc262656027"/>
      <w:bookmarkStart w:id="2823" w:name="_Toc439772757"/>
      <w:bookmarkStart w:id="2824" w:name="_Toc260994499"/>
      <w:bookmarkStart w:id="2825" w:name="_Toc284248395"/>
      <w:bookmarkStart w:id="2826" w:name="_Toc342034811"/>
      <w:bookmarkStart w:id="2827" w:name="_Toc335833033"/>
      <w:bookmarkStart w:id="2828" w:name="_Toc345155397"/>
      <w:bookmarkStart w:id="2829" w:name="_Toc436998845"/>
      <w:bookmarkStart w:id="2830" w:name="_Toc298940316"/>
      <w:bookmarkStart w:id="2831" w:name="_Toc281740700"/>
      <w:bookmarkStart w:id="2832" w:name="_Toc274307463"/>
      <w:bookmarkStart w:id="2833" w:name="_Toc306620402"/>
      <w:bookmarkStart w:id="2834" w:name="_Toc260230020"/>
      <w:bookmarkStart w:id="2835" w:name="_Toc316471074"/>
      <w:bookmarkStart w:id="2836" w:name="_Toc436133293"/>
      <w:bookmarkStart w:id="2837" w:name="_Toc436310002"/>
      <w:bookmarkStart w:id="2838" w:name="_Toc262655500"/>
      <w:bookmarkStart w:id="2839" w:name="_Toc373851269"/>
      <w:bookmarkStart w:id="2840" w:name="_Toc436309650"/>
      <w:bookmarkStart w:id="2841" w:name="_Toc373850744"/>
      <w:bookmarkStart w:id="2842" w:name="_Toc249848998"/>
      <w:bookmarkStart w:id="2843" w:name="_Toc255470317"/>
      <w:bookmarkStart w:id="2844" w:name="_Toc215556238"/>
      <w:bookmarkStart w:id="2845" w:name="_Toc200183080"/>
      <w:bookmarkStart w:id="2846" w:name="_Toc206830069"/>
      <w:bookmarkStart w:id="2847" w:name="_Toc257202885"/>
      <w:bookmarkStart w:id="2848" w:name="_Toc211175380"/>
      <w:bookmarkStart w:id="2849" w:name="_Toc206384887"/>
      <w:bookmarkStart w:id="2850" w:name="_Toc255741981"/>
      <w:bookmarkStart w:id="2851" w:name="_Toc245110786"/>
      <w:bookmarkStart w:id="2852" w:name="_Toc214355719"/>
      <w:bookmarkStart w:id="2853" w:name="_Toc254774457"/>
      <w:bookmarkStart w:id="2854" w:name="_Toc215561256"/>
      <w:bookmarkStart w:id="2855" w:name="_Toc209862378"/>
      <w:bookmarkStart w:id="2856" w:name="_Toc219172385"/>
      <w:bookmarkStart w:id="2857" w:name="_Toc255470094"/>
      <w:bookmarkStart w:id="2858" w:name="_Toc215805099"/>
      <w:bookmarkStart w:id="2859" w:name="_Toc227658546"/>
      <w:bookmarkStart w:id="2860" w:name="_Toc206485116"/>
      <w:bookmarkStart w:id="2861" w:name="_Toc222804572"/>
      <w:bookmarkStart w:id="2862" w:name="_Toc208734456"/>
      <w:bookmarkStart w:id="2863" w:name="_Toc248294469"/>
      <w:r>
        <w:rPr>
          <w:rFonts w:hint="eastAsia" w:hAnsi="宋体" w:cs="宋体"/>
          <w:b/>
          <w:color w:val="auto"/>
        </w:rPr>
        <w:t>15.1 变更的范围和内容</w:t>
      </w:r>
    </w:p>
    <w:p w14:paraId="3B8A7744">
      <w:pPr>
        <w:pStyle w:val="87"/>
        <w:spacing w:line="400" w:lineRule="exact"/>
        <w:ind w:firstLine="630" w:firstLineChars="300"/>
        <w:jc w:val="both"/>
        <w:rPr>
          <w:rFonts w:ascii="Times New Roman"/>
          <w:color w:val="auto"/>
          <w:kern w:val="2"/>
          <w:sz w:val="21"/>
        </w:rPr>
      </w:pPr>
      <w:bookmarkStart w:id="2864" w:name="_Toc373851270"/>
      <w:bookmarkStart w:id="2865" w:name="_Toc436309651"/>
      <w:bookmarkStart w:id="2866" w:name="_Toc436310003"/>
      <w:bookmarkStart w:id="2867" w:name="_Toc298940317"/>
      <w:bookmarkStart w:id="2868" w:name="_Toc436133294"/>
      <w:bookmarkStart w:id="2869" w:name="_Toc269117566"/>
      <w:bookmarkStart w:id="2870" w:name="_Toc306620403"/>
      <w:bookmarkStart w:id="2871" w:name="_Toc262656028"/>
      <w:bookmarkStart w:id="2872" w:name="_Toc345155398"/>
      <w:bookmarkStart w:id="2873" w:name="_Toc373850745"/>
      <w:bookmarkStart w:id="2874" w:name="_Toc299349225"/>
      <w:bookmarkStart w:id="2875" w:name="_Toc260649077"/>
      <w:bookmarkStart w:id="2876" w:name="_Toc316471075"/>
      <w:bookmarkStart w:id="2877" w:name="_Toc274724491"/>
      <w:bookmarkStart w:id="2878" w:name="_Toc345316803"/>
      <w:bookmarkStart w:id="2879" w:name="_Toc260231006"/>
      <w:bookmarkStart w:id="2880" w:name="_Toc262655501"/>
      <w:bookmarkStart w:id="2881" w:name="_Toc281292278"/>
      <w:bookmarkStart w:id="2882" w:name="_Toc439772758"/>
      <w:bookmarkStart w:id="2883" w:name="_Toc281740701"/>
      <w:bookmarkStart w:id="2884" w:name="_Toc280710375"/>
      <w:bookmarkStart w:id="2885" w:name="_Toc260994500"/>
      <w:bookmarkStart w:id="2886" w:name="_Toc274307464"/>
      <w:bookmarkStart w:id="2887" w:name="_Toc342034812"/>
      <w:bookmarkStart w:id="2888" w:name="_Toc265480223"/>
      <w:bookmarkStart w:id="2889" w:name="_Toc436998846"/>
      <w:bookmarkStart w:id="2890" w:name="_Toc445105592"/>
      <w:bookmarkStart w:id="2891" w:name="_Toc284248396"/>
      <w:bookmarkStart w:id="2892" w:name="_Toc335833034"/>
      <w:bookmarkStart w:id="2893" w:name="_Toc289939010"/>
      <w:r>
        <w:rPr>
          <w:rFonts w:hint="eastAsia" w:ascii="Times New Roman"/>
          <w:color w:val="auto"/>
          <w:kern w:val="2"/>
          <w:sz w:val="21"/>
        </w:rPr>
        <w:t>单价调整方式：合同期内所有单价不作调整。</w:t>
      </w:r>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p>
    <w:p w14:paraId="404DCF65">
      <w:pPr>
        <w:pStyle w:val="180"/>
        <w:spacing w:after="0" w:line="400" w:lineRule="exact"/>
        <w:ind w:firstLine="562"/>
        <w:jc w:val="both"/>
        <w:rPr>
          <w:rFonts w:hAnsi="宋体" w:cs="宋体"/>
          <w:b/>
          <w:color w:val="auto"/>
        </w:rPr>
      </w:pPr>
      <w:r>
        <w:rPr>
          <w:rFonts w:hint="eastAsia" w:hAnsi="宋体" w:cs="宋体"/>
          <w:b/>
          <w:color w:val="auto"/>
        </w:rPr>
        <w:t>15.2  变更权</w:t>
      </w:r>
    </w:p>
    <w:p w14:paraId="58C8812D">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经监理人同意涉及合同的任何变更必须经发包人同意。</w:t>
      </w:r>
    </w:p>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p w14:paraId="5230D576">
      <w:pPr>
        <w:pStyle w:val="180"/>
        <w:spacing w:after="0" w:line="400" w:lineRule="exact"/>
        <w:ind w:firstLine="562"/>
        <w:jc w:val="both"/>
        <w:rPr>
          <w:rFonts w:hAnsi="宋体" w:cs="宋体"/>
          <w:b/>
          <w:color w:val="auto"/>
        </w:rPr>
      </w:pPr>
      <w:bookmarkStart w:id="2894" w:name="_Toc306620404"/>
      <w:bookmarkStart w:id="2895" w:name="_Toc260230022"/>
      <w:bookmarkStart w:id="2896" w:name="_Toc342034813"/>
      <w:bookmarkStart w:id="2897" w:name="_Toc281740702"/>
      <w:bookmarkStart w:id="2898" w:name="_Toc298940318"/>
      <w:bookmarkStart w:id="2899" w:name="_Toc436133295"/>
      <w:bookmarkStart w:id="2900" w:name="_Toc436310004"/>
      <w:bookmarkStart w:id="2901" w:name="_Toc299349226"/>
      <w:bookmarkStart w:id="2902" w:name="_Toc284248397"/>
      <w:bookmarkStart w:id="2903" w:name="_Toc445105593"/>
      <w:bookmarkStart w:id="2904" w:name="_Toc274724492"/>
      <w:bookmarkStart w:id="2905" w:name="_Toc280710376"/>
      <w:bookmarkStart w:id="2906" w:name="_Toc269117567"/>
      <w:bookmarkStart w:id="2907" w:name="_Toc281292279"/>
      <w:bookmarkStart w:id="2908" w:name="_Toc436998847"/>
      <w:bookmarkStart w:id="2909" w:name="_Toc260994501"/>
      <w:bookmarkStart w:id="2910" w:name="_Toc262656029"/>
      <w:bookmarkStart w:id="2911" w:name="_Toc316471076"/>
      <w:bookmarkStart w:id="2912" w:name="_Toc262655502"/>
      <w:bookmarkStart w:id="2913" w:name="_Toc260230349"/>
      <w:bookmarkStart w:id="2914" w:name="_Toc274307465"/>
      <w:bookmarkStart w:id="2915" w:name="_Toc436309652"/>
      <w:bookmarkStart w:id="2916" w:name="_Toc373851271"/>
      <w:bookmarkStart w:id="2917" w:name="_Toc289939011"/>
      <w:bookmarkStart w:id="2918" w:name="_Toc265480224"/>
      <w:bookmarkStart w:id="2919" w:name="_Toc335833035"/>
      <w:bookmarkStart w:id="2920" w:name="_Toc373850746"/>
      <w:bookmarkStart w:id="2921" w:name="_Toc345316804"/>
      <w:bookmarkStart w:id="2922" w:name="_Toc260649078"/>
      <w:bookmarkStart w:id="2923" w:name="_Toc345155399"/>
      <w:bookmarkStart w:id="2924" w:name="_Toc439772759"/>
      <w:r>
        <w:rPr>
          <w:rFonts w:hint="eastAsia" w:hAnsi="宋体" w:cs="宋体"/>
          <w:b/>
          <w:color w:val="auto"/>
        </w:rPr>
        <w:t>15.4 变更的估价原则</w:t>
      </w:r>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p>
    <w:p w14:paraId="2906E703">
      <w:pPr>
        <w:pStyle w:val="87"/>
        <w:spacing w:line="400" w:lineRule="exact"/>
        <w:ind w:firstLine="630" w:firstLineChars="300"/>
        <w:jc w:val="both"/>
        <w:rPr>
          <w:rFonts w:ascii="Times New Roman"/>
          <w:color w:val="auto"/>
          <w:kern w:val="2"/>
          <w:sz w:val="21"/>
        </w:rPr>
      </w:pPr>
      <w:bookmarkStart w:id="2925" w:name="_Toc260994502"/>
      <w:bookmarkStart w:id="2926" w:name="_Toc265480225"/>
      <w:bookmarkStart w:id="2927" w:name="_Toc255470318"/>
      <w:bookmarkStart w:id="2928" w:name="_Toc342034814"/>
      <w:bookmarkStart w:id="2929" w:name="_Toc284248398"/>
      <w:bookmarkStart w:id="2930" w:name="_Toc255741982"/>
      <w:bookmarkStart w:id="2931" w:name="_Toc436310005"/>
      <w:bookmarkStart w:id="2932" w:name="_Toc289939012"/>
      <w:bookmarkStart w:id="2933" w:name="_Toc316471077"/>
      <w:bookmarkStart w:id="2934" w:name="_Toc373851272"/>
      <w:bookmarkStart w:id="2935" w:name="_Toc257202886"/>
      <w:bookmarkStart w:id="2936" w:name="_Toc260649079"/>
      <w:bookmarkStart w:id="2937" w:name="_Toc281740703"/>
      <w:bookmarkStart w:id="2938" w:name="_Toc373850747"/>
      <w:bookmarkStart w:id="2939" w:name="_Toc260230023"/>
      <w:bookmarkStart w:id="2940" w:name="_Toc269117568"/>
      <w:bookmarkStart w:id="2941" w:name="_Toc335833036"/>
      <w:bookmarkStart w:id="2942" w:name="_Toc298940319"/>
      <w:bookmarkStart w:id="2943" w:name="_Toc189297968"/>
      <w:bookmarkStart w:id="2944" w:name="_Toc215556239"/>
      <w:bookmarkStart w:id="2945" w:name="_Toc219172386"/>
      <w:bookmarkStart w:id="2946" w:name="_Toc255470095"/>
      <w:bookmarkStart w:id="2947" w:name="_Toc209862379"/>
      <w:bookmarkStart w:id="2948" w:name="_Toc274724493"/>
      <w:bookmarkStart w:id="2949" w:name="_Toc211175381"/>
      <w:bookmarkStart w:id="2950" w:name="_Toc436309653"/>
      <w:bookmarkStart w:id="2951" w:name="_Toc187846026"/>
      <w:bookmarkStart w:id="2952" w:name="_Toc262655503"/>
      <w:bookmarkStart w:id="2953" w:name="_Toc299349227"/>
      <w:bookmarkStart w:id="2954" w:name="_Toc345155400"/>
      <w:bookmarkStart w:id="2955" w:name="_Toc249848999"/>
      <w:bookmarkStart w:id="2956" w:name="_Toc345316805"/>
      <w:bookmarkStart w:id="2957" w:name="_Toc306620405"/>
      <w:bookmarkStart w:id="2958" w:name="_Toc206485117"/>
      <w:bookmarkStart w:id="2959" w:name="_Toc215805100"/>
      <w:bookmarkStart w:id="2960" w:name="_Toc248294470"/>
      <w:bookmarkStart w:id="2961" w:name="_Toc206384888"/>
      <w:bookmarkStart w:id="2962" w:name="_Toc280710377"/>
      <w:bookmarkStart w:id="2963" w:name="_Toc245110787"/>
      <w:bookmarkStart w:id="2964" w:name="_Toc199733043"/>
      <w:bookmarkStart w:id="2965" w:name="_Toc274307466"/>
      <w:bookmarkStart w:id="2966" w:name="_Toc199842026"/>
      <w:bookmarkStart w:id="2967" w:name="_Toc281292280"/>
      <w:bookmarkStart w:id="2968" w:name="_Toc227658547"/>
      <w:bookmarkStart w:id="2969" w:name="_Toc214355720"/>
      <w:bookmarkStart w:id="2970" w:name="_Toc200183081"/>
      <w:bookmarkStart w:id="2971" w:name="_Toc208734457"/>
      <w:bookmarkStart w:id="2972" w:name="_Toc254774458"/>
      <w:bookmarkStart w:id="2973" w:name="_Toc206830070"/>
      <w:bookmarkStart w:id="2974" w:name="_Toc436133296"/>
      <w:bookmarkStart w:id="2975" w:name="_Toc260230350"/>
      <w:bookmarkStart w:id="2976" w:name="_Toc222804573"/>
      <w:bookmarkStart w:id="2977" w:name="_Toc215561257"/>
      <w:bookmarkStart w:id="2978" w:name="_Toc262656030"/>
      <w:r>
        <w:rPr>
          <w:rFonts w:hint="eastAsia" w:ascii="Times New Roman"/>
          <w:color w:val="auto"/>
          <w:kern w:val="2"/>
          <w:sz w:val="21"/>
        </w:rPr>
        <w:t>15.4.4承包人在接到发包人下发的有效的设计变更通知单后，应立即着手实施，不得以价款未定为理由而拒绝承担该项工作内容，否则造成的工期及一切费用损失均由承包人负责，发包方可另行安排队伍施工，因此发生的施工费用×120%，在承包单位工程款中扣除。</w:t>
      </w:r>
    </w:p>
    <w:p w14:paraId="59706252">
      <w:pPr>
        <w:pStyle w:val="180"/>
        <w:spacing w:before="100" w:after="100" w:line="400" w:lineRule="exact"/>
        <w:ind w:firstLine="643"/>
        <w:jc w:val="both"/>
        <w:rPr>
          <w:rFonts w:hAnsi="宋体" w:cs="宋体"/>
          <w:b/>
          <w:color w:val="auto"/>
          <w:sz w:val="32"/>
          <w:szCs w:val="32"/>
        </w:rPr>
      </w:pPr>
      <w:bookmarkStart w:id="2979" w:name="_Toc436998848"/>
      <w:bookmarkStart w:id="2980" w:name="_Toc445105594"/>
      <w:bookmarkStart w:id="2981" w:name="_Toc439772760"/>
      <w:r>
        <w:rPr>
          <w:rFonts w:hint="eastAsia" w:hAnsi="宋体" w:cs="宋体"/>
          <w:b/>
          <w:color w:val="auto"/>
          <w:sz w:val="32"/>
          <w:szCs w:val="32"/>
        </w:rPr>
        <w:t>16.价格调整</w:t>
      </w:r>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p>
    <w:p w14:paraId="2E0E985F">
      <w:pPr>
        <w:pStyle w:val="180"/>
        <w:spacing w:after="0" w:line="400" w:lineRule="exact"/>
        <w:ind w:firstLine="562"/>
        <w:jc w:val="both"/>
        <w:rPr>
          <w:rFonts w:hAnsi="宋体" w:cs="宋体"/>
          <w:b/>
          <w:color w:val="auto"/>
        </w:rPr>
      </w:pPr>
      <w:bookmarkStart w:id="2982" w:name="_Toc206384889"/>
      <w:bookmarkStart w:id="2983" w:name="_Toc260230024"/>
      <w:bookmarkStart w:id="2984" w:name="_Toc265480226"/>
      <w:bookmarkStart w:id="2985" w:name="_Toc222804574"/>
      <w:bookmarkStart w:id="2986" w:name="_Toc206830071"/>
      <w:bookmarkStart w:id="2987" w:name="_Toc373850748"/>
      <w:bookmarkStart w:id="2988" w:name="_Toc255470096"/>
      <w:bookmarkStart w:id="2989" w:name="_Toc245110788"/>
      <w:bookmarkStart w:id="2990" w:name="_Toc274307467"/>
      <w:bookmarkStart w:id="2991" w:name="_Toc289939013"/>
      <w:bookmarkStart w:id="2992" w:name="_Toc219172387"/>
      <w:bookmarkStart w:id="2993" w:name="_Toc316471078"/>
      <w:bookmarkStart w:id="2994" w:name="_Toc436310006"/>
      <w:bookmarkStart w:id="2995" w:name="_Toc215561258"/>
      <w:bookmarkStart w:id="2996" w:name="_Toc269117569"/>
      <w:bookmarkStart w:id="2997" w:name="_Toc260649080"/>
      <w:bookmarkStart w:id="2998" w:name="_Toc281740704"/>
      <w:bookmarkStart w:id="2999" w:name="_Toc436309654"/>
      <w:bookmarkStart w:id="3000" w:name="_Toc200183082"/>
      <w:bookmarkStart w:id="3001" w:name="_Toc255741983"/>
      <w:bookmarkStart w:id="3002" w:name="_Toc262655504"/>
      <w:bookmarkStart w:id="3003" w:name="_Toc248294471"/>
      <w:bookmarkStart w:id="3004" w:name="_Toc281292281"/>
      <w:bookmarkStart w:id="3005" w:name="_Toc335833037"/>
      <w:bookmarkStart w:id="3006" w:name="_Toc298940320"/>
      <w:bookmarkStart w:id="3007" w:name="_Toc262656031"/>
      <w:bookmarkStart w:id="3008" w:name="_Toc206485118"/>
      <w:bookmarkStart w:id="3009" w:name="_Toc436998849"/>
      <w:bookmarkStart w:id="3010" w:name="_Toc208734458"/>
      <w:bookmarkStart w:id="3011" w:name="_Toc373851273"/>
      <w:bookmarkStart w:id="3012" w:name="_Toc345316806"/>
      <w:bookmarkStart w:id="3013" w:name="_Toc436133297"/>
      <w:bookmarkStart w:id="3014" w:name="_Toc260230351"/>
      <w:bookmarkStart w:id="3015" w:name="_Toc439772761"/>
      <w:bookmarkStart w:id="3016" w:name="_Toc257202887"/>
      <w:bookmarkStart w:id="3017" w:name="_Toc227658548"/>
      <w:bookmarkStart w:id="3018" w:name="_Toc211175382"/>
      <w:bookmarkStart w:id="3019" w:name="_Toc306620406"/>
      <w:bookmarkStart w:id="3020" w:name="_Toc274724494"/>
      <w:bookmarkStart w:id="3021" w:name="_Toc249849000"/>
      <w:bookmarkStart w:id="3022" w:name="_Toc284248399"/>
      <w:bookmarkStart w:id="3023" w:name="_Toc214355721"/>
      <w:bookmarkStart w:id="3024" w:name="_Toc215805101"/>
      <w:bookmarkStart w:id="3025" w:name="_Toc445105595"/>
      <w:bookmarkStart w:id="3026" w:name="_Toc215556240"/>
      <w:bookmarkStart w:id="3027" w:name="_Toc209862380"/>
      <w:bookmarkStart w:id="3028" w:name="_Toc299349228"/>
      <w:bookmarkStart w:id="3029" w:name="_Toc342034815"/>
      <w:bookmarkStart w:id="3030" w:name="_Toc345155401"/>
      <w:bookmarkStart w:id="3031" w:name="_Toc280710378"/>
      <w:bookmarkStart w:id="3032" w:name="_Toc254774459"/>
      <w:bookmarkStart w:id="3033" w:name="_Toc255470319"/>
      <w:bookmarkStart w:id="3034" w:name="_Toc260994503"/>
      <w:r>
        <w:rPr>
          <w:rFonts w:hint="eastAsia" w:hAnsi="宋体" w:cs="宋体"/>
          <w:b/>
          <w:color w:val="auto"/>
        </w:rPr>
        <w:t>16.1 物价波动引起的价格调整</w:t>
      </w:r>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p>
    <w:p w14:paraId="50BDDA2A">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以招标控制价的预算书中载明的材料单价为基准价格，合同履行期间材料单价涨幅超过±5%的，按实进行调整。</w:t>
      </w:r>
    </w:p>
    <w:p w14:paraId="37CA165E">
      <w:pPr>
        <w:pStyle w:val="180"/>
        <w:spacing w:after="0" w:line="400" w:lineRule="exact"/>
        <w:ind w:firstLine="562"/>
        <w:jc w:val="both"/>
        <w:rPr>
          <w:rFonts w:hAnsi="宋体" w:cs="宋体"/>
          <w:b/>
          <w:color w:val="auto"/>
        </w:rPr>
      </w:pPr>
      <w:r>
        <w:rPr>
          <w:rFonts w:hint="eastAsia" w:hAnsi="宋体" w:cs="宋体"/>
          <w:b/>
          <w:color w:val="auto"/>
        </w:rPr>
        <w:t>16.2 法律变化引起的价格调整</w:t>
      </w:r>
    </w:p>
    <w:p w14:paraId="711A9317">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只对税费产生的价格变化作调整，人工工资变化及机械台班费不作调整。</w:t>
      </w:r>
    </w:p>
    <w:p w14:paraId="3C37F58F">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1）基准日后，国家规定的税收政策有变动，致使施工中的费用发生增减时，则应按这些增减金额调整合同价格（按规定计入施工管理费内的税金不调整）。若对具体调整额的计算有不同意见时，由监理人与发包人同承包人协商解决。</w:t>
      </w:r>
    </w:p>
    <w:p w14:paraId="42DFB1E1">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 xml:space="preserve"> (2）上述税费调整的执行日期按山东省有关主管部门通知执行之日算起。价款的计算应由承包人进行，并递交书面文件报送监理人审核，并同时将副本报送发包人。</w:t>
      </w:r>
    </w:p>
    <w:p w14:paraId="4F62FDAF">
      <w:pPr>
        <w:pStyle w:val="180"/>
        <w:spacing w:before="100" w:after="100" w:line="400" w:lineRule="exact"/>
        <w:ind w:firstLine="643"/>
        <w:jc w:val="both"/>
        <w:rPr>
          <w:rFonts w:hAnsi="宋体" w:cs="宋体"/>
          <w:b/>
          <w:color w:val="auto"/>
          <w:sz w:val="32"/>
          <w:szCs w:val="32"/>
        </w:rPr>
      </w:pPr>
      <w:bookmarkStart w:id="3035" w:name="_Toc284248400"/>
      <w:bookmarkStart w:id="3036" w:name="_Toc436133298"/>
      <w:bookmarkStart w:id="3037" w:name="_Toc436998850"/>
      <w:bookmarkStart w:id="3038" w:name="_Toc316471079"/>
      <w:bookmarkStart w:id="3039" w:name="_Toc254774460"/>
      <w:bookmarkStart w:id="3040" w:name="_Toc206384890"/>
      <w:bookmarkStart w:id="3041" w:name="_Toc206830072"/>
      <w:bookmarkStart w:id="3042" w:name="_Toc306620407"/>
      <w:bookmarkStart w:id="3043" w:name="_Toc345321538"/>
      <w:bookmarkStart w:id="3044" w:name="_Toc345155402"/>
      <w:bookmarkStart w:id="3045" w:name="_Toc189297969"/>
      <w:bookmarkStart w:id="3046" w:name="_Toc436310007"/>
      <w:bookmarkStart w:id="3047" w:name="_Toc215805102"/>
      <w:bookmarkStart w:id="3048" w:name="_Toc248294472"/>
      <w:bookmarkStart w:id="3049" w:name="_Toc209862381"/>
      <w:bookmarkStart w:id="3050" w:name="_Toc257202888"/>
      <w:bookmarkStart w:id="3051" w:name="_Toc249849001"/>
      <w:bookmarkStart w:id="3052" w:name="_Toc280710379"/>
      <w:bookmarkStart w:id="3053" w:name="_Toc265480227"/>
      <w:bookmarkStart w:id="3054" w:name="_Toc260994504"/>
      <w:bookmarkStart w:id="3055" w:name="_Toc360808476"/>
      <w:bookmarkStart w:id="3056" w:name="_Toc222804575"/>
      <w:bookmarkStart w:id="3057" w:name="_Toc373850749"/>
      <w:bookmarkStart w:id="3058" w:name="_Toc335833038"/>
      <w:bookmarkStart w:id="3059" w:name="_Toc373851274"/>
      <w:bookmarkStart w:id="3060" w:name="_Toc262656032"/>
      <w:bookmarkStart w:id="3061" w:name="_Toc215556241"/>
      <w:bookmarkStart w:id="3062" w:name="_Toc219172388"/>
      <w:bookmarkStart w:id="3063" w:name="_Toc255470097"/>
      <w:bookmarkStart w:id="3064" w:name="_Toc199842027"/>
      <w:bookmarkStart w:id="3065" w:name="_Toc298940321"/>
      <w:bookmarkStart w:id="3066" w:name="_Toc269117570"/>
      <w:bookmarkStart w:id="3067" w:name="_Toc281292282"/>
      <w:bookmarkStart w:id="3068" w:name="_Toc363727304"/>
      <w:bookmarkStart w:id="3069" w:name="_Toc350959248"/>
      <w:bookmarkStart w:id="3070" w:name="_Toc281740705"/>
      <w:bookmarkStart w:id="3071" w:name="_Toc351488779"/>
      <w:bookmarkStart w:id="3072" w:name="_Toc260230352"/>
      <w:bookmarkStart w:id="3073" w:name="_Toc351210205"/>
      <w:bookmarkStart w:id="3074" w:name="_Toc215561259"/>
      <w:bookmarkStart w:id="3075" w:name="_Toc363728619"/>
      <w:bookmarkStart w:id="3076" w:name="_Toc208734459"/>
      <w:bookmarkStart w:id="3077" w:name="_Toc214355722"/>
      <w:bookmarkStart w:id="3078" w:name="_Toc445105596"/>
      <w:bookmarkStart w:id="3079" w:name="_Toc187846027"/>
      <w:bookmarkStart w:id="3080" w:name="_Toc245110789"/>
      <w:bookmarkStart w:id="3081" w:name="_Toc260649081"/>
      <w:bookmarkStart w:id="3082" w:name="_Toc262655505"/>
      <w:bookmarkStart w:id="3083" w:name="_Toc274724495"/>
      <w:bookmarkStart w:id="3084" w:name="_Toc274307468"/>
      <w:bookmarkStart w:id="3085" w:name="_Toc342034816"/>
      <w:bookmarkStart w:id="3086" w:name="_Toc211175383"/>
      <w:bookmarkStart w:id="3087" w:name="_Toc255470320"/>
      <w:bookmarkStart w:id="3088" w:name="_Toc260230025"/>
      <w:bookmarkStart w:id="3089" w:name="_Toc289939014"/>
      <w:bookmarkStart w:id="3090" w:name="_Toc199733044"/>
      <w:bookmarkStart w:id="3091" w:name="_Toc200183083"/>
      <w:bookmarkStart w:id="3092" w:name="_Toc436309655"/>
      <w:bookmarkStart w:id="3093" w:name="_Toc255741984"/>
      <w:bookmarkStart w:id="3094" w:name="_Toc227658549"/>
      <w:bookmarkStart w:id="3095" w:name="_Toc206485119"/>
      <w:bookmarkStart w:id="3096" w:name="_Toc299349229"/>
      <w:bookmarkStart w:id="3097" w:name="_Toc439772762"/>
      <w:r>
        <w:rPr>
          <w:rFonts w:hint="eastAsia" w:hAnsi="宋体" w:cs="宋体"/>
          <w:b/>
          <w:color w:val="auto"/>
          <w:sz w:val="32"/>
          <w:szCs w:val="32"/>
        </w:rPr>
        <w:t>17. 计量与支付</w:t>
      </w:r>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p>
    <w:p w14:paraId="5EB1ABEE">
      <w:pPr>
        <w:pStyle w:val="180"/>
        <w:spacing w:after="0" w:line="400" w:lineRule="exact"/>
        <w:ind w:firstLine="562"/>
        <w:jc w:val="both"/>
        <w:rPr>
          <w:rFonts w:hAnsi="宋体" w:cs="宋体"/>
          <w:b/>
          <w:color w:val="auto"/>
        </w:rPr>
      </w:pPr>
      <w:bookmarkStart w:id="3098" w:name="_Toc281740706"/>
      <w:bookmarkStart w:id="3099" w:name="_Toc215561266"/>
      <w:bookmarkStart w:id="3100" w:name="_Toc215805109"/>
      <w:bookmarkStart w:id="3101" w:name="_Toc265480228"/>
      <w:bookmarkStart w:id="3102" w:name="_Toc281292283"/>
      <w:bookmarkStart w:id="3103" w:name="_Toc274307469"/>
      <w:bookmarkStart w:id="3104" w:name="_Toc373851275"/>
      <w:bookmarkStart w:id="3105" w:name="_Toc200183084"/>
      <w:bookmarkStart w:id="3106" w:name="_Toc206485126"/>
      <w:bookmarkStart w:id="3107" w:name="_Toc363728620"/>
      <w:bookmarkStart w:id="3108" w:name="_Toc211175390"/>
      <w:bookmarkStart w:id="3109" w:name="_Toc436998851"/>
      <w:bookmarkStart w:id="3110" w:name="_Toc209862388"/>
      <w:bookmarkStart w:id="3111" w:name="_Toc351488780"/>
      <w:bookmarkStart w:id="3112" w:name="_Toc289939015"/>
      <w:bookmarkStart w:id="3113" w:name="_Toc260230353"/>
      <w:bookmarkStart w:id="3114" w:name="_Toc255741991"/>
      <w:bookmarkStart w:id="3115" w:name="_Toc436133299"/>
      <w:bookmarkStart w:id="3116" w:name="_Toc248294479"/>
      <w:bookmarkStart w:id="3117" w:name="_Toc280710380"/>
      <w:bookmarkStart w:id="3118" w:name="_Toc445105597"/>
      <w:bookmarkStart w:id="3119" w:name="_Toc436309656"/>
      <w:bookmarkStart w:id="3120" w:name="_Toc363727305"/>
      <w:bookmarkStart w:id="3121" w:name="_Toc306620408"/>
      <w:bookmarkStart w:id="3122" w:name="_Toc299349230"/>
      <w:bookmarkStart w:id="3123" w:name="_Toc214355729"/>
      <w:bookmarkStart w:id="3124" w:name="_Toc373850750"/>
      <w:bookmarkStart w:id="3125" w:name="_Toc206384897"/>
      <w:bookmarkStart w:id="3126" w:name="_Toc260994505"/>
      <w:bookmarkStart w:id="3127" w:name="_Toc360808477"/>
      <w:bookmarkStart w:id="3128" w:name="_Toc345321539"/>
      <w:bookmarkStart w:id="3129" w:name="_Toc219172395"/>
      <w:bookmarkStart w:id="3130" w:name="_Toc342034817"/>
      <w:bookmarkStart w:id="3131" w:name="_Toc274724496"/>
      <w:bookmarkStart w:id="3132" w:name="_Toc255470104"/>
      <w:bookmarkStart w:id="3133" w:name="_Toc298940322"/>
      <w:bookmarkStart w:id="3134" w:name="_Toc351210206"/>
      <w:bookmarkStart w:id="3135" w:name="_Toc260230026"/>
      <w:bookmarkStart w:id="3136" w:name="_Toc208734466"/>
      <w:bookmarkStart w:id="3137" w:name="_Toc345155403"/>
      <w:bookmarkStart w:id="3138" w:name="_Toc284248401"/>
      <w:bookmarkStart w:id="3139" w:name="_Toc262656033"/>
      <w:bookmarkStart w:id="3140" w:name="_Toc439772763"/>
      <w:bookmarkStart w:id="3141" w:name="_Toc335833039"/>
      <w:bookmarkStart w:id="3142" w:name="_Toc222804582"/>
      <w:bookmarkStart w:id="3143" w:name="_Toc436310008"/>
      <w:bookmarkStart w:id="3144" w:name="_Toc260649082"/>
      <w:bookmarkStart w:id="3145" w:name="_Toc262655506"/>
      <w:bookmarkStart w:id="3146" w:name="_Toc215556248"/>
      <w:bookmarkStart w:id="3147" w:name="_Toc245110796"/>
      <w:bookmarkStart w:id="3148" w:name="_Toc227658556"/>
      <w:bookmarkStart w:id="3149" w:name="_Toc206830079"/>
      <w:bookmarkStart w:id="3150" w:name="_Toc249849008"/>
      <w:bookmarkStart w:id="3151" w:name="_Toc269117571"/>
      <w:bookmarkStart w:id="3152" w:name="_Toc350959249"/>
      <w:bookmarkStart w:id="3153" w:name="_Toc255470327"/>
      <w:bookmarkStart w:id="3154" w:name="_Toc316471080"/>
      <w:bookmarkStart w:id="3155" w:name="_Toc257202895"/>
      <w:bookmarkStart w:id="3156" w:name="_Toc254774467"/>
      <w:r>
        <w:rPr>
          <w:rFonts w:hint="eastAsia" w:hAnsi="宋体" w:cs="宋体"/>
          <w:b/>
          <w:color w:val="auto"/>
        </w:rPr>
        <w:t>17.2 预付款</w:t>
      </w:r>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p>
    <w:p w14:paraId="1175B382">
      <w:pPr>
        <w:spacing w:line="400" w:lineRule="exact"/>
        <w:ind w:firstLine="562"/>
        <w:rPr>
          <w:rFonts w:cs="宋体"/>
          <w:color w:val="auto"/>
        </w:rPr>
      </w:pPr>
      <w:bookmarkStart w:id="3157" w:name="_Toc221951238"/>
      <w:bookmarkStart w:id="3158" w:name="_Toc439772764"/>
      <w:bookmarkStart w:id="3159" w:name="_Toc436133300"/>
      <w:bookmarkStart w:id="3160" w:name="_Toc373851276"/>
      <w:bookmarkStart w:id="3161" w:name="_Toc373850751"/>
      <w:bookmarkStart w:id="3162" w:name="_Toc436998852"/>
      <w:bookmarkStart w:id="3163" w:name="_Toc445105598"/>
      <w:bookmarkStart w:id="3164" w:name="_Toc281740713"/>
      <w:bookmarkStart w:id="3165" w:name="_Toc215805114"/>
      <w:bookmarkStart w:id="3166" w:name="_Toc227658561"/>
      <w:bookmarkStart w:id="3167" w:name="_Toc298940329"/>
      <w:bookmarkStart w:id="3168" w:name="_Toc199842028"/>
      <w:bookmarkStart w:id="3169" w:name="_Toc274307476"/>
      <w:bookmarkStart w:id="3170" w:name="_Toc350959256"/>
      <w:bookmarkStart w:id="3171" w:name="_Toc262655513"/>
      <w:bookmarkStart w:id="3172" w:name="_Toc345155410"/>
      <w:bookmarkStart w:id="3173" w:name="_Toc249849013"/>
      <w:bookmarkStart w:id="3174" w:name="_Toc269117578"/>
      <w:bookmarkStart w:id="3175" w:name="_Toc199733045"/>
      <w:bookmarkStart w:id="3176" w:name="_Toc209862393"/>
      <w:bookmarkStart w:id="3177" w:name="_Toc257202900"/>
      <w:bookmarkStart w:id="3178" w:name="_Toc299349237"/>
      <w:bookmarkStart w:id="3179" w:name="_Toc222804587"/>
      <w:bookmarkStart w:id="3180" w:name="_Toc245110801"/>
      <w:bookmarkStart w:id="3181" w:name="_Toc215556253"/>
      <w:bookmarkStart w:id="3182" w:name="_Toc187909859"/>
      <w:bookmarkStart w:id="3183" w:name="_Toc373850758"/>
      <w:bookmarkStart w:id="3184" w:name="_Toc260649087"/>
      <w:bookmarkStart w:id="3185" w:name="_Toc363728628"/>
      <w:bookmarkStart w:id="3186" w:name="_Toc436133306"/>
      <w:bookmarkStart w:id="3187" w:name="_Toc255470109"/>
      <w:bookmarkStart w:id="3188" w:name="_Toc284248408"/>
      <w:bookmarkStart w:id="3189" w:name="_Toc351210213"/>
      <w:bookmarkStart w:id="3190" w:name="_Toc436309663"/>
      <w:bookmarkStart w:id="3191" w:name="_Toc342034824"/>
      <w:bookmarkStart w:id="3192" w:name="_Toc335833046"/>
      <w:bookmarkStart w:id="3193" w:name="_Toc373851283"/>
      <w:bookmarkStart w:id="3194" w:name="_Toc436310015"/>
      <w:bookmarkStart w:id="3195" w:name="_Toc260994510"/>
      <w:bookmarkStart w:id="3196" w:name="_Toc200183089"/>
      <w:bookmarkStart w:id="3197" w:name="_Toc265480235"/>
      <w:bookmarkStart w:id="3198" w:name="_Toc255470332"/>
      <w:bookmarkStart w:id="3199" w:name="_Toc281292290"/>
      <w:bookmarkStart w:id="3200" w:name="_Toc289939022"/>
      <w:bookmarkStart w:id="3201" w:name="_Toc360808484"/>
      <w:bookmarkStart w:id="3202" w:name="_Toc363727313"/>
      <w:bookmarkStart w:id="3203" w:name="_Toc189297970"/>
      <w:bookmarkStart w:id="3204" w:name="_Toc351488787"/>
      <w:bookmarkStart w:id="3205" w:name="_Toc255741996"/>
      <w:bookmarkStart w:id="3206" w:name="_Toc345321546"/>
      <w:bookmarkStart w:id="3207" w:name="_Toc262656040"/>
      <w:bookmarkStart w:id="3208" w:name="_Toc316471087"/>
      <w:bookmarkStart w:id="3209" w:name="_Toc260230358"/>
      <w:bookmarkStart w:id="3210" w:name="_Toc206830084"/>
      <w:bookmarkStart w:id="3211" w:name="_Toc219172400"/>
      <w:bookmarkStart w:id="3212" w:name="_Toc274724503"/>
      <w:bookmarkStart w:id="3213" w:name="_Toc306620415"/>
      <w:bookmarkStart w:id="3214" w:name="_Toc260230031"/>
      <w:bookmarkStart w:id="3215" w:name="_Toc206485131"/>
      <w:bookmarkStart w:id="3216" w:name="_Toc211175395"/>
      <w:bookmarkStart w:id="3217" w:name="_Toc214355734"/>
      <w:bookmarkStart w:id="3218" w:name="_Toc254774473"/>
      <w:bookmarkStart w:id="3219" w:name="_Toc248294484"/>
      <w:bookmarkStart w:id="3220" w:name="_Toc206384902"/>
      <w:bookmarkStart w:id="3221" w:name="_Toc208734471"/>
      <w:bookmarkStart w:id="3222" w:name="_Toc280710387"/>
      <w:bookmarkStart w:id="3223" w:name="_Toc215561271"/>
      <w:r>
        <w:rPr>
          <w:rFonts w:hint="eastAsia" w:cs="宋体"/>
          <w:b/>
          <w:color w:val="auto"/>
        </w:rPr>
        <w:t>本工程无预付款。</w:t>
      </w:r>
    </w:p>
    <w:bookmarkEnd w:id="3157"/>
    <w:p w14:paraId="0382A6EE">
      <w:pPr>
        <w:pStyle w:val="180"/>
        <w:spacing w:after="0" w:line="400" w:lineRule="exact"/>
        <w:ind w:firstLine="562"/>
        <w:jc w:val="both"/>
        <w:rPr>
          <w:rFonts w:hAnsi="宋体" w:cs="宋体"/>
          <w:b/>
          <w:color w:val="auto"/>
        </w:rPr>
      </w:pPr>
      <w:r>
        <w:rPr>
          <w:rFonts w:hint="eastAsia" w:hAnsi="宋体" w:cs="宋体"/>
          <w:b/>
          <w:color w:val="auto"/>
        </w:rPr>
        <w:t>17.3 工程进度付款</w:t>
      </w:r>
      <w:bookmarkEnd w:id="3158"/>
      <w:bookmarkEnd w:id="3159"/>
      <w:bookmarkEnd w:id="3160"/>
      <w:bookmarkEnd w:id="3161"/>
      <w:bookmarkEnd w:id="3162"/>
      <w:bookmarkEnd w:id="3163"/>
    </w:p>
    <w:p w14:paraId="256CE430">
      <w:pPr>
        <w:pStyle w:val="184"/>
        <w:spacing w:line="400" w:lineRule="exact"/>
        <w:ind w:right="100" w:firstLine="562"/>
        <w:jc w:val="both"/>
        <w:rPr>
          <w:rFonts w:ascii="Times New Roman" w:cs="宋体"/>
          <w:b/>
          <w:bCs/>
          <w:color w:val="auto"/>
          <w:kern w:val="2"/>
          <w:sz w:val="28"/>
          <w:szCs w:val="22"/>
          <w:u w:val="single"/>
        </w:rPr>
      </w:pPr>
      <w:r>
        <w:rPr>
          <w:rFonts w:hint="eastAsia" w:ascii="Times New Roman" w:cs="宋体"/>
          <w:b/>
          <w:bCs/>
          <w:color w:val="auto"/>
          <w:kern w:val="2"/>
          <w:sz w:val="28"/>
          <w:szCs w:val="22"/>
          <w:u w:val="single"/>
        </w:rPr>
        <w:t>本项目无预付款，施工期间按工程形象进度拨款，支付计量工程款的50%，工程验收合格后，支付到合同价款的85%，结算审定付到结算价款的97%，余款3%作为质量保证金，在工程缺陷责任期结束后无质量问题一次性付清。</w:t>
      </w:r>
    </w:p>
    <w:p w14:paraId="08392C64">
      <w:pPr>
        <w:pStyle w:val="184"/>
        <w:spacing w:line="400" w:lineRule="exact"/>
        <w:ind w:right="100" w:firstLine="562"/>
        <w:jc w:val="both"/>
        <w:rPr>
          <w:rFonts w:hAnsi="宋体" w:cs="宋体"/>
          <w:b/>
          <w:color w:val="auto"/>
        </w:rPr>
      </w:pPr>
      <w:r>
        <w:rPr>
          <w:rFonts w:hint="eastAsia" w:hAnsi="宋体" w:cs="宋体"/>
          <w:b/>
          <w:color w:val="auto"/>
        </w:rPr>
        <w:t>17.4 质量保证金</w:t>
      </w:r>
    </w:p>
    <w:p w14:paraId="5FFBD0AD">
      <w:pPr>
        <w:pStyle w:val="184"/>
        <w:spacing w:line="400" w:lineRule="exact"/>
        <w:ind w:right="100" w:firstLine="569" w:firstLineChars="236"/>
        <w:jc w:val="both"/>
        <w:rPr>
          <w:rFonts w:hAnsi="宋体" w:cs="宋体"/>
          <w:b/>
          <w:color w:val="auto"/>
        </w:rPr>
      </w:pPr>
      <w:r>
        <w:rPr>
          <w:rFonts w:hint="eastAsia" w:hAnsi="宋体" w:cs="宋体"/>
          <w:b/>
          <w:color w:val="auto"/>
        </w:rPr>
        <w:t>17.4.2 在专用合同条款约定的缺陷责任期满时，承包人向发包人申请到期应返还承包人剩余的质量保证金金额，发包人应在14天内会同承包人按照合同约定的内容核实承包人是否完成缺陷责任，并将无异议的剩余质量保证金返还承包人。</w:t>
      </w:r>
    </w:p>
    <w:p w14:paraId="15DC738D">
      <w:pPr>
        <w:pStyle w:val="184"/>
        <w:spacing w:line="400" w:lineRule="exact"/>
        <w:ind w:right="100" w:firstLine="569" w:firstLineChars="236"/>
        <w:jc w:val="both"/>
        <w:rPr>
          <w:rFonts w:hAnsi="宋体" w:cs="宋体"/>
          <w:b/>
          <w:color w:val="auto"/>
        </w:rPr>
      </w:pPr>
      <w:r>
        <w:rPr>
          <w:rFonts w:hint="eastAsia" w:hAnsi="宋体" w:cs="宋体"/>
          <w:b/>
          <w:color w:val="auto"/>
        </w:rPr>
        <w:t>17.4.3 若保修期满时尚需承包人完成剩余工作，则监理人有权在付款证书中扣留与剩余工作所需金额相应的质量保证金余额。</w:t>
      </w:r>
    </w:p>
    <w:p w14:paraId="0CFA5276">
      <w:pPr>
        <w:pStyle w:val="180"/>
        <w:spacing w:after="0" w:line="400" w:lineRule="exact"/>
        <w:ind w:firstLine="562"/>
        <w:jc w:val="both"/>
        <w:rPr>
          <w:rFonts w:hAnsi="宋体" w:cs="宋体"/>
          <w:b/>
          <w:color w:val="auto"/>
        </w:rPr>
      </w:pPr>
      <w:bookmarkStart w:id="3224" w:name="_Toc439772767"/>
      <w:bookmarkStart w:id="3225" w:name="_Toc245110799"/>
      <w:bookmarkStart w:id="3226" w:name="_Toc269117575"/>
      <w:bookmarkStart w:id="3227" w:name="_Toc206384900"/>
      <w:bookmarkStart w:id="3228" w:name="_Toc262656037"/>
      <w:bookmarkStart w:id="3229" w:name="_Toc436998855"/>
      <w:bookmarkStart w:id="3230" w:name="_Toc248294482"/>
      <w:bookmarkStart w:id="3231" w:name="_Toc260649085"/>
      <w:bookmarkStart w:id="3232" w:name="_Toc373850755"/>
      <w:bookmarkStart w:id="3233" w:name="_Toc255470107"/>
      <w:bookmarkStart w:id="3234" w:name="_Toc222804585"/>
      <w:bookmarkStart w:id="3235" w:name="_Toc445105601"/>
      <w:bookmarkStart w:id="3236" w:name="_Toc274307473"/>
      <w:bookmarkStart w:id="3237" w:name="_Toc206830082"/>
      <w:bookmarkStart w:id="3238" w:name="_Toc363727310"/>
      <w:bookmarkStart w:id="3239" w:name="_Toc280710384"/>
      <w:bookmarkStart w:id="3240" w:name="_Toc209862391"/>
      <w:bookmarkStart w:id="3241" w:name="_Toc262655510"/>
      <w:bookmarkStart w:id="3242" w:name="_Toc265480232"/>
      <w:bookmarkStart w:id="3243" w:name="_Toc363728625"/>
      <w:bookmarkStart w:id="3244" w:name="_Toc227658559"/>
      <w:bookmarkStart w:id="3245" w:name="_Toc208734469"/>
      <w:bookmarkStart w:id="3246" w:name="_Toc215561269"/>
      <w:bookmarkStart w:id="3247" w:name="_Toc342034821"/>
      <w:bookmarkStart w:id="3248" w:name="_Toc345321543"/>
      <w:bookmarkStart w:id="3249" w:name="_Toc219172398"/>
      <w:bookmarkStart w:id="3250" w:name="_Toc360808481"/>
      <w:bookmarkStart w:id="3251" w:name="_Toc214355732"/>
      <w:bookmarkStart w:id="3252" w:name="_Toc260230356"/>
      <w:bookmarkStart w:id="3253" w:name="_Toc211175393"/>
      <w:bookmarkStart w:id="3254" w:name="_Toc254774470"/>
      <w:bookmarkStart w:id="3255" w:name="_Toc200183087"/>
      <w:bookmarkStart w:id="3256" w:name="_Toc351210210"/>
      <w:bookmarkStart w:id="3257" w:name="_Toc281292287"/>
      <w:bookmarkStart w:id="3258" w:name="_Toc249849011"/>
      <w:bookmarkStart w:id="3259" w:name="_Toc255741994"/>
      <w:bookmarkStart w:id="3260" w:name="_Toc215556251"/>
      <w:bookmarkStart w:id="3261" w:name="_Toc255470330"/>
      <w:bookmarkStart w:id="3262" w:name="_Toc436133303"/>
      <w:bookmarkStart w:id="3263" w:name="_Toc260230029"/>
      <w:bookmarkStart w:id="3264" w:name="_Toc274724500"/>
      <w:bookmarkStart w:id="3265" w:name="_Toc260994508"/>
      <w:bookmarkStart w:id="3266" w:name="_Toc373851280"/>
      <w:bookmarkStart w:id="3267" w:name="_Toc345155407"/>
      <w:bookmarkStart w:id="3268" w:name="_Toc206485129"/>
      <w:bookmarkStart w:id="3269" w:name="_Toc351488784"/>
      <w:bookmarkStart w:id="3270" w:name="_Toc257202898"/>
      <w:bookmarkStart w:id="3271" w:name="_Toc215805112"/>
      <w:bookmarkStart w:id="3272" w:name="_Toc350959253"/>
      <w:r>
        <w:rPr>
          <w:rFonts w:hint="eastAsia" w:hAnsi="宋体" w:cs="宋体"/>
          <w:b/>
          <w:color w:val="auto"/>
        </w:rPr>
        <w:t>17.5 竣工（完工）结算</w:t>
      </w:r>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p>
    <w:p w14:paraId="2FA3AA91">
      <w:pPr>
        <w:pStyle w:val="197"/>
        <w:spacing w:line="400" w:lineRule="exact"/>
        <w:ind w:firstLine="562"/>
        <w:jc w:val="both"/>
        <w:rPr>
          <w:rFonts w:hAnsi="宋体" w:cs="宋体"/>
          <w:b/>
          <w:color w:val="auto"/>
        </w:rPr>
      </w:pPr>
      <w:bookmarkStart w:id="3273" w:name="_Toc351210211"/>
      <w:bookmarkStart w:id="3274" w:name="_Toc373850756"/>
      <w:bookmarkStart w:id="3275" w:name="_Toc269117576"/>
      <w:bookmarkStart w:id="3276" w:name="_Toc439772768"/>
      <w:bookmarkStart w:id="3277" w:name="_Toc342034822"/>
      <w:bookmarkStart w:id="3278" w:name="_Toc274307474"/>
      <w:bookmarkStart w:id="3279" w:name="_Toc351488785"/>
      <w:bookmarkStart w:id="3280" w:name="_Toc360808482"/>
      <w:bookmarkStart w:id="3281" w:name="_Toc373851281"/>
      <w:bookmarkStart w:id="3282" w:name="_Toc436133304"/>
      <w:bookmarkStart w:id="3283" w:name="_Toc345155408"/>
      <w:bookmarkStart w:id="3284" w:name="_Toc265480233"/>
      <w:bookmarkStart w:id="3285" w:name="_Toc363727311"/>
      <w:bookmarkStart w:id="3286" w:name="_Toc262655511"/>
      <w:bookmarkStart w:id="3287" w:name="_Toc445105602"/>
      <w:bookmarkStart w:id="3288" w:name="_Toc345321544"/>
      <w:bookmarkStart w:id="3289" w:name="_Toc350959254"/>
      <w:bookmarkStart w:id="3290" w:name="_Toc280710385"/>
      <w:bookmarkStart w:id="3291" w:name="_Toc274724501"/>
      <w:bookmarkStart w:id="3292" w:name="_Toc436998856"/>
      <w:bookmarkStart w:id="3293" w:name="_Toc363728626"/>
      <w:bookmarkStart w:id="3294" w:name="_Toc262656038"/>
      <w:bookmarkStart w:id="3295" w:name="_Toc281292288"/>
      <w:r>
        <w:rPr>
          <w:rFonts w:hint="eastAsia" w:hAnsi="宋体" w:cs="宋体"/>
          <w:b/>
          <w:color w:val="auto"/>
        </w:rPr>
        <w:t>17.5.1 竣工付款申请单</w:t>
      </w:r>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p>
    <w:p w14:paraId="0CDE10B9">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竣工付款申请单一式</w:t>
      </w:r>
      <w:r>
        <w:rPr>
          <w:rFonts w:hint="eastAsia" w:ascii="Times New Roman"/>
          <w:color w:val="auto"/>
          <w:kern w:val="2"/>
          <w:sz w:val="21"/>
          <w:u w:val="single"/>
        </w:rPr>
        <w:t>6</w:t>
      </w:r>
      <w:r>
        <w:rPr>
          <w:rFonts w:hint="eastAsia" w:ascii="Times New Roman"/>
          <w:color w:val="auto"/>
          <w:kern w:val="2"/>
          <w:sz w:val="21"/>
        </w:rPr>
        <w:t>份。</w:t>
      </w:r>
    </w:p>
    <w:p w14:paraId="2AB79C06">
      <w:pPr>
        <w:pStyle w:val="180"/>
        <w:spacing w:after="0" w:line="400" w:lineRule="exact"/>
        <w:ind w:firstLine="562"/>
        <w:jc w:val="both"/>
        <w:rPr>
          <w:rFonts w:hAnsi="宋体" w:cs="宋体"/>
          <w:b/>
          <w:color w:val="auto"/>
        </w:rPr>
      </w:pPr>
      <w:bookmarkStart w:id="3296" w:name="_Toc436998857"/>
      <w:bookmarkStart w:id="3297" w:name="_Toc206485130"/>
      <w:bookmarkStart w:id="3298" w:name="_Toc363728627"/>
      <w:bookmarkStart w:id="3299" w:name="_Toc255470108"/>
      <w:bookmarkStart w:id="3300" w:name="_Toc222804586"/>
      <w:bookmarkStart w:id="3301" w:name="_Toc200183088"/>
      <w:bookmarkStart w:id="3302" w:name="_Toc215561270"/>
      <w:bookmarkStart w:id="3303" w:name="_Toc345155409"/>
      <w:bookmarkStart w:id="3304" w:name="_Toc254774471"/>
      <w:bookmarkStart w:id="3305" w:name="_Toc274724502"/>
      <w:bookmarkStart w:id="3306" w:name="_Toc260649086"/>
      <w:bookmarkStart w:id="3307" w:name="_Toc373851282"/>
      <w:bookmarkStart w:id="3308" w:name="_Toc257202899"/>
      <w:bookmarkStart w:id="3309" w:name="_Toc245110800"/>
      <w:bookmarkStart w:id="3310" w:name="_Toc206830083"/>
      <w:bookmarkStart w:id="3311" w:name="_Toc262655512"/>
      <w:bookmarkStart w:id="3312" w:name="_Toc227658560"/>
      <w:bookmarkStart w:id="3313" w:name="_Toc209862392"/>
      <w:bookmarkStart w:id="3314" w:name="_Toc439772769"/>
      <w:bookmarkStart w:id="3315" w:name="_Toc281292289"/>
      <w:bookmarkStart w:id="3316" w:name="_Toc445105603"/>
      <w:bookmarkStart w:id="3317" w:name="_Toc248294483"/>
      <w:bookmarkStart w:id="3318" w:name="_Toc351210212"/>
      <w:bookmarkStart w:id="3319" w:name="_Toc214355733"/>
      <w:bookmarkStart w:id="3320" w:name="_Toc260994509"/>
      <w:bookmarkStart w:id="3321" w:name="_Toc219172399"/>
      <w:bookmarkStart w:id="3322" w:name="_Toc363727312"/>
      <w:bookmarkStart w:id="3323" w:name="_Toc351488786"/>
      <w:bookmarkStart w:id="3324" w:name="_Toc260230357"/>
      <w:bookmarkStart w:id="3325" w:name="_Toc255741995"/>
      <w:bookmarkStart w:id="3326" w:name="_Toc436133305"/>
      <w:bookmarkStart w:id="3327" w:name="_Toc215556252"/>
      <w:bookmarkStart w:id="3328" w:name="_Toc211175394"/>
      <w:bookmarkStart w:id="3329" w:name="_Toc206384901"/>
      <w:bookmarkStart w:id="3330" w:name="_Toc350959255"/>
      <w:bookmarkStart w:id="3331" w:name="_Toc342034823"/>
      <w:bookmarkStart w:id="3332" w:name="_Toc215805113"/>
      <w:bookmarkStart w:id="3333" w:name="_Toc255470331"/>
      <w:bookmarkStart w:id="3334" w:name="_Toc265480234"/>
      <w:bookmarkStart w:id="3335" w:name="_Toc208734470"/>
      <w:bookmarkStart w:id="3336" w:name="_Toc269117577"/>
      <w:bookmarkStart w:id="3337" w:name="_Toc262656039"/>
      <w:bookmarkStart w:id="3338" w:name="_Toc345321545"/>
      <w:bookmarkStart w:id="3339" w:name="_Toc360808483"/>
      <w:bookmarkStart w:id="3340" w:name="_Toc373850757"/>
      <w:bookmarkStart w:id="3341" w:name="_Toc260230030"/>
      <w:bookmarkStart w:id="3342" w:name="_Toc274307475"/>
      <w:bookmarkStart w:id="3343" w:name="_Toc249849012"/>
      <w:bookmarkStart w:id="3344" w:name="_Toc280710386"/>
      <w:r>
        <w:rPr>
          <w:rFonts w:hint="eastAsia" w:hAnsi="宋体" w:cs="宋体"/>
          <w:b/>
          <w:color w:val="auto"/>
        </w:rPr>
        <w:t>17.6 最终结清</w:t>
      </w:r>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p>
    <w:p w14:paraId="0937793E">
      <w:pPr>
        <w:pStyle w:val="197"/>
        <w:spacing w:line="400" w:lineRule="exact"/>
        <w:ind w:firstLine="562"/>
        <w:jc w:val="both"/>
        <w:rPr>
          <w:rFonts w:hAnsi="宋体" w:cs="宋体"/>
          <w:b/>
          <w:color w:val="auto"/>
        </w:rPr>
      </w:pPr>
      <w:r>
        <w:rPr>
          <w:rFonts w:hint="eastAsia" w:hAnsi="宋体" w:cs="宋体"/>
          <w:b/>
          <w:color w:val="auto"/>
        </w:rPr>
        <w:t>17.6.1 最终结清申请单</w:t>
      </w:r>
    </w:p>
    <w:p w14:paraId="41F83D2E">
      <w:pPr>
        <w:pStyle w:val="87"/>
        <w:spacing w:line="400" w:lineRule="exact"/>
        <w:ind w:firstLine="630" w:firstLineChars="300"/>
        <w:jc w:val="both"/>
        <w:rPr>
          <w:rFonts w:ascii="Times New Roman"/>
          <w:color w:val="auto"/>
          <w:kern w:val="2"/>
          <w:sz w:val="21"/>
        </w:rPr>
      </w:pPr>
      <w:r>
        <w:rPr>
          <w:rFonts w:hint="eastAsia" w:ascii="Times New Roman"/>
          <w:color w:val="auto"/>
          <w:kern w:val="2"/>
          <w:sz w:val="21"/>
        </w:rPr>
        <w:t>最终结算申请单一式</w:t>
      </w:r>
      <w:r>
        <w:rPr>
          <w:rFonts w:hint="eastAsia" w:ascii="Times New Roman"/>
          <w:color w:val="auto"/>
          <w:kern w:val="2"/>
          <w:sz w:val="21"/>
          <w:u w:val="single"/>
        </w:rPr>
        <w:t>6</w:t>
      </w:r>
      <w:r>
        <w:rPr>
          <w:rFonts w:hint="eastAsia" w:ascii="Times New Roman"/>
          <w:color w:val="auto"/>
          <w:kern w:val="2"/>
          <w:sz w:val="21"/>
        </w:rPr>
        <w:t>份。</w:t>
      </w:r>
    </w:p>
    <w:p w14:paraId="7E80E3C2">
      <w:pPr>
        <w:pStyle w:val="180"/>
        <w:spacing w:before="100" w:after="100" w:line="400" w:lineRule="exact"/>
        <w:ind w:firstLine="643"/>
        <w:jc w:val="both"/>
        <w:rPr>
          <w:rFonts w:hAnsi="宋体" w:cs="宋体"/>
          <w:b/>
          <w:color w:val="auto"/>
          <w:sz w:val="32"/>
          <w:szCs w:val="32"/>
        </w:rPr>
      </w:pPr>
      <w:bookmarkStart w:id="3345" w:name="_Toc290034830"/>
      <w:bookmarkStart w:id="3346" w:name="_Toc282936254"/>
      <w:bookmarkStart w:id="3347" w:name="_Toc285179109"/>
      <w:bookmarkStart w:id="3348" w:name="_Toc290035312"/>
      <w:bookmarkStart w:id="3349" w:name="_Toc282937224"/>
      <w:bookmarkStart w:id="3350" w:name="_Toc259524391"/>
      <w:bookmarkStart w:id="3351" w:name="_Toc282936953"/>
      <w:bookmarkStart w:id="3352" w:name="_Toc290035079"/>
      <w:bookmarkStart w:id="3353" w:name="_Toc436998858"/>
      <w:bookmarkStart w:id="3354" w:name="_Toc445105604"/>
      <w:bookmarkStart w:id="3355" w:name="_Toc439772770"/>
      <w:r>
        <w:rPr>
          <w:rFonts w:hint="eastAsia" w:hAnsi="宋体" w:cs="宋体"/>
          <w:b/>
          <w:color w:val="auto"/>
          <w:sz w:val="32"/>
          <w:szCs w:val="32"/>
        </w:rPr>
        <w:t>19 缺陷责任与保修责任</w:t>
      </w:r>
      <w:bookmarkEnd w:id="3345"/>
      <w:bookmarkEnd w:id="3346"/>
      <w:bookmarkEnd w:id="3347"/>
      <w:bookmarkEnd w:id="3348"/>
      <w:bookmarkEnd w:id="3349"/>
      <w:bookmarkEnd w:id="3350"/>
      <w:bookmarkEnd w:id="3351"/>
      <w:bookmarkEnd w:id="3352"/>
    </w:p>
    <w:p w14:paraId="6CD0084F">
      <w:pPr>
        <w:pStyle w:val="180"/>
        <w:spacing w:after="0" w:line="400" w:lineRule="exact"/>
        <w:ind w:firstLine="562"/>
        <w:jc w:val="both"/>
        <w:rPr>
          <w:rFonts w:hAnsi="宋体" w:cs="宋体"/>
          <w:b/>
          <w:color w:val="auto"/>
        </w:rPr>
      </w:pPr>
      <w:r>
        <w:rPr>
          <w:rFonts w:hint="eastAsia" w:hAnsi="宋体" w:cs="宋体"/>
          <w:b/>
          <w:color w:val="auto"/>
        </w:rPr>
        <w:t>19.1 缺陷责任期（工程质量保修期）的起算时间</w:t>
      </w:r>
    </w:p>
    <w:p w14:paraId="3B5FFA32">
      <w:pPr>
        <w:pStyle w:val="25"/>
        <w:spacing w:line="400" w:lineRule="exact"/>
        <w:ind w:firstLine="420"/>
        <w:rPr>
          <w:rFonts w:ascii="Times New Roman" w:hAnsi="Times New Roman" w:eastAsia="宋体" w:cs="宋体"/>
          <w:color w:val="auto"/>
          <w:kern w:val="2"/>
          <w:sz w:val="21"/>
          <w:szCs w:val="24"/>
        </w:rPr>
      </w:pPr>
      <w:r>
        <w:rPr>
          <w:rFonts w:hint="eastAsia" w:ascii="Times New Roman" w:hAnsi="Times New Roman" w:eastAsia="宋体" w:cs="宋体"/>
          <w:color w:val="auto"/>
          <w:kern w:val="2"/>
          <w:sz w:val="21"/>
          <w:szCs w:val="24"/>
        </w:rPr>
        <w:t>本工程缺陷责任期（工程质量保修期）计算如下：</w:t>
      </w:r>
      <w:r>
        <w:rPr>
          <w:rFonts w:hint="eastAsia" w:ascii="Times New Roman" w:hAnsi="Times New Roman" w:eastAsia="宋体" w:cs="宋体"/>
          <w:color w:val="auto"/>
          <w:kern w:val="2"/>
          <w:sz w:val="21"/>
          <w:szCs w:val="24"/>
          <w:u w:val="single"/>
        </w:rPr>
        <w:t>竣工验收合格后1年</w:t>
      </w:r>
      <w:r>
        <w:rPr>
          <w:rFonts w:hint="eastAsia" w:ascii="Times New Roman" w:hAnsi="Times New Roman" w:eastAsia="宋体" w:cs="宋体"/>
          <w:color w:val="auto"/>
          <w:kern w:val="2"/>
          <w:sz w:val="21"/>
          <w:szCs w:val="24"/>
        </w:rPr>
        <w:t>。</w:t>
      </w:r>
    </w:p>
    <w:p w14:paraId="5395C7A5">
      <w:pPr>
        <w:pStyle w:val="180"/>
        <w:spacing w:before="100" w:after="100" w:line="400" w:lineRule="exact"/>
        <w:ind w:firstLine="643"/>
        <w:jc w:val="both"/>
        <w:rPr>
          <w:rFonts w:hAnsi="宋体" w:cs="宋体"/>
          <w:b/>
          <w:color w:val="auto"/>
          <w:sz w:val="32"/>
          <w:szCs w:val="32"/>
        </w:rPr>
      </w:pPr>
      <w:r>
        <w:rPr>
          <w:rFonts w:hint="eastAsia" w:hAnsi="宋体" w:cs="宋体"/>
          <w:b/>
          <w:color w:val="auto"/>
          <w:sz w:val="32"/>
          <w:szCs w:val="32"/>
        </w:rPr>
        <w:t>20. 保险</w:t>
      </w:r>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353"/>
      <w:bookmarkEnd w:id="3354"/>
      <w:bookmarkEnd w:id="3355"/>
    </w:p>
    <w:p w14:paraId="6F13C125">
      <w:pPr>
        <w:pStyle w:val="180"/>
        <w:spacing w:after="0" w:line="400" w:lineRule="exact"/>
        <w:ind w:firstLine="562"/>
        <w:jc w:val="both"/>
        <w:rPr>
          <w:rFonts w:hAnsi="宋体" w:cs="宋体"/>
          <w:b/>
          <w:color w:val="auto"/>
        </w:rPr>
      </w:pPr>
      <w:bookmarkStart w:id="3356" w:name="_Toc206830085"/>
      <w:bookmarkStart w:id="3357" w:name="_Toc274724504"/>
      <w:bookmarkStart w:id="3358" w:name="_Toc335833047"/>
      <w:bookmarkStart w:id="3359" w:name="_Toc289939023"/>
      <w:bookmarkStart w:id="3360" w:name="_Toc363728629"/>
      <w:bookmarkStart w:id="3361" w:name="_Toc360808485"/>
      <w:bookmarkStart w:id="3362" w:name="_Toc298940330"/>
      <w:bookmarkStart w:id="3363" w:name="_Toc445105605"/>
      <w:bookmarkStart w:id="3364" w:name="_Toc436133307"/>
      <w:bookmarkStart w:id="3365" w:name="_Toc260649088"/>
      <w:bookmarkStart w:id="3366" w:name="_Toc215556254"/>
      <w:bookmarkStart w:id="3367" w:name="_Toc255741997"/>
      <w:bookmarkStart w:id="3368" w:name="_Toc345321547"/>
      <w:bookmarkStart w:id="3369" w:name="_Toc209862394"/>
      <w:bookmarkStart w:id="3370" w:name="_Toc262655514"/>
      <w:bookmarkStart w:id="3371" w:name="_Toc219172401"/>
      <w:bookmarkStart w:id="3372" w:name="_Toc281740714"/>
      <w:bookmarkStart w:id="3373" w:name="_Toc255470333"/>
      <w:bookmarkStart w:id="3374" w:name="_Toc373850759"/>
      <w:bookmarkStart w:id="3375" w:name="_Toc342034825"/>
      <w:bookmarkStart w:id="3376" w:name="_Toc248294485"/>
      <w:bookmarkStart w:id="3377" w:name="_Toc260230032"/>
      <w:bookmarkStart w:id="3378" w:name="_Toc439772771"/>
      <w:bookmarkStart w:id="3379" w:name="_Toc245110802"/>
      <w:bookmarkStart w:id="3380" w:name="_Toc200183090"/>
      <w:bookmarkStart w:id="3381" w:name="_Toc280710388"/>
      <w:bookmarkStart w:id="3382" w:name="_Toc255470110"/>
      <w:bookmarkStart w:id="3383" w:name="_Toc254774474"/>
      <w:bookmarkStart w:id="3384" w:name="_Toc206384903"/>
      <w:bookmarkStart w:id="3385" w:name="_Toc351488788"/>
      <w:bookmarkStart w:id="3386" w:name="_Toc436309664"/>
      <w:bookmarkStart w:id="3387" w:name="_Toc260230359"/>
      <w:bookmarkStart w:id="3388" w:name="_Toc436310016"/>
      <w:bookmarkStart w:id="3389" w:name="_Toc281292291"/>
      <w:bookmarkStart w:id="3390" w:name="_Toc269117579"/>
      <w:bookmarkStart w:id="3391" w:name="_Toc208734472"/>
      <w:bookmarkStart w:id="3392" w:name="_Toc215805115"/>
      <w:bookmarkStart w:id="3393" w:name="_Toc373851284"/>
      <w:bookmarkStart w:id="3394" w:name="_Toc206485132"/>
      <w:bookmarkStart w:id="3395" w:name="_Toc214355735"/>
      <w:bookmarkStart w:id="3396" w:name="_Toc363727314"/>
      <w:bookmarkStart w:id="3397" w:name="_Toc350959257"/>
      <w:bookmarkStart w:id="3398" w:name="_Toc249849014"/>
      <w:bookmarkStart w:id="3399" w:name="_Toc351210214"/>
      <w:bookmarkStart w:id="3400" w:name="_Toc260994511"/>
      <w:bookmarkStart w:id="3401" w:name="_Toc227658562"/>
      <w:bookmarkStart w:id="3402" w:name="_Toc215561272"/>
      <w:bookmarkStart w:id="3403" w:name="_Toc284248409"/>
      <w:bookmarkStart w:id="3404" w:name="_Toc265480236"/>
      <w:bookmarkStart w:id="3405" w:name="_Toc345155411"/>
      <w:bookmarkStart w:id="3406" w:name="_Toc262656041"/>
      <w:bookmarkStart w:id="3407" w:name="_Toc299349238"/>
      <w:bookmarkStart w:id="3408" w:name="_Toc222804588"/>
      <w:bookmarkStart w:id="3409" w:name="_Toc306620416"/>
      <w:bookmarkStart w:id="3410" w:name="_Toc257202901"/>
      <w:bookmarkStart w:id="3411" w:name="_Toc274307477"/>
      <w:bookmarkStart w:id="3412" w:name="_Toc316471088"/>
      <w:bookmarkStart w:id="3413" w:name="_Toc436998859"/>
      <w:bookmarkStart w:id="3414" w:name="_Toc211175396"/>
      <w:r>
        <w:rPr>
          <w:rFonts w:hint="eastAsia" w:hAnsi="宋体" w:cs="宋体"/>
          <w:b/>
          <w:color w:val="auto"/>
        </w:rPr>
        <w:t>20.1 工程保险</w:t>
      </w:r>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p>
    <w:p w14:paraId="06BAA11D">
      <w:pPr>
        <w:pStyle w:val="25"/>
        <w:spacing w:line="400" w:lineRule="exact"/>
        <w:ind w:firstLine="420"/>
        <w:rPr>
          <w:rFonts w:ascii="Times New Roman" w:hAnsi="Times New Roman" w:eastAsia="宋体" w:cs="宋体"/>
          <w:color w:val="auto"/>
          <w:kern w:val="2"/>
          <w:sz w:val="21"/>
          <w:szCs w:val="24"/>
        </w:rPr>
      </w:pPr>
      <w:bookmarkStart w:id="3415" w:name="_Toc299349239"/>
      <w:bookmarkStart w:id="3416" w:name="_Toc219172402"/>
      <w:bookmarkStart w:id="3417" w:name="_Toc289939024"/>
      <w:bookmarkStart w:id="3418" w:name="_Toc189297971"/>
      <w:bookmarkStart w:id="3419" w:name="_Toc360808486"/>
      <w:bookmarkStart w:id="3420" w:name="_Toc335833048"/>
      <w:bookmarkStart w:id="3421" w:name="_Toc206830086"/>
      <w:bookmarkStart w:id="3422" w:name="_Toc265480237"/>
      <w:bookmarkStart w:id="3423" w:name="_Toc262656042"/>
      <w:bookmarkStart w:id="3424" w:name="_Toc209862395"/>
      <w:bookmarkStart w:id="3425" w:name="_Toc363727315"/>
      <w:bookmarkStart w:id="3426" w:name="_Toc215805116"/>
      <w:bookmarkStart w:id="3427" w:name="_Toc262655515"/>
      <w:bookmarkStart w:id="3428" w:name="_Toc284248410"/>
      <w:bookmarkStart w:id="3429" w:name="_Toc257202902"/>
      <w:bookmarkStart w:id="3430" w:name="_Toc345321548"/>
      <w:bookmarkStart w:id="3431" w:name="_Toc254774475"/>
      <w:bookmarkStart w:id="3432" w:name="_Toc342034826"/>
      <w:bookmarkStart w:id="3433" w:name="_Toc248294486"/>
      <w:bookmarkStart w:id="3434" w:name="_Toc373851285"/>
      <w:bookmarkStart w:id="3435" w:name="_Toc215556255"/>
      <w:bookmarkStart w:id="3436" w:name="_Toc436309665"/>
      <w:bookmarkStart w:id="3437" w:name="_Toc281740715"/>
      <w:bookmarkStart w:id="3438" w:name="_Toc215561273"/>
      <w:bookmarkStart w:id="3439" w:name="_Toc255470111"/>
      <w:bookmarkStart w:id="3440" w:name="_Toc260230033"/>
      <w:bookmarkStart w:id="3441" w:name="_Toc298940331"/>
      <w:bookmarkStart w:id="3442" w:name="_Toc260994512"/>
      <w:bookmarkStart w:id="3443" w:name="_Toc227658563"/>
      <w:bookmarkStart w:id="3444" w:name="_Toc200183091"/>
      <w:bookmarkStart w:id="3445" w:name="_Toc316471089"/>
      <w:bookmarkStart w:id="3446" w:name="_Toc255741998"/>
      <w:bookmarkStart w:id="3447" w:name="_Toc255470334"/>
      <w:bookmarkStart w:id="3448" w:name="_Toc199733046"/>
      <w:bookmarkStart w:id="3449" w:name="_Toc351210215"/>
      <w:bookmarkStart w:id="3450" w:name="_Toc269117580"/>
      <w:bookmarkStart w:id="3451" w:name="_Toc306620417"/>
      <w:bookmarkStart w:id="3452" w:name="_Toc249849015"/>
      <w:bookmarkStart w:id="3453" w:name="_Toc206485133"/>
      <w:bookmarkStart w:id="3454" w:name="_Toc281292292"/>
      <w:bookmarkStart w:id="3455" w:name="_Toc350959258"/>
      <w:bookmarkStart w:id="3456" w:name="_Toc211175397"/>
      <w:bookmarkStart w:id="3457" w:name="_Toc351488789"/>
      <w:bookmarkStart w:id="3458" w:name="_Toc280710389"/>
      <w:bookmarkStart w:id="3459" w:name="_Toc260230360"/>
      <w:bookmarkStart w:id="3460" w:name="_Toc208734473"/>
      <w:bookmarkStart w:id="3461" w:name="_Toc214355736"/>
      <w:bookmarkStart w:id="3462" w:name="_Toc363728630"/>
      <w:bookmarkStart w:id="3463" w:name="_Toc245110803"/>
      <w:bookmarkStart w:id="3464" w:name="_Toc373850760"/>
      <w:bookmarkStart w:id="3465" w:name="_Toc274724505"/>
      <w:bookmarkStart w:id="3466" w:name="_Toc274307478"/>
      <w:bookmarkStart w:id="3467" w:name="_Toc436310017"/>
      <w:bookmarkStart w:id="3468" w:name="_Toc222804589"/>
      <w:bookmarkStart w:id="3469" w:name="_Toc436133308"/>
      <w:bookmarkStart w:id="3470" w:name="_Toc345155412"/>
      <w:bookmarkStart w:id="3471" w:name="_Toc199842029"/>
      <w:bookmarkStart w:id="3472" w:name="_Toc260649089"/>
      <w:bookmarkStart w:id="3473" w:name="_Toc206384904"/>
      <w:r>
        <w:rPr>
          <w:rFonts w:hint="eastAsia" w:ascii="Times New Roman" w:hAnsi="Times New Roman" w:eastAsia="宋体" w:cs="宋体"/>
          <w:color w:val="auto"/>
          <w:kern w:val="2"/>
          <w:sz w:val="21"/>
          <w:szCs w:val="24"/>
        </w:rPr>
        <w:t>由承包人按本合同通用合同条款第20条的约定投保以下险种：</w:t>
      </w:r>
    </w:p>
    <w:p w14:paraId="560050C2">
      <w:pPr>
        <w:pStyle w:val="25"/>
        <w:spacing w:line="400" w:lineRule="exact"/>
        <w:ind w:firstLine="420"/>
        <w:rPr>
          <w:rFonts w:ascii="Times New Roman" w:hAnsi="Times New Roman" w:eastAsia="宋体" w:cs="宋体"/>
          <w:color w:val="auto"/>
          <w:kern w:val="2"/>
          <w:sz w:val="21"/>
          <w:szCs w:val="24"/>
        </w:rPr>
      </w:pPr>
      <w:r>
        <w:rPr>
          <w:rFonts w:hint="eastAsia" w:ascii="Times New Roman" w:hAnsi="Times New Roman" w:eastAsia="宋体" w:cs="宋体"/>
          <w:color w:val="auto"/>
          <w:kern w:val="2"/>
          <w:sz w:val="21"/>
          <w:szCs w:val="24"/>
        </w:rPr>
        <w:t xml:space="preserve">    (1)建筑安装工程一切险(包括材料和工程设备，以发包人和承包人共同名义投保)；</w:t>
      </w:r>
    </w:p>
    <w:p w14:paraId="2A8A1698">
      <w:pPr>
        <w:pStyle w:val="25"/>
        <w:spacing w:line="400" w:lineRule="exact"/>
        <w:ind w:firstLine="420"/>
        <w:rPr>
          <w:rFonts w:ascii="Times New Roman" w:hAnsi="Times New Roman" w:eastAsia="宋体" w:cs="宋体"/>
          <w:color w:val="auto"/>
          <w:kern w:val="2"/>
          <w:sz w:val="21"/>
          <w:szCs w:val="24"/>
        </w:rPr>
      </w:pPr>
      <w:r>
        <w:rPr>
          <w:rFonts w:hint="eastAsia" w:ascii="Times New Roman" w:hAnsi="Times New Roman" w:eastAsia="宋体" w:cs="宋体"/>
          <w:color w:val="auto"/>
          <w:kern w:val="2"/>
          <w:sz w:val="21"/>
          <w:szCs w:val="24"/>
        </w:rPr>
        <w:t xml:space="preserve">    (2)人员工伤事故险(按各自管辖的人员投保)；</w:t>
      </w:r>
    </w:p>
    <w:p w14:paraId="5244C332">
      <w:pPr>
        <w:pStyle w:val="25"/>
        <w:spacing w:line="400" w:lineRule="exact"/>
        <w:ind w:firstLine="420"/>
        <w:rPr>
          <w:rFonts w:ascii="Times New Roman" w:hAnsi="Times New Roman" w:eastAsia="宋体" w:cs="宋体"/>
          <w:color w:val="auto"/>
          <w:kern w:val="2"/>
          <w:sz w:val="21"/>
          <w:szCs w:val="24"/>
        </w:rPr>
      </w:pPr>
      <w:r>
        <w:rPr>
          <w:rFonts w:hint="eastAsia" w:ascii="Times New Roman" w:hAnsi="Times New Roman" w:eastAsia="宋体" w:cs="宋体"/>
          <w:color w:val="auto"/>
          <w:kern w:val="2"/>
          <w:sz w:val="21"/>
          <w:szCs w:val="24"/>
        </w:rPr>
        <w:t xml:space="preserve">    (3)人身意外伤害险(按各自管辖的人员投保)；</w:t>
      </w:r>
    </w:p>
    <w:p w14:paraId="149CC302">
      <w:pPr>
        <w:pStyle w:val="25"/>
        <w:spacing w:line="400" w:lineRule="exact"/>
        <w:ind w:firstLine="420"/>
        <w:rPr>
          <w:rFonts w:ascii="Times New Roman" w:hAnsi="Times New Roman" w:eastAsia="宋体" w:cs="宋体"/>
          <w:color w:val="auto"/>
          <w:kern w:val="2"/>
          <w:sz w:val="21"/>
          <w:szCs w:val="24"/>
        </w:rPr>
      </w:pPr>
      <w:r>
        <w:rPr>
          <w:rFonts w:hint="eastAsia" w:ascii="Times New Roman" w:hAnsi="Times New Roman" w:eastAsia="宋体" w:cs="宋体"/>
          <w:color w:val="auto"/>
          <w:kern w:val="2"/>
          <w:sz w:val="21"/>
          <w:szCs w:val="24"/>
        </w:rPr>
        <w:t xml:space="preserve">    (4)第三者责任险(按各自管辖区，以承包人名义投保)；</w:t>
      </w:r>
    </w:p>
    <w:p w14:paraId="0EBF5A7B">
      <w:pPr>
        <w:pStyle w:val="25"/>
        <w:spacing w:line="400" w:lineRule="exact"/>
        <w:ind w:firstLine="420"/>
        <w:rPr>
          <w:rFonts w:ascii="Times New Roman" w:hAnsi="Times New Roman" w:eastAsia="宋体" w:cs="宋体"/>
          <w:color w:val="auto"/>
          <w:kern w:val="2"/>
          <w:sz w:val="21"/>
          <w:szCs w:val="24"/>
        </w:rPr>
      </w:pPr>
      <w:r>
        <w:rPr>
          <w:rFonts w:hint="eastAsia" w:ascii="Times New Roman" w:hAnsi="Times New Roman" w:eastAsia="宋体" w:cs="宋体"/>
          <w:color w:val="auto"/>
          <w:kern w:val="2"/>
          <w:sz w:val="21"/>
          <w:szCs w:val="24"/>
        </w:rPr>
        <w:t xml:space="preserve">    (5)施工设备险(由承包人负责投保)。</w:t>
      </w:r>
    </w:p>
    <w:p w14:paraId="4FD96C3B">
      <w:pPr>
        <w:pStyle w:val="25"/>
        <w:spacing w:line="400" w:lineRule="exact"/>
        <w:ind w:firstLine="562"/>
        <w:rPr>
          <w:rFonts w:hAnsi="宋体" w:cs="宋体"/>
          <w:b/>
          <w:color w:val="auto"/>
        </w:rPr>
      </w:pPr>
      <w:bookmarkStart w:id="3474" w:name="_Toc445105606"/>
      <w:bookmarkStart w:id="3475" w:name="_Toc436998860"/>
      <w:bookmarkStart w:id="3476" w:name="_Toc439772772"/>
      <w:r>
        <w:rPr>
          <w:rFonts w:hint="eastAsia" w:hAnsi="宋体" w:cs="宋体"/>
          <w:b/>
          <w:color w:val="auto"/>
        </w:rPr>
        <w:t>20.2 保险费用</w:t>
      </w:r>
      <w:bookmarkEnd w:id="3474"/>
      <w:bookmarkEnd w:id="3475"/>
      <w:bookmarkEnd w:id="3476"/>
    </w:p>
    <w:p w14:paraId="4C692CBD">
      <w:pPr>
        <w:pStyle w:val="25"/>
        <w:spacing w:line="400" w:lineRule="exact"/>
        <w:ind w:firstLine="420"/>
        <w:rPr>
          <w:rFonts w:ascii="Times New Roman" w:hAnsi="Times New Roman" w:eastAsia="宋体" w:cs="宋体"/>
          <w:color w:val="auto"/>
          <w:kern w:val="2"/>
          <w:sz w:val="21"/>
          <w:szCs w:val="24"/>
        </w:rPr>
      </w:pPr>
      <w:bookmarkStart w:id="3477" w:name="_Toc436998861"/>
      <w:r>
        <w:rPr>
          <w:rFonts w:hint="eastAsia" w:ascii="Times New Roman" w:hAnsi="Times New Roman" w:eastAsia="宋体" w:cs="宋体"/>
          <w:color w:val="auto"/>
          <w:kern w:val="2"/>
          <w:sz w:val="21"/>
          <w:szCs w:val="24"/>
        </w:rPr>
        <w:t>(1)若本合同约定由承包人负责投保建筑安装工程一切险，承包人应按本合同通用合同条款第20.1款约定的责任和内容列报。</w:t>
      </w:r>
    </w:p>
    <w:p w14:paraId="1FE1484C">
      <w:pPr>
        <w:pStyle w:val="25"/>
        <w:spacing w:line="400" w:lineRule="exact"/>
        <w:ind w:firstLine="420"/>
        <w:rPr>
          <w:rFonts w:ascii="Times New Roman" w:hAnsi="Times New Roman" w:eastAsia="宋体" w:cs="宋体"/>
          <w:color w:val="auto"/>
          <w:kern w:val="2"/>
          <w:sz w:val="21"/>
          <w:szCs w:val="24"/>
        </w:rPr>
      </w:pPr>
      <w:r>
        <w:rPr>
          <w:rFonts w:hint="eastAsia" w:ascii="Times New Roman" w:hAnsi="Times New Roman" w:eastAsia="宋体" w:cs="宋体"/>
          <w:color w:val="auto"/>
          <w:kern w:val="2"/>
          <w:sz w:val="21"/>
          <w:szCs w:val="24"/>
        </w:rPr>
        <w:t>若本合同约定由发包人负责投保建筑安装工程一切险，则承包人不需列报。</w:t>
      </w:r>
    </w:p>
    <w:p w14:paraId="0A63B458">
      <w:pPr>
        <w:pStyle w:val="25"/>
        <w:spacing w:line="400" w:lineRule="exact"/>
        <w:ind w:firstLine="420"/>
        <w:rPr>
          <w:rFonts w:ascii="Times New Roman" w:hAnsi="Times New Roman" w:eastAsia="宋体" w:cs="宋体"/>
          <w:color w:val="auto"/>
          <w:kern w:val="2"/>
          <w:sz w:val="21"/>
          <w:szCs w:val="24"/>
        </w:rPr>
      </w:pPr>
      <w:r>
        <w:rPr>
          <w:rFonts w:hint="eastAsia" w:ascii="Times New Roman" w:hAnsi="Times New Roman" w:eastAsia="宋体" w:cs="宋体"/>
          <w:color w:val="auto"/>
          <w:kern w:val="2"/>
          <w:sz w:val="21"/>
          <w:szCs w:val="24"/>
        </w:rPr>
        <w:t xml:space="preserve">    (2)承包人人员的工伤事故险和人身意外伤害险应由承包人按本合同通用合同条款第20.2款、第20.3款约定的责任和内容，为全部现场施工人员办理保险。</w:t>
      </w:r>
    </w:p>
    <w:p w14:paraId="477287C9">
      <w:pPr>
        <w:pStyle w:val="25"/>
        <w:spacing w:line="400" w:lineRule="exact"/>
        <w:ind w:firstLine="420"/>
        <w:rPr>
          <w:rFonts w:ascii="Times New Roman" w:hAnsi="Times New Roman" w:eastAsia="宋体" w:cs="宋体"/>
          <w:color w:val="auto"/>
          <w:kern w:val="2"/>
          <w:sz w:val="21"/>
          <w:szCs w:val="24"/>
        </w:rPr>
      </w:pPr>
      <w:r>
        <w:rPr>
          <w:rFonts w:hint="eastAsia" w:ascii="Times New Roman" w:hAnsi="Times New Roman" w:eastAsia="宋体" w:cs="宋体"/>
          <w:color w:val="auto"/>
          <w:kern w:val="2"/>
          <w:sz w:val="21"/>
          <w:szCs w:val="24"/>
        </w:rPr>
        <w:t xml:space="preserve">    (3)承包人管辖区内的第三者责任险，应由承包人根据本合同通用合同条款第20.4款约定的责任和内容办理。</w:t>
      </w:r>
    </w:p>
    <w:p w14:paraId="665A7215">
      <w:pPr>
        <w:pStyle w:val="25"/>
        <w:spacing w:line="400" w:lineRule="exact"/>
        <w:ind w:firstLine="420"/>
        <w:rPr>
          <w:rFonts w:ascii="Times New Roman" w:hAnsi="Times New Roman" w:eastAsia="宋体" w:cs="宋体"/>
          <w:color w:val="auto"/>
          <w:kern w:val="2"/>
          <w:sz w:val="21"/>
          <w:szCs w:val="24"/>
        </w:rPr>
      </w:pPr>
      <w:r>
        <w:rPr>
          <w:rFonts w:hint="eastAsia" w:ascii="Times New Roman" w:hAnsi="Times New Roman" w:eastAsia="宋体" w:cs="宋体"/>
          <w:color w:val="auto"/>
          <w:kern w:val="2"/>
          <w:sz w:val="21"/>
          <w:szCs w:val="24"/>
        </w:rPr>
        <w:t xml:space="preserve">    (4)施工设备险由承包人负责投保，保险费用包括在施工设备运行费内。</w:t>
      </w:r>
    </w:p>
    <w:p w14:paraId="02928FCE">
      <w:pPr>
        <w:pStyle w:val="180"/>
        <w:spacing w:before="100" w:after="100" w:line="400" w:lineRule="exact"/>
        <w:ind w:firstLine="643"/>
        <w:jc w:val="both"/>
        <w:rPr>
          <w:rFonts w:hAnsi="宋体" w:cs="宋体"/>
          <w:b/>
          <w:color w:val="auto"/>
          <w:sz w:val="32"/>
          <w:szCs w:val="32"/>
        </w:rPr>
      </w:pPr>
      <w:r>
        <w:rPr>
          <w:rFonts w:hint="eastAsia" w:hAnsi="宋体" w:cs="宋体"/>
          <w:b/>
          <w:color w:val="auto"/>
          <w:sz w:val="32"/>
          <w:szCs w:val="32"/>
        </w:rPr>
        <w:t>22.违约</w:t>
      </w:r>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7"/>
    </w:p>
    <w:p w14:paraId="4B266D63">
      <w:pPr>
        <w:pStyle w:val="180"/>
        <w:spacing w:after="0" w:line="400" w:lineRule="exact"/>
        <w:ind w:firstLine="562"/>
        <w:jc w:val="both"/>
        <w:rPr>
          <w:rFonts w:hAnsi="宋体" w:cs="宋体"/>
          <w:b/>
          <w:color w:val="auto"/>
        </w:rPr>
      </w:pPr>
      <w:bookmarkStart w:id="3478" w:name="_Toc281740716"/>
      <w:bookmarkStart w:id="3479" w:name="_Toc219172403"/>
      <w:bookmarkStart w:id="3480" w:name="_Toc373851286"/>
      <w:bookmarkStart w:id="3481" w:name="_Toc281292293"/>
      <w:bookmarkStart w:id="3482" w:name="_Toc335833049"/>
      <w:bookmarkStart w:id="3483" w:name="_Toc200183092"/>
      <w:bookmarkStart w:id="3484" w:name="_Toc260230034"/>
      <w:bookmarkStart w:id="3485" w:name="_Toc274307479"/>
      <w:bookmarkStart w:id="3486" w:name="_Toc439772773"/>
      <w:bookmarkStart w:id="3487" w:name="_Toc262655516"/>
      <w:bookmarkStart w:id="3488" w:name="_Toc262656043"/>
      <w:bookmarkStart w:id="3489" w:name="_Toc211175398"/>
      <w:bookmarkStart w:id="3490" w:name="_Toc289939025"/>
      <w:bookmarkStart w:id="3491" w:name="_Toc209862396"/>
      <w:bookmarkStart w:id="3492" w:name="_Toc260230361"/>
      <w:bookmarkStart w:id="3493" w:name="_Toc360808487"/>
      <w:bookmarkStart w:id="3494" w:name="_Toc206384905"/>
      <w:bookmarkStart w:id="3495" w:name="_Toc345155413"/>
      <w:bookmarkStart w:id="3496" w:name="_Toc436998862"/>
      <w:bookmarkStart w:id="3497" w:name="_Toc306620418"/>
      <w:bookmarkStart w:id="3498" w:name="_Toc351488790"/>
      <w:bookmarkStart w:id="3499" w:name="_Toc280710390"/>
      <w:bookmarkStart w:id="3500" w:name="_Toc350959259"/>
      <w:bookmarkStart w:id="3501" w:name="_Toc214355737"/>
      <w:bookmarkStart w:id="3502" w:name="_Toc436309666"/>
      <w:bookmarkStart w:id="3503" w:name="_Toc215561274"/>
      <w:bookmarkStart w:id="3504" w:name="_Toc299349240"/>
      <w:bookmarkStart w:id="3505" w:name="_Toc255470335"/>
      <w:bookmarkStart w:id="3506" w:name="_Toc257202903"/>
      <w:bookmarkStart w:id="3507" w:name="_Toc445105607"/>
      <w:bookmarkStart w:id="3508" w:name="_Toc345321549"/>
      <w:bookmarkStart w:id="3509" w:name="_Toc363727316"/>
      <w:bookmarkStart w:id="3510" w:name="_Toc298940332"/>
      <w:bookmarkStart w:id="3511" w:name="_Toc215805117"/>
      <w:bookmarkStart w:id="3512" w:name="_Toc284248411"/>
      <w:bookmarkStart w:id="3513" w:name="_Toc269117581"/>
      <w:bookmarkStart w:id="3514" w:name="_Toc363728631"/>
      <w:bookmarkStart w:id="3515" w:name="_Toc227658564"/>
      <w:bookmarkStart w:id="3516" w:name="_Toc373850761"/>
      <w:bookmarkStart w:id="3517" w:name="_Toc206485134"/>
      <w:bookmarkStart w:id="3518" w:name="_Toc222804590"/>
      <w:bookmarkStart w:id="3519" w:name="_Toc260994513"/>
      <w:bookmarkStart w:id="3520" w:name="_Toc215556256"/>
      <w:bookmarkStart w:id="3521" w:name="_Toc206830087"/>
      <w:bookmarkStart w:id="3522" w:name="_Toc245110804"/>
      <w:bookmarkStart w:id="3523" w:name="_Toc249849016"/>
      <w:bookmarkStart w:id="3524" w:name="_Toc436310018"/>
      <w:bookmarkStart w:id="3525" w:name="_Toc208734474"/>
      <w:bookmarkStart w:id="3526" w:name="_Toc255741999"/>
      <w:bookmarkStart w:id="3527" w:name="_Toc265480238"/>
      <w:bookmarkStart w:id="3528" w:name="_Toc316471090"/>
      <w:bookmarkStart w:id="3529" w:name="_Toc255470112"/>
      <w:bookmarkStart w:id="3530" w:name="_Toc254774476"/>
      <w:bookmarkStart w:id="3531" w:name="_Toc436133309"/>
      <w:bookmarkStart w:id="3532" w:name="_Toc342034827"/>
      <w:bookmarkStart w:id="3533" w:name="_Toc260649090"/>
      <w:bookmarkStart w:id="3534" w:name="_Toc274724506"/>
      <w:bookmarkStart w:id="3535" w:name="_Toc248294487"/>
      <w:bookmarkStart w:id="3536" w:name="_Toc351210216"/>
      <w:r>
        <w:rPr>
          <w:rFonts w:hint="eastAsia" w:hAnsi="宋体" w:cs="宋体"/>
          <w:b/>
          <w:color w:val="auto"/>
        </w:rPr>
        <w:t>22.1 承包人违约</w:t>
      </w:r>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p>
    <w:p w14:paraId="4899FD17">
      <w:pPr>
        <w:spacing w:line="400" w:lineRule="exact"/>
        <w:ind w:firstLine="420"/>
        <w:rPr>
          <w:rFonts w:eastAsia="宋体" w:cs="宋体"/>
          <w:color w:val="auto"/>
          <w:sz w:val="21"/>
          <w:szCs w:val="24"/>
        </w:rPr>
      </w:pPr>
      <w:bookmarkStart w:id="3537" w:name="_Toc345155414"/>
      <w:bookmarkStart w:id="3538" w:name="_Toc436133310"/>
      <w:bookmarkStart w:id="3539" w:name="_Toc363728632"/>
      <w:bookmarkStart w:id="3540" w:name="_Toc206830088"/>
      <w:bookmarkStart w:id="3541" w:name="_Toc215561275"/>
      <w:bookmarkStart w:id="3542" w:name="_Toc274724507"/>
      <w:bookmarkStart w:id="3543" w:name="_Toc255470113"/>
      <w:bookmarkStart w:id="3544" w:name="_Toc345321550"/>
      <w:bookmarkStart w:id="3545" w:name="_Toc265480239"/>
      <w:bookmarkStart w:id="3546" w:name="_Toc298940333"/>
      <w:bookmarkStart w:id="3547" w:name="_Toc215805118"/>
      <w:bookmarkStart w:id="3548" w:name="_Toc260230362"/>
      <w:bookmarkStart w:id="3549" w:name="_Toc260994514"/>
      <w:bookmarkStart w:id="3550" w:name="_Toc219172404"/>
      <w:bookmarkStart w:id="3551" w:name="_Toc436309667"/>
      <w:bookmarkStart w:id="3552" w:name="_Toc211175399"/>
      <w:bookmarkStart w:id="3553" w:name="_Toc257202904"/>
      <w:bookmarkStart w:id="3554" w:name="_Toc299349241"/>
      <w:bookmarkStart w:id="3555" w:name="_Toc281292294"/>
      <w:bookmarkStart w:id="3556" w:name="_Toc248294488"/>
      <w:bookmarkStart w:id="3557" w:name="_Toc200183093"/>
      <w:bookmarkStart w:id="3558" w:name="_Toc215556257"/>
      <w:bookmarkStart w:id="3559" w:name="_Toc249849017"/>
      <w:bookmarkStart w:id="3560" w:name="_Toc373851287"/>
      <w:bookmarkStart w:id="3561" w:name="_Toc260230035"/>
      <w:bookmarkStart w:id="3562" w:name="_Toc316471091"/>
      <w:bookmarkStart w:id="3563" w:name="_Toc351488791"/>
      <w:bookmarkStart w:id="3564" w:name="_Toc227658565"/>
      <w:bookmarkStart w:id="3565" w:name="_Toc363727317"/>
      <w:bookmarkStart w:id="3566" w:name="_Toc262656044"/>
      <w:bookmarkStart w:id="3567" w:name="_Toc280710391"/>
      <w:bookmarkStart w:id="3568" w:name="_Toc269117582"/>
      <w:bookmarkStart w:id="3569" w:name="_Toc439772774"/>
      <w:bookmarkStart w:id="3570" w:name="_Toc284248412"/>
      <w:bookmarkStart w:id="3571" w:name="_Toc306620419"/>
      <w:bookmarkStart w:id="3572" w:name="_Toc209862397"/>
      <w:bookmarkStart w:id="3573" w:name="_Toc214355738"/>
      <w:bookmarkStart w:id="3574" w:name="_Toc222804591"/>
      <w:bookmarkStart w:id="3575" w:name="_Toc262655517"/>
      <w:bookmarkStart w:id="3576" w:name="_Toc436310019"/>
      <w:bookmarkStart w:id="3577" w:name="_Toc373850762"/>
      <w:bookmarkStart w:id="3578" w:name="_Toc255470336"/>
      <w:bookmarkStart w:id="3579" w:name="_Toc274307480"/>
      <w:bookmarkStart w:id="3580" w:name="_Toc350959260"/>
      <w:bookmarkStart w:id="3581" w:name="_Toc206485135"/>
      <w:bookmarkStart w:id="3582" w:name="_Toc360808488"/>
      <w:bookmarkStart w:id="3583" w:name="_Toc206384906"/>
      <w:bookmarkStart w:id="3584" w:name="_Toc255742000"/>
      <w:bookmarkStart w:id="3585" w:name="_Toc281740717"/>
      <w:bookmarkStart w:id="3586" w:name="_Toc335833050"/>
      <w:bookmarkStart w:id="3587" w:name="_Toc245110805"/>
      <w:bookmarkStart w:id="3588" w:name="_Toc289939026"/>
      <w:bookmarkStart w:id="3589" w:name="_Toc208734475"/>
      <w:bookmarkStart w:id="3590" w:name="_Toc260649091"/>
      <w:bookmarkStart w:id="3591" w:name="_Toc445105608"/>
      <w:bookmarkStart w:id="3592" w:name="_Toc254774477"/>
      <w:bookmarkStart w:id="3593" w:name="_Toc342034828"/>
      <w:bookmarkStart w:id="3594" w:name="_Toc351210217"/>
      <w:bookmarkStart w:id="3595" w:name="_Toc436998863"/>
      <w:r>
        <w:rPr>
          <w:rFonts w:hint="eastAsia" w:eastAsia="宋体" w:cs="宋体"/>
          <w:color w:val="auto"/>
          <w:sz w:val="21"/>
          <w:szCs w:val="24"/>
        </w:rPr>
        <w:t>22.1.1 承包人违约的情形</w:t>
      </w:r>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p>
    <w:p w14:paraId="0B250884">
      <w:pPr>
        <w:pStyle w:val="87"/>
        <w:spacing w:line="400" w:lineRule="exact"/>
        <w:ind w:firstLine="420" w:firstLineChars="200"/>
        <w:jc w:val="both"/>
        <w:rPr>
          <w:rFonts w:ascii="Times New Roman"/>
          <w:color w:val="auto"/>
          <w:kern w:val="2"/>
          <w:sz w:val="21"/>
        </w:rPr>
      </w:pPr>
      <w:r>
        <w:rPr>
          <w:rFonts w:hint="eastAsia" w:ascii="Times New Roman"/>
          <w:color w:val="auto"/>
          <w:kern w:val="2"/>
          <w:sz w:val="21"/>
        </w:rPr>
        <w:t>增加：（8）承包人更换项目经理、技术负责人、专职安全生产管理人员等主要项目管理人员。</w:t>
      </w:r>
    </w:p>
    <w:p w14:paraId="57ED1DDD">
      <w:pPr>
        <w:pStyle w:val="180"/>
        <w:spacing w:before="100" w:after="100" w:line="400" w:lineRule="exact"/>
        <w:ind w:firstLine="643"/>
        <w:jc w:val="both"/>
        <w:rPr>
          <w:rFonts w:hAnsi="宋体" w:cs="宋体"/>
          <w:b/>
          <w:color w:val="auto"/>
          <w:sz w:val="32"/>
          <w:szCs w:val="32"/>
        </w:rPr>
      </w:pPr>
      <w:bookmarkStart w:id="3596" w:name="_Toc439772775"/>
      <w:bookmarkStart w:id="3597" w:name="_Toc436133311"/>
      <w:bookmarkStart w:id="3598" w:name="_Toc445105609"/>
      <w:bookmarkStart w:id="3599" w:name="_Toc436998864"/>
      <w:bookmarkStart w:id="3600" w:name="_Toc436310020"/>
      <w:bookmarkStart w:id="3601" w:name="_Toc436309668"/>
      <w:r>
        <w:rPr>
          <w:rFonts w:hint="eastAsia" w:hAnsi="宋体" w:cs="宋体"/>
          <w:b/>
          <w:color w:val="auto"/>
          <w:sz w:val="32"/>
          <w:szCs w:val="32"/>
        </w:rPr>
        <w:t>25 补充条款</w:t>
      </w:r>
      <w:bookmarkEnd w:id="3596"/>
      <w:bookmarkEnd w:id="3597"/>
      <w:bookmarkEnd w:id="3598"/>
      <w:bookmarkEnd w:id="3599"/>
      <w:bookmarkEnd w:id="3600"/>
      <w:bookmarkEnd w:id="3601"/>
    </w:p>
    <w:p w14:paraId="25E86C5D">
      <w:pPr>
        <w:spacing w:line="400" w:lineRule="exact"/>
        <w:ind w:firstLine="632" w:firstLineChars="225"/>
        <w:rPr>
          <w:rFonts w:cs="宋体"/>
          <w:b/>
          <w:color w:val="auto"/>
        </w:rPr>
      </w:pPr>
      <w:r>
        <w:rPr>
          <w:rFonts w:hint="eastAsia" w:cs="宋体"/>
          <w:b/>
          <w:color w:val="auto"/>
        </w:rPr>
        <w:t>25.1 发包人有权随时向承包人发出关于工程合理施工、竣工及保修所需的补充文件和指标。</w:t>
      </w:r>
    </w:p>
    <w:p w14:paraId="7574C227">
      <w:pPr>
        <w:spacing w:line="400" w:lineRule="exact"/>
        <w:ind w:firstLine="632" w:firstLineChars="225"/>
        <w:rPr>
          <w:rFonts w:cs="宋体"/>
          <w:b/>
          <w:color w:val="auto"/>
        </w:rPr>
      </w:pPr>
      <w:r>
        <w:rPr>
          <w:rFonts w:hint="eastAsia" w:cs="宋体"/>
          <w:b/>
          <w:color w:val="auto"/>
        </w:rPr>
        <w:t>25.2 工程中所需一切技术资料、验收资料及相关检验、试验所发生的费用均由承包人承担。</w:t>
      </w:r>
    </w:p>
    <w:p w14:paraId="0599B59C">
      <w:pPr>
        <w:spacing w:line="400" w:lineRule="exact"/>
        <w:ind w:firstLine="632" w:firstLineChars="225"/>
        <w:rPr>
          <w:rFonts w:cs="宋体"/>
          <w:b/>
          <w:color w:val="auto"/>
        </w:rPr>
      </w:pPr>
      <w:r>
        <w:rPr>
          <w:rFonts w:hint="eastAsia" w:cs="宋体"/>
          <w:b/>
          <w:color w:val="auto"/>
        </w:rPr>
        <w:t>25.3 施工期间的安全问题、地方关系或个体关系由承包人自行解决。</w:t>
      </w:r>
    </w:p>
    <w:p w14:paraId="4F0258E9">
      <w:pPr>
        <w:spacing w:line="400" w:lineRule="exact"/>
        <w:ind w:firstLine="632" w:firstLineChars="225"/>
        <w:rPr>
          <w:rFonts w:cs="宋体"/>
          <w:b/>
          <w:color w:val="auto"/>
        </w:rPr>
      </w:pPr>
    </w:p>
    <w:p w14:paraId="667DA257">
      <w:pPr>
        <w:spacing w:line="400" w:lineRule="exact"/>
        <w:ind w:firstLine="632" w:firstLineChars="225"/>
        <w:rPr>
          <w:rFonts w:cs="宋体"/>
          <w:b/>
          <w:color w:val="auto"/>
        </w:rPr>
      </w:pPr>
    </w:p>
    <w:p w14:paraId="16176EB9">
      <w:pPr>
        <w:spacing w:line="400" w:lineRule="exact"/>
        <w:ind w:firstLine="632" w:firstLineChars="225"/>
        <w:jc w:val="center"/>
        <w:rPr>
          <w:rFonts w:cs="宋体"/>
          <w:b/>
          <w:color w:val="auto"/>
        </w:rPr>
      </w:pPr>
    </w:p>
    <w:p w14:paraId="4331A972">
      <w:pPr>
        <w:spacing w:before="312" w:beforeLines="100" w:line="400" w:lineRule="exact"/>
        <w:ind w:firstLine="562"/>
        <w:jc w:val="center"/>
        <w:rPr>
          <w:rFonts w:cs="宋体"/>
          <w:color w:val="auto"/>
          <w:sz w:val="36"/>
          <w:szCs w:val="36"/>
        </w:rPr>
      </w:pPr>
      <w:r>
        <w:rPr>
          <w:rFonts w:hint="eastAsia" w:cs="宋体"/>
          <w:b/>
          <w:color w:val="auto"/>
        </w:rPr>
        <w:br w:type="page"/>
      </w:r>
      <w:bookmarkStart w:id="3602" w:name="_Toc20417"/>
      <w:r>
        <w:rPr>
          <w:rFonts w:hint="eastAsia" w:cs="宋体"/>
          <w:color w:val="auto"/>
          <w:sz w:val="36"/>
          <w:szCs w:val="36"/>
        </w:rPr>
        <w:t>第三节合同附件格式</w:t>
      </w:r>
      <w:bookmarkEnd w:id="3602"/>
    </w:p>
    <w:p w14:paraId="4FC236B9">
      <w:pPr>
        <w:pStyle w:val="87"/>
        <w:spacing w:line="440" w:lineRule="atLeast"/>
        <w:ind w:firstLine="562"/>
        <w:jc w:val="center"/>
        <w:rPr>
          <w:rFonts w:hAnsi="宋体"/>
          <w:color w:val="auto"/>
          <w:sz w:val="28"/>
          <w:szCs w:val="28"/>
        </w:rPr>
      </w:pPr>
      <w:r>
        <w:rPr>
          <w:rFonts w:hint="eastAsia" w:hAnsi="宋体"/>
          <w:color w:val="auto"/>
          <w:sz w:val="28"/>
          <w:szCs w:val="28"/>
        </w:rPr>
        <w:t>履约担保</w:t>
      </w:r>
    </w:p>
    <w:p w14:paraId="3A411CF4">
      <w:pPr>
        <w:spacing w:line="440" w:lineRule="exact"/>
        <w:ind w:firstLine="560"/>
        <w:rPr>
          <w:rFonts w:cs="宋体"/>
          <w:color w:val="auto"/>
          <w:szCs w:val="21"/>
        </w:rPr>
      </w:pPr>
      <w:r>
        <w:rPr>
          <w:rFonts w:hint="eastAsia" w:cs="宋体"/>
          <w:color w:val="auto"/>
          <w:szCs w:val="21"/>
          <w:u w:val="single"/>
        </w:rPr>
        <w:tab/>
      </w:r>
      <w:r>
        <w:rPr>
          <w:rFonts w:hint="eastAsia" w:cs="宋体"/>
          <w:color w:val="auto"/>
          <w:szCs w:val="21"/>
          <w:u w:val="single"/>
        </w:rPr>
        <w:tab/>
      </w:r>
      <w:r>
        <w:rPr>
          <w:rFonts w:hint="eastAsia" w:cs="宋体"/>
          <w:color w:val="auto"/>
          <w:szCs w:val="21"/>
        </w:rPr>
        <w:t>（发包人名称）：</w:t>
      </w:r>
    </w:p>
    <w:p w14:paraId="04C09B6B">
      <w:pPr>
        <w:spacing w:line="440" w:lineRule="exact"/>
        <w:ind w:firstLine="560"/>
        <w:rPr>
          <w:rFonts w:cs="宋体"/>
          <w:color w:val="auto"/>
          <w:szCs w:val="21"/>
        </w:rPr>
      </w:pPr>
    </w:p>
    <w:p w14:paraId="043296E8">
      <w:pPr>
        <w:spacing w:line="440" w:lineRule="exact"/>
        <w:ind w:firstLine="560"/>
        <w:rPr>
          <w:rFonts w:cs="宋体"/>
          <w:color w:val="auto"/>
          <w:szCs w:val="21"/>
        </w:rPr>
      </w:pPr>
      <w:r>
        <w:rPr>
          <w:rFonts w:hint="eastAsia" w:cs="宋体"/>
          <w:color w:val="auto"/>
          <w:szCs w:val="21"/>
        </w:rPr>
        <w:t>鉴于（发包人名称，以下简称“发包人”）接受（承包人名称，以下称“承包人”）于年月日参加（项目名称）的投标。我方愿意就承包人履行与你方订立的合同，向你方提供担保。</w:t>
      </w:r>
    </w:p>
    <w:p w14:paraId="69207564">
      <w:pPr>
        <w:spacing w:line="440" w:lineRule="exact"/>
        <w:ind w:firstLine="560"/>
        <w:rPr>
          <w:rFonts w:cs="宋体"/>
          <w:color w:val="auto"/>
          <w:szCs w:val="21"/>
        </w:rPr>
      </w:pPr>
      <w:r>
        <w:rPr>
          <w:rFonts w:hint="eastAsia" w:cs="宋体"/>
          <w:color w:val="auto"/>
          <w:szCs w:val="21"/>
        </w:rPr>
        <w:t>1. 担保金额人民币（大写）（¥）。</w:t>
      </w:r>
    </w:p>
    <w:p w14:paraId="77337D25">
      <w:pPr>
        <w:spacing w:line="440" w:lineRule="exact"/>
        <w:ind w:firstLine="560"/>
        <w:rPr>
          <w:rFonts w:cs="宋体"/>
          <w:color w:val="auto"/>
          <w:szCs w:val="21"/>
        </w:rPr>
      </w:pPr>
      <w:r>
        <w:rPr>
          <w:rFonts w:hint="eastAsia" w:cs="宋体"/>
          <w:color w:val="auto"/>
          <w:szCs w:val="21"/>
        </w:rPr>
        <w:t>2. 担保有效期自发包人与承包人签订的合同生效之日起至发包人签发工程接收证书之日止。</w:t>
      </w:r>
    </w:p>
    <w:p w14:paraId="4E949B8A">
      <w:pPr>
        <w:spacing w:line="440" w:lineRule="exact"/>
        <w:ind w:firstLine="560"/>
        <w:rPr>
          <w:rFonts w:cs="宋体"/>
          <w:color w:val="auto"/>
          <w:szCs w:val="21"/>
        </w:rPr>
      </w:pPr>
      <w:r>
        <w:rPr>
          <w:rFonts w:hint="eastAsia" w:cs="宋体"/>
          <w:color w:val="auto"/>
          <w:szCs w:val="21"/>
        </w:rPr>
        <w:t>3. 在本担保有效期内，因承包人违反合同约定的义务给你方造成经济损失时，我方在收到你方以书面形式提出的在担保金额内的赔偿要求后，在7天内支付。</w:t>
      </w:r>
    </w:p>
    <w:p w14:paraId="5D9E5776">
      <w:pPr>
        <w:spacing w:line="440" w:lineRule="exact"/>
        <w:ind w:firstLine="560"/>
        <w:rPr>
          <w:rFonts w:cs="宋体"/>
          <w:color w:val="auto"/>
          <w:szCs w:val="21"/>
        </w:rPr>
      </w:pPr>
      <w:r>
        <w:rPr>
          <w:rFonts w:hint="eastAsia" w:cs="宋体"/>
          <w:color w:val="auto"/>
          <w:szCs w:val="21"/>
        </w:rPr>
        <w:t>4. 发包人和承包人按《通用合同条款》第9条变更合同时，我方承担本担保规定的义务不变。</w:t>
      </w:r>
    </w:p>
    <w:p w14:paraId="51FF6E79">
      <w:pPr>
        <w:pStyle w:val="87"/>
        <w:spacing w:line="400" w:lineRule="exact"/>
        <w:ind w:firstLine="361"/>
        <w:rPr>
          <w:rFonts w:hAnsi="宋体"/>
          <w:color w:val="auto"/>
        </w:rPr>
      </w:pPr>
    </w:p>
    <w:p w14:paraId="10C399A1">
      <w:pPr>
        <w:pStyle w:val="87"/>
        <w:spacing w:line="400" w:lineRule="exact"/>
        <w:ind w:firstLine="361"/>
        <w:rPr>
          <w:rFonts w:hAnsi="宋体"/>
          <w:color w:val="auto"/>
        </w:rPr>
      </w:pPr>
      <w:r>
        <w:rPr>
          <w:rFonts w:hint="eastAsia" w:hAnsi="宋体"/>
          <w:color w:val="auto"/>
        </w:rPr>
        <w:t>担保人：（盖单位公章）</w:t>
      </w:r>
    </w:p>
    <w:p w14:paraId="56101386">
      <w:pPr>
        <w:pStyle w:val="87"/>
        <w:spacing w:line="400" w:lineRule="exact"/>
        <w:ind w:firstLine="361"/>
        <w:rPr>
          <w:rFonts w:hAnsi="宋体"/>
          <w:color w:val="auto"/>
        </w:rPr>
      </w:pPr>
      <w:r>
        <w:rPr>
          <w:rFonts w:hint="eastAsia" w:hAnsi="宋体"/>
          <w:color w:val="auto"/>
        </w:rPr>
        <w:t>法定代表人或其委托代理人：（签字）</w:t>
      </w:r>
    </w:p>
    <w:p w14:paraId="48FC520E">
      <w:pPr>
        <w:pStyle w:val="87"/>
        <w:spacing w:line="400" w:lineRule="exact"/>
        <w:ind w:firstLine="361"/>
        <w:rPr>
          <w:rFonts w:hAnsi="宋体"/>
          <w:color w:val="auto"/>
        </w:rPr>
      </w:pPr>
      <w:r>
        <w:rPr>
          <w:rFonts w:hint="eastAsia" w:hAnsi="宋体"/>
          <w:color w:val="auto"/>
        </w:rPr>
        <w:t>地址：</w:t>
      </w:r>
    </w:p>
    <w:p w14:paraId="51036796">
      <w:pPr>
        <w:pStyle w:val="87"/>
        <w:spacing w:line="400" w:lineRule="exact"/>
        <w:ind w:firstLine="361"/>
        <w:rPr>
          <w:rFonts w:hAnsi="宋体"/>
          <w:color w:val="auto"/>
        </w:rPr>
      </w:pPr>
      <w:r>
        <w:rPr>
          <w:rFonts w:hint="eastAsia" w:hAnsi="宋体"/>
          <w:color w:val="auto"/>
        </w:rPr>
        <w:t>邮政编码：</w:t>
      </w:r>
    </w:p>
    <w:p w14:paraId="72636C7D">
      <w:pPr>
        <w:pStyle w:val="87"/>
        <w:spacing w:line="400" w:lineRule="exact"/>
        <w:ind w:firstLine="361"/>
        <w:rPr>
          <w:rFonts w:hAnsi="宋体"/>
          <w:color w:val="auto"/>
        </w:rPr>
      </w:pPr>
      <w:r>
        <w:rPr>
          <w:rFonts w:hint="eastAsia" w:hAnsi="宋体"/>
          <w:color w:val="auto"/>
        </w:rPr>
        <w:t>电话：</w:t>
      </w:r>
    </w:p>
    <w:p w14:paraId="309BF59C">
      <w:pPr>
        <w:pStyle w:val="87"/>
        <w:spacing w:line="400" w:lineRule="exact"/>
        <w:ind w:firstLine="361"/>
        <w:rPr>
          <w:rFonts w:hAnsi="宋体"/>
          <w:color w:val="auto"/>
        </w:rPr>
      </w:pPr>
      <w:r>
        <w:rPr>
          <w:rFonts w:hint="eastAsia" w:hAnsi="宋体"/>
          <w:color w:val="auto"/>
        </w:rPr>
        <w:t>传真：</w:t>
      </w:r>
    </w:p>
    <w:p w14:paraId="76F04D55">
      <w:pPr>
        <w:pStyle w:val="87"/>
        <w:spacing w:line="400" w:lineRule="exact"/>
        <w:ind w:firstLine="361"/>
        <w:rPr>
          <w:rFonts w:hAnsi="宋体"/>
          <w:color w:val="auto"/>
        </w:rPr>
      </w:pPr>
      <w:r>
        <w:rPr>
          <w:rFonts w:hint="eastAsia" w:hAnsi="宋体"/>
          <w:color w:val="auto"/>
        </w:rPr>
        <w:t>年     月     日</w:t>
      </w:r>
    </w:p>
    <w:p w14:paraId="49DEC12D">
      <w:pPr>
        <w:pStyle w:val="87"/>
        <w:spacing w:line="400" w:lineRule="exact"/>
        <w:ind w:firstLine="361"/>
        <w:rPr>
          <w:rFonts w:hAnsi="宋体"/>
          <w:color w:val="auto"/>
        </w:rPr>
      </w:pPr>
    </w:p>
    <w:p w14:paraId="13302081">
      <w:pPr>
        <w:pStyle w:val="87"/>
        <w:spacing w:line="400" w:lineRule="exact"/>
        <w:ind w:firstLine="361"/>
        <w:rPr>
          <w:rFonts w:hAnsi="宋体"/>
          <w:color w:val="auto"/>
        </w:rPr>
      </w:pPr>
      <w:r>
        <w:rPr>
          <w:rFonts w:hint="eastAsia" w:hAnsi="宋体"/>
          <w:color w:val="auto"/>
        </w:rPr>
        <w:t>注：委托代理人应附授权委托书。</w:t>
      </w:r>
    </w:p>
    <w:p w14:paraId="1612D039">
      <w:pPr>
        <w:pStyle w:val="87"/>
        <w:spacing w:line="400" w:lineRule="exact"/>
        <w:ind w:firstLine="361"/>
        <w:rPr>
          <w:rFonts w:hAnsi="宋体"/>
          <w:color w:val="auto"/>
        </w:rPr>
      </w:pPr>
    </w:p>
    <w:p w14:paraId="4031E606">
      <w:pPr>
        <w:pStyle w:val="87"/>
        <w:spacing w:line="400" w:lineRule="exact"/>
        <w:ind w:firstLine="361"/>
        <w:rPr>
          <w:rFonts w:hAnsi="宋体"/>
          <w:color w:val="auto"/>
        </w:rPr>
      </w:pPr>
    </w:p>
    <w:p w14:paraId="587FD637">
      <w:pPr>
        <w:pStyle w:val="87"/>
        <w:spacing w:line="400" w:lineRule="exact"/>
        <w:ind w:firstLine="361"/>
        <w:rPr>
          <w:rFonts w:hAnsi="宋体"/>
          <w:color w:val="auto"/>
        </w:rPr>
      </w:pPr>
    </w:p>
    <w:p w14:paraId="3798B36C">
      <w:pPr>
        <w:pStyle w:val="87"/>
        <w:spacing w:line="400" w:lineRule="exact"/>
        <w:ind w:firstLine="361"/>
        <w:rPr>
          <w:rFonts w:hAnsi="宋体"/>
          <w:color w:val="auto"/>
        </w:rPr>
      </w:pPr>
    </w:p>
    <w:p w14:paraId="66A4BFFF">
      <w:pPr>
        <w:spacing w:line="560" w:lineRule="exact"/>
        <w:ind w:firstLine="1040"/>
        <w:jc w:val="center"/>
        <w:rPr>
          <w:rFonts w:ascii="宋体" w:hAnsi="宋体"/>
          <w:color w:val="auto"/>
          <w:sz w:val="52"/>
          <w:szCs w:val="52"/>
        </w:rPr>
      </w:pPr>
    </w:p>
    <w:sectPr>
      <w:headerReference r:id="rId33" w:type="default"/>
      <w:footerReference r:id="rId34" w:type="default"/>
      <w:pgSz w:w="11906" w:h="16838"/>
      <w:pgMar w:top="1440" w:right="1542" w:bottom="1440" w:left="1542" w:header="851" w:footer="992" w:gutter="0"/>
      <w:pgNumType w:start="1"/>
      <w:cols w:space="720" w:num="1"/>
      <w:titlePg/>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6AA602A9-B1FA-4460-A70B-24FE0A893C1E}"/>
  </w:font>
  <w:font w:name="黑体">
    <w:panose1 w:val="02010609060101010101"/>
    <w:charset w:val="86"/>
    <w:family w:val="auto"/>
    <w:pitch w:val="default"/>
    <w:sig w:usb0="800002BF" w:usb1="38CF7CFA" w:usb2="00000016" w:usb3="00000000" w:csb0="00040001" w:csb1="00000000"/>
    <w:embedRegular r:id="rId2" w:fontKey="{8338507F-E4F4-4C66-9457-36B45FFF8D4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45A27D25-4499-4C48-9BD5-E56DD9188E21}"/>
  </w:font>
  <w:font w:name="等线">
    <w:panose1 w:val="02010600030101010101"/>
    <w:charset w:val="86"/>
    <w:family w:val="auto"/>
    <w:pitch w:val="default"/>
    <w:sig w:usb0="A00002BF" w:usb1="38CF7CFA" w:usb2="00000016" w:usb3="00000000" w:csb0="0004000F" w:csb1="00000000"/>
    <w:embedRegular r:id="rId4" w:fontKey="{54377231-E368-4B06-94B3-B3B61B059620}"/>
  </w:font>
  <w:font w:name="仿宋_GB2312">
    <w:panose1 w:val="02010609030101010101"/>
    <w:charset w:val="86"/>
    <w:family w:val="modern"/>
    <w:pitch w:val="default"/>
    <w:sig w:usb0="00000001" w:usb1="080E0000" w:usb2="00000000" w:usb3="00000000" w:csb0="00040000" w:csb1="00000000"/>
    <w:embedRegular r:id="rId5" w:fontKey="{AF625777-4F60-4BF1-B2C9-D002BA397D9C}"/>
  </w:font>
  <w:font w:name="Cambria">
    <w:panose1 w:val="02040503050406030204"/>
    <w:charset w:val="00"/>
    <w:family w:val="roman"/>
    <w:pitch w:val="default"/>
    <w:sig w:usb0="E00006FF" w:usb1="420024FF" w:usb2="02000000" w:usb3="00000000" w:csb0="2000019F" w:csb1="00000000"/>
    <w:embedRegular r:id="rId6" w:fontKey="{03193C29-7859-419A-A1E7-ED97822555F5}"/>
  </w:font>
  <w:font w:name="华文中宋">
    <w:panose1 w:val="02010600040101010101"/>
    <w:charset w:val="86"/>
    <w:family w:val="auto"/>
    <w:pitch w:val="default"/>
    <w:sig w:usb0="00000287" w:usb1="080F0000" w:usb2="00000000" w:usb3="00000000" w:csb0="0004009F" w:csb1="DFD70000"/>
  </w:font>
  <w:font w:name="Tahoma">
    <w:panose1 w:val="020B0604030504040204"/>
    <w:charset w:val="00"/>
    <w:family w:val="swiss"/>
    <w:pitch w:val="default"/>
    <w:sig w:usb0="E1002EFF" w:usb1="C000605B" w:usb2="00000029" w:usb3="00000000" w:csb0="200101FF" w:csb1="20280000"/>
  </w:font>
  <w:font w:name="Noto Sans Mono CJK JP Regular">
    <w:altName w:val="微软雅黑"/>
    <w:panose1 w:val="00000000000000000000"/>
    <w:charset w:val="00"/>
    <w:family w:val="roman"/>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小标宋简体">
    <w:panose1 w:val="02000000000000000000"/>
    <w:charset w:val="86"/>
    <w:family w:val="script"/>
    <w:pitch w:val="default"/>
    <w:sig w:usb0="00000001" w:usb1="08000000" w:usb2="00000000" w:usb3="00000000" w:csb0="00040000" w:csb1="00000000"/>
    <w:embedRegular r:id="rId7" w:fontKey="{83C969DA-1F00-496D-856F-C08EA77C097F}"/>
  </w:font>
  <w:font w:name="仿宋">
    <w:panose1 w:val="02010609060101010101"/>
    <w:charset w:val="86"/>
    <w:family w:val="modern"/>
    <w:pitch w:val="default"/>
    <w:sig w:usb0="800002BF" w:usb1="38CF7CFA" w:usb2="00000016" w:usb3="00000000" w:csb0="00040001" w:csb1="00000000"/>
    <w:embedRegular r:id="rId8" w:fontKey="{FA941BC8-2BF8-4B05-8992-DCDDE8AE4683}"/>
  </w:font>
  <w:font w:name="方正楷体简体">
    <w:altName w:val="宋体"/>
    <w:panose1 w:val="00000000000000000000"/>
    <w:charset w:val="86"/>
    <w:family w:val="auto"/>
    <w:pitch w:val="default"/>
    <w:sig w:usb0="00000000" w:usb1="00000000" w:usb2="00000010" w:usb3="00000000" w:csb0="00040000" w:csb1="00000000"/>
    <w:embedRegular r:id="rId9" w:fontKey="{441C0FAD-1ACF-4F1E-A4B5-FDDC5D3D198F}"/>
  </w:font>
  <w:font w:name="楷体_GB2312">
    <w:altName w:val="楷体"/>
    <w:panose1 w:val="00000000000000000000"/>
    <w:charset w:val="86"/>
    <w:family w:val="modern"/>
    <w:pitch w:val="default"/>
    <w:sig w:usb0="00000000" w:usb1="00000000" w:usb2="00000010" w:usb3="00000000" w:csb0="00040000" w:csb1="00000000"/>
    <w:embedRegular r:id="rId10" w:fontKey="{BB01E183-A97F-499D-B80A-9931E672B07E}"/>
  </w:font>
  <w:font w:name="楷体">
    <w:panose1 w:val="02010609060101010101"/>
    <w:charset w:val="86"/>
    <w:family w:val="auto"/>
    <w:pitch w:val="default"/>
    <w:sig w:usb0="800002BF" w:usb1="38CF7CFA" w:usb2="00000016" w:usb3="00000000" w:csb0="00040001" w:csb1="00000000"/>
  </w:font>
  <w:font w:name="Cambria Math">
    <w:panose1 w:val="02040503050406030204"/>
    <w:charset w:val="00"/>
    <w:family w:val="roman"/>
    <w:pitch w:val="default"/>
    <w:sig w:usb0="E00006FF" w:usb1="420024FF" w:usb2="02000000" w:usb3="00000000" w:csb0="2000019F" w:csb1="00000000"/>
    <w:embedRegular r:id="rId11" w:fontKey="{14A9ADDC-E927-492A-99F2-F53E131A339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5C8352">
    <w:pPr>
      <w:pStyle w:val="3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E34C5F">
    <w:pPr>
      <w:pStyle w:val="3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1D70DD">
    <w:pPr>
      <w:pStyle w:val="3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8DD484">
    <w:pPr>
      <w:ind w:firstLine="560"/>
      <w:jc w:val="center"/>
    </w:pPr>
    <w:r>
      <w:fldChar w:fldCharType="begin"/>
    </w:r>
    <w:r>
      <w:instrText xml:space="preserve"> PAGE   \* MERGEFORMAT </w:instrText>
    </w:r>
    <w:r>
      <w:fldChar w:fldCharType="separate"/>
    </w:r>
    <w:r>
      <w:t>2</w:t>
    </w:r>
    <w:r>
      <w:rPr>
        <w:lang w:val="zh-C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4AD383">
    <w:pPr>
      <w:ind w:firstLine="560"/>
      <w:jc w:val="center"/>
    </w:pPr>
    <w:r>
      <w:fldChar w:fldCharType="begin"/>
    </w:r>
    <w:r>
      <w:instrText xml:space="preserve"> PAGE   \* MERGEFORMAT </w:instrText>
    </w:r>
    <w:r>
      <w:fldChar w:fldCharType="separate"/>
    </w:r>
    <w:r>
      <w:t>8</w:t>
    </w:r>
    <w:r>
      <w:rPr>
        <w:lang w:val="zh-CN"/>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05983F">
    <w:pPr>
      <w:pStyle w:val="30"/>
      <w:ind w:left="420" w:firstLine="360"/>
      <w:jc w:val="center"/>
    </w:pPr>
    <w:r>
      <w:fldChar w:fldCharType="begin"/>
    </w:r>
    <w:r>
      <w:instrText xml:space="preserve">PAGE   \* MERGEFORMAT</w:instrText>
    </w:r>
    <w:r>
      <w:fldChar w:fldCharType="separate"/>
    </w:r>
    <w:r>
      <w:rPr>
        <w:lang w:val="zh-CN"/>
      </w:rPr>
      <w:t>55</w:t>
    </w:r>
    <w:r>
      <w:rPr>
        <w:lang w:val="zh-CN"/>
      </w:rPr>
      <w:fldChar w:fldCharType="end"/>
    </w:r>
  </w:p>
  <w:p w14:paraId="38CB1B92">
    <w:pPr>
      <w:ind w:firstLine="5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C28642">
    <w:pPr>
      <w:ind w:firstLine="560"/>
      <w:jc w:val="center"/>
    </w:pPr>
    <w:r>
      <w:fldChar w:fldCharType="begin"/>
    </w:r>
    <w:r>
      <w:instrText xml:space="preserve"> PAGE   \* MERGEFORMAT </w:instrText>
    </w:r>
    <w:r>
      <w:fldChar w:fldCharType="separate"/>
    </w:r>
    <w:r>
      <w:t>56</w:t>
    </w:r>
    <w:r>
      <w:rPr>
        <w:lang w:val="zh-CN"/>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D83BA7">
    <w:pPr>
      <w:pStyle w:val="30"/>
      <w:ind w:firstLine="360"/>
      <w:jc w:val="center"/>
    </w:pPr>
    <w:r>
      <w:fldChar w:fldCharType="begin"/>
    </w:r>
    <w:r>
      <w:instrText xml:space="preserve">PAGE   \* MERGEFORMAT</w:instrText>
    </w:r>
    <w:r>
      <w:fldChar w:fldCharType="separate"/>
    </w:r>
    <w:r>
      <w:rPr>
        <w:lang w:val="zh-CN"/>
      </w:rPr>
      <w:t>79</w:t>
    </w:r>
    <w:r>
      <w:rPr>
        <w:lang w:val="zh-CN"/>
      </w:rPr>
      <w:fldChar w:fldCharType="end"/>
    </w:r>
  </w:p>
  <w:p w14:paraId="3842E96C">
    <w:pPr>
      <w:pStyle w:val="30"/>
      <w:tabs>
        <w:tab w:val="clear" w:pos="4153"/>
        <w:tab w:val="clear" w:pos="8306"/>
      </w:tabs>
      <w:ind w:firstLine="360"/>
      <w:rPr>
        <w:rFonts w:ascii="宋体" w:hAnsi="宋体"/>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420ADF">
    <w:pPr>
      <w:ind w:firstLine="560"/>
      <w:jc w:val="center"/>
    </w:pPr>
    <w:r>
      <w:fldChar w:fldCharType="begin"/>
    </w:r>
    <w:r>
      <w:instrText xml:space="preserve"> PAGE   \* MERGEFORMAT </w:instrText>
    </w:r>
    <w:r>
      <w:fldChar w:fldCharType="separate"/>
    </w:r>
    <w:r>
      <w:t>80</w:t>
    </w:r>
    <w:r>
      <w:rPr>
        <w:lang w:val="zh-CN"/>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F19816">
    <w:pPr>
      <w:ind w:firstLine="560"/>
      <w:jc w:val="center"/>
    </w:pPr>
    <w:r>
      <w:fldChar w:fldCharType="begin"/>
    </w:r>
    <w:r>
      <w:instrText xml:space="preserve"> PAGE   \* MERGEFORMAT </w:instrText>
    </w:r>
    <w:r>
      <w:fldChar w:fldCharType="separate"/>
    </w:r>
    <w:r>
      <w:t>97</w:t>
    </w:r>
    <w:r>
      <w:rPr>
        <w:lang w:val="zh-CN"/>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9CCD25">
    <w:pPr>
      <w:ind w:firstLine="560"/>
      <w:jc w:val="center"/>
    </w:pPr>
    <w:r>
      <w:fldChar w:fldCharType="begin"/>
    </w:r>
    <w:r>
      <w:instrText xml:space="preserve"> PAGE   \* MERGEFORMAT </w:instrText>
    </w:r>
    <w:r>
      <w:fldChar w:fldCharType="separate"/>
    </w:r>
    <w:r>
      <w:t>117</w:t>
    </w:r>
    <w:r>
      <w:rPr>
        <w:lang w:val="zh-CN"/>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5E75B6">
    <w:pPr>
      <w:pStyle w:val="30"/>
      <w:ind w:firstLine="360"/>
      <w:jc w:val="center"/>
    </w:pPr>
    <w:r>
      <w:fldChar w:fldCharType="begin"/>
    </w:r>
    <w:r>
      <w:instrText xml:space="preserve">PAGE   \* MERGEFORMAT</w:instrText>
    </w:r>
    <w:r>
      <w:fldChar w:fldCharType="separate"/>
    </w:r>
    <w:r>
      <w:rPr>
        <w:lang w:val="zh-CN"/>
      </w:rPr>
      <w:t>57</w:t>
    </w:r>
    <w:r>
      <w:rPr>
        <w:lang w:val="zh-CN"/>
      </w:rPr>
      <w:fldChar w:fldCharType="end"/>
    </w:r>
  </w:p>
  <w:p w14:paraId="7B3FED85">
    <w:pPr>
      <w:pStyle w:val="18"/>
      <w:spacing w:line="14" w:lineRule="auto"/>
      <w:ind w:firstLine="400"/>
      <w:jc w:val="center"/>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560"/>
      </w:pPr>
      <w:r>
        <w:separator/>
      </w:r>
    </w:p>
  </w:footnote>
  <w:footnote w:type="continuationSeparator" w:id="1">
    <w:p>
      <w:pPr>
        <w:spacing w:line="36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34E68E">
    <w:pPr>
      <w:spacing w:after="120" w:afterLines="50"/>
      <w:ind w:firstLine="560"/>
      <w:jc w:val="left"/>
      <w:rPr>
        <w:rFonts w:ascii="方正小标宋简体" w:hAnsi="黑体" w:eastAsia="方正小标宋简体"/>
        <w:color w:val="80808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83BEE1">
    <w:pPr>
      <w:pStyle w:val="3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0340AB">
    <w:pPr>
      <w:pStyle w:val="31"/>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717F6A">
    <w:pPr>
      <w:pStyle w:val="31"/>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54D2BF">
    <w:pPr>
      <w:pStyle w:val="31"/>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680E8B">
    <w:pPr>
      <w:pStyle w:val="31"/>
      <w:ind w:firstLine="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DBCC58">
    <w:pPr>
      <w:pStyle w:val="31"/>
      <w:ind w:firstLine="360"/>
      <w:jc w:val="both"/>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74DA9">
    <w:pPr>
      <w:pStyle w:val="31"/>
      <w:pBdr>
        <w:bottom w:val="none" w:color="auto" w:sz="0" w:space="0"/>
      </w:pBdr>
      <w:ind w:firstLine="360"/>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C3878F">
    <w:pPr>
      <w:pStyle w:val="31"/>
      <w:ind w:firstLine="36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08B333">
    <w:pPr>
      <w:pStyle w:val="31"/>
      <w:ind w:firstLine="360"/>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A5B52F">
    <w:pPr>
      <w:ind w:firstLine="560"/>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ADAAB4">
    <w:pPr>
      <w:ind w:firstLine="560"/>
    </w:pPr>
    <w:r>
      <w:cr/>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620758">
    <w:pPr>
      <w:ind w:firstLine="560"/>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B2306B">
    <w:pPr>
      <w:pStyle w:val="31"/>
      <w:ind w:firstLine="360"/>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60BB80">
    <w:pPr>
      <w:pStyle w:val="31"/>
      <w:ind w:firstLine="36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E313C7">
    <w:pPr>
      <w:pStyle w:val="31"/>
      <w:ind w:firstLine="360"/>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135DA0">
    <w:pPr>
      <w:pStyle w:val="31"/>
      <w:ind w:firstLine="360"/>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85EB4D">
    <w:pPr>
      <w:ind w:firstLine="5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F09497D"/>
    <w:multiLevelType w:val="multilevel"/>
    <w:tmpl w:val="7F09497D"/>
    <w:lvl w:ilvl="0" w:tentative="0">
      <w:start w:val="1"/>
      <w:numFmt w:val="japaneseCounting"/>
      <w:lvlText w:val="第%1章"/>
      <w:lvlJc w:val="left"/>
      <w:pPr>
        <w:ind w:left="1440" w:hanging="1440"/>
      </w:pPr>
      <w:rPr>
        <w:rFonts w:hint="eastAsia" w:ascii="楷体_GB2312" w:hAnsi="宋体" w:eastAsia="楷体_GB2312"/>
        <w:b/>
        <w:sz w:val="4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5E9A"/>
    <w:rsid w:val="0004511F"/>
    <w:rsid w:val="000459BF"/>
    <w:rsid w:val="000918D2"/>
    <w:rsid w:val="00145CF7"/>
    <w:rsid w:val="00156E83"/>
    <w:rsid w:val="001C0489"/>
    <w:rsid w:val="001C0A47"/>
    <w:rsid w:val="001F5800"/>
    <w:rsid w:val="00205D19"/>
    <w:rsid w:val="0020616B"/>
    <w:rsid w:val="00234C09"/>
    <w:rsid w:val="00257B29"/>
    <w:rsid w:val="00270F2D"/>
    <w:rsid w:val="002919CA"/>
    <w:rsid w:val="002D0B32"/>
    <w:rsid w:val="00332EC3"/>
    <w:rsid w:val="00343461"/>
    <w:rsid w:val="00377C14"/>
    <w:rsid w:val="003E386E"/>
    <w:rsid w:val="003E531F"/>
    <w:rsid w:val="00413E2E"/>
    <w:rsid w:val="00430ED6"/>
    <w:rsid w:val="00435E9A"/>
    <w:rsid w:val="00440E18"/>
    <w:rsid w:val="00466A63"/>
    <w:rsid w:val="004859E2"/>
    <w:rsid w:val="004C5E0B"/>
    <w:rsid w:val="00501461"/>
    <w:rsid w:val="0054176D"/>
    <w:rsid w:val="005468B1"/>
    <w:rsid w:val="00565487"/>
    <w:rsid w:val="006A5423"/>
    <w:rsid w:val="006A5B69"/>
    <w:rsid w:val="006A62CA"/>
    <w:rsid w:val="006F42DE"/>
    <w:rsid w:val="00700139"/>
    <w:rsid w:val="007161AE"/>
    <w:rsid w:val="0079488C"/>
    <w:rsid w:val="008A2D61"/>
    <w:rsid w:val="008D53E5"/>
    <w:rsid w:val="00907500"/>
    <w:rsid w:val="009434C0"/>
    <w:rsid w:val="009B4A3B"/>
    <w:rsid w:val="009C4BDA"/>
    <w:rsid w:val="009E5834"/>
    <w:rsid w:val="00A2596A"/>
    <w:rsid w:val="00A54C40"/>
    <w:rsid w:val="00AC07C6"/>
    <w:rsid w:val="00AF4EC9"/>
    <w:rsid w:val="00B1300B"/>
    <w:rsid w:val="00B33E51"/>
    <w:rsid w:val="00B35B7C"/>
    <w:rsid w:val="00B57B93"/>
    <w:rsid w:val="00BA41A0"/>
    <w:rsid w:val="00BA4BB6"/>
    <w:rsid w:val="00BA6B9B"/>
    <w:rsid w:val="00BB4304"/>
    <w:rsid w:val="00BC795D"/>
    <w:rsid w:val="00BD1818"/>
    <w:rsid w:val="00C01C81"/>
    <w:rsid w:val="00C13E63"/>
    <w:rsid w:val="00C42288"/>
    <w:rsid w:val="00C64B50"/>
    <w:rsid w:val="00C75BA5"/>
    <w:rsid w:val="00C833CF"/>
    <w:rsid w:val="00C91B6E"/>
    <w:rsid w:val="00D17B81"/>
    <w:rsid w:val="00D22A07"/>
    <w:rsid w:val="00D23C43"/>
    <w:rsid w:val="00D9425B"/>
    <w:rsid w:val="00DA42D7"/>
    <w:rsid w:val="00E54246"/>
    <w:rsid w:val="00EC1347"/>
    <w:rsid w:val="00EF6FF0"/>
    <w:rsid w:val="00F12A6F"/>
    <w:rsid w:val="00F30AAA"/>
    <w:rsid w:val="00F824AE"/>
    <w:rsid w:val="00FB48B0"/>
    <w:rsid w:val="00FE5407"/>
    <w:rsid w:val="00FF2BAC"/>
    <w:rsid w:val="01286562"/>
    <w:rsid w:val="05CF4CF2"/>
    <w:rsid w:val="114C002A"/>
    <w:rsid w:val="11910AAD"/>
    <w:rsid w:val="19FB2A6A"/>
    <w:rsid w:val="1B1F37C2"/>
    <w:rsid w:val="25985329"/>
    <w:rsid w:val="2F181667"/>
    <w:rsid w:val="451E2552"/>
    <w:rsid w:val="47A31FA4"/>
    <w:rsid w:val="4AB260FD"/>
    <w:rsid w:val="50854860"/>
    <w:rsid w:val="51137845"/>
    <w:rsid w:val="607E3EE2"/>
    <w:rsid w:val="635A29DB"/>
    <w:rsid w:val="66623025"/>
    <w:rsid w:val="6B1C2AE7"/>
    <w:rsid w:val="6C402C5B"/>
    <w:rsid w:val="6E3808C3"/>
    <w:rsid w:val="70DC1E23"/>
    <w:rsid w:val="7A0E5964"/>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等线" w:hAnsi="等线" w:eastAsia="等线"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99" w:name="index 2"/>
    <w:lsdException w:uiPriority="99" w:name="index 3"/>
    <w:lsdException w:qFormat="1" w:unhideWhenUsed="0"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qFormat="1" w:unhideWhenUsed="0" w:uiPriority="0" w:semiHidden="0" w:name="toa heading"/>
    <w:lsdException w:uiPriority="99" w:name="List"/>
    <w:lsdException w:qFormat="1" w:unhideWhenUsed="0" w:uiPriority="0" w:semiHidden="0"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0" w:semiHidden="0" w:name="Body Text First Indent 2"/>
    <w:lsdException w:uiPriority="99" w:name="Note Heading"/>
    <w:lsdException w:qFormat="1" w:unhideWhenUsed="0" w:uiPriority="0" w:semiHidden="0" w:name="Body Text 2"/>
    <w:lsdException w:uiPriority="99"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仿宋_GB2312" w:cs="Times New Roman"/>
      <w:kern w:val="2"/>
      <w:sz w:val="28"/>
      <w:szCs w:val="22"/>
      <w:lang w:val="en-US" w:eastAsia="zh-CN" w:bidi="ar-SA"/>
    </w:rPr>
  </w:style>
  <w:style w:type="paragraph" w:styleId="2">
    <w:name w:val="heading 1"/>
    <w:basedOn w:val="1"/>
    <w:next w:val="1"/>
    <w:link w:val="54"/>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55"/>
    <w:qFormat/>
    <w:uiPriority w:val="0"/>
    <w:pPr>
      <w:keepNext/>
      <w:keepLines/>
      <w:spacing w:before="260" w:after="260" w:line="416" w:lineRule="auto"/>
      <w:outlineLvl w:val="1"/>
    </w:pPr>
    <w:rPr>
      <w:rFonts w:ascii="Cambria" w:hAnsi="Cambria"/>
      <w:b/>
      <w:bCs/>
      <w:kern w:val="0"/>
      <w:szCs w:val="28"/>
    </w:rPr>
  </w:style>
  <w:style w:type="paragraph" w:styleId="4">
    <w:name w:val="heading 3"/>
    <w:basedOn w:val="1"/>
    <w:next w:val="1"/>
    <w:link w:val="56"/>
    <w:qFormat/>
    <w:uiPriority w:val="0"/>
    <w:pPr>
      <w:keepNext/>
      <w:keepLines/>
      <w:spacing w:before="260" w:after="260" w:line="416" w:lineRule="auto"/>
      <w:outlineLvl w:val="2"/>
    </w:pPr>
    <w:rPr>
      <w:b/>
      <w:bCs/>
      <w:kern w:val="0"/>
      <w:sz w:val="32"/>
      <w:szCs w:val="32"/>
    </w:rPr>
  </w:style>
  <w:style w:type="paragraph" w:styleId="5">
    <w:name w:val="heading 4"/>
    <w:basedOn w:val="1"/>
    <w:next w:val="1"/>
    <w:link w:val="57"/>
    <w:qFormat/>
    <w:uiPriority w:val="0"/>
    <w:pPr>
      <w:keepNext/>
      <w:keepLines/>
      <w:spacing w:before="280" w:after="290" w:line="376" w:lineRule="auto"/>
      <w:outlineLvl w:val="3"/>
    </w:pPr>
    <w:rPr>
      <w:rFonts w:ascii="Cambria" w:hAnsi="Cambria"/>
      <w:b/>
      <w:bCs/>
      <w:kern w:val="0"/>
      <w:szCs w:val="28"/>
    </w:rPr>
  </w:style>
  <w:style w:type="paragraph" w:styleId="6">
    <w:name w:val="heading 5"/>
    <w:basedOn w:val="1"/>
    <w:next w:val="1"/>
    <w:link w:val="58"/>
    <w:qFormat/>
    <w:uiPriority w:val="0"/>
    <w:pPr>
      <w:keepNext/>
      <w:keepLines/>
      <w:widowControl/>
      <w:tabs>
        <w:tab w:val="left" w:pos="1008"/>
      </w:tabs>
      <w:spacing w:before="280" w:after="290" w:line="376" w:lineRule="auto"/>
      <w:ind w:left="1008" w:hanging="1008"/>
      <w:jc w:val="left"/>
      <w:outlineLvl w:val="4"/>
    </w:pPr>
    <w:rPr>
      <w:b/>
      <w:bCs/>
      <w:kern w:val="0"/>
      <w:szCs w:val="28"/>
    </w:rPr>
  </w:style>
  <w:style w:type="paragraph" w:styleId="7">
    <w:name w:val="heading 6"/>
    <w:basedOn w:val="1"/>
    <w:next w:val="1"/>
    <w:link w:val="59"/>
    <w:qFormat/>
    <w:uiPriority w:val="0"/>
    <w:pPr>
      <w:keepNext/>
      <w:keepLines/>
      <w:widowControl/>
      <w:tabs>
        <w:tab w:val="left" w:pos="1152"/>
      </w:tabs>
      <w:spacing w:before="240" w:after="64" w:line="320" w:lineRule="auto"/>
      <w:ind w:left="1152" w:hanging="1152"/>
      <w:jc w:val="left"/>
      <w:outlineLvl w:val="5"/>
    </w:pPr>
    <w:rPr>
      <w:rFonts w:ascii="Arial" w:hAnsi="Arial" w:eastAsia="黑体"/>
      <w:b/>
      <w:bCs/>
      <w:kern w:val="0"/>
      <w:sz w:val="24"/>
      <w:szCs w:val="24"/>
    </w:rPr>
  </w:style>
  <w:style w:type="paragraph" w:styleId="8">
    <w:name w:val="heading 7"/>
    <w:basedOn w:val="1"/>
    <w:next w:val="1"/>
    <w:link w:val="60"/>
    <w:qFormat/>
    <w:uiPriority w:val="0"/>
    <w:pPr>
      <w:keepNext/>
      <w:keepLines/>
      <w:widowControl/>
      <w:tabs>
        <w:tab w:val="left" w:pos="1296"/>
      </w:tabs>
      <w:spacing w:before="240" w:after="64" w:line="320" w:lineRule="auto"/>
      <w:ind w:left="1296" w:hanging="1296"/>
      <w:jc w:val="left"/>
      <w:outlineLvl w:val="6"/>
    </w:pPr>
    <w:rPr>
      <w:b/>
      <w:bCs/>
      <w:kern w:val="0"/>
      <w:sz w:val="24"/>
      <w:szCs w:val="24"/>
    </w:rPr>
  </w:style>
  <w:style w:type="paragraph" w:styleId="9">
    <w:name w:val="heading 8"/>
    <w:basedOn w:val="1"/>
    <w:next w:val="1"/>
    <w:link w:val="61"/>
    <w:qFormat/>
    <w:uiPriority w:val="0"/>
    <w:pPr>
      <w:keepNext/>
      <w:keepLines/>
      <w:widowControl/>
      <w:tabs>
        <w:tab w:val="left" w:pos="1440"/>
      </w:tabs>
      <w:spacing w:before="240" w:after="64" w:line="320" w:lineRule="auto"/>
      <w:ind w:left="1440" w:hanging="1440"/>
      <w:jc w:val="left"/>
      <w:outlineLvl w:val="7"/>
    </w:pPr>
    <w:rPr>
      <w:rFonts w:ascii="Arial" w:hAnsi="Arial" w:eastAsia="黑体"/>
      <w:kern w:val="0"/>
      <w:sz w:val="24"/>
      <w:szCs w:val="24"/>
    </w:rPr>
  </w:style>
  <w:style w:type="paragraph" w:styleId="10">
    <w:name w:val="heading 9"/>
    <w:basedOn w:val="1"/>
    <w:next w:val="1"/>
    <w:link w:val="62"/>
    <w:qFormat/>
    <w:uiPriority w:val="0"/>
    <w:pPr>
      <w:keepNext/>
      <w:keepLines/>
      <w:widowControl/>
      <w:tabs>
        <w:tab w:val="left" w:pos="1584"/>
      </w:tabs>
      <w:spacing w:before="240" w:after="64" w:line="320" w:lineRule="auto"/>
      <w:ind w:left="1584" w:hanging="1584"/>
      <w:jc w:val="left"/>
      <w:outlineLvl w:val="8"/>
    </w:pPr>
    <w:rPr>
      <w:rFonts w:ascii="Arial" w:hAnsi="Arial" w:eastAsia="黑体"/>
      <w:kern w:val="0"/>
      <w:sz w:val="20"/>
      <w:szCs w:val="20"/>
    </w:rPr>
  </w:style>
  <w:style w:type="character" w:default="1" w:styleId="47">
    <w:name w:val="Default Paragraph Font"/>
    <w:semiHidden/>
    <w:unhideWhenUsed/>
    <w:qFormat/>
    <w:uiPriority w:val="1"/>
  </w:style>
  <w:style w:type="table" w:default="1" w:styleId="45">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0"/>
    <w:pPr>
      <w:spacing w:line="240" w:lineRule="auto"/>
      <w:ind w:left="2520" w:leftChars="1200" w:firstLine="0" w:firstLineChars="0"/>
    </w:pPr>
    <w:rPr>
      <w:rFonts w:ascii="Calibri" w:hAnsi="Calibri" w:eastAsia="宋体"/>
      <w:sz w:val="21"/>
    </w:rPr>
  </w:style>
  <w:style w:type="paragraph" w:styleId="12">
    <w:name w:val="Normal Indent"/>
    <w:basedOn w:val="1"/>
    <w:link w:val="63"/>
    <w:qFormat/>
    <w:uiPriority w:val="0"/>
    <w:pPr>
      <w:ind w:firstLine="420"/>
    </w:pPr>
    <w:rPr>
      <w:szCs w:val="21"/>
    </w:rPr>
  </w:style>
  <w:style w:type="paragraph" w:styleId="13">
    <w:name w:val="caption"/>
    <w:basedOn w:val="1"/>
    <w:next w:val="1"/>
    <w:qFormat/>
    <w:uiPriority w:val="0"/>
    <w:pPr>
      <w:spacing w:line="480" w:lineRule="auto"/>
      <w:ind w:firstLine="0" w:firstLineChars="0"/>
    </w:pPr>
    <w:rPr>
      <w:rFonts w:ascii="华文中宋" w:hAnsi="华文中宋" w:eastAsia="华文中宋"/>
      <w:sz w:val="36"/>
      <w:szCs w:val="20"/>
    </w:rPr>
  </w:style>
  <w:style w:type="paragraph" w:styleId="14">
    <w:name w:val="List Bullet"/>
    <w:basedOn w:val="1"/>
    <w:qFormat/>
    <w:uiPriority w:val="0"/>
    <w:pPr>
      <w:tabs>
        <w:tab w:val="left" w:pos="360"/>
      </w:tabs>
      <w:ind w:left="360" w:hanging="200" w:hangingChars="200"/>
    </w:pPr>
    <w:rPr>
      <w:szCs w:val="21"/>
    </w:rPr>
  </w:style>
  <w:style w:type="paragraph" w:styleId="15">
    <w:name w:val="Document Map"/>
    <w:basedOn w:val="1"/>
    <w:link w:val="64"/>
    <w:qFormat/>
    <w:uiPriority w:val="0"/>
    <w:rPr>
      <w:rFonts w:ascii="宋体"/>
      <w:sz w:val="18"/>
      <w:szCs w:val="18"/>
    </w:rPr>
  </w:style>
  <w:style w:type="paragraph" w:styleId="16">
    <w:name w:val="toa heading"/>
    <w:basedOn w:val="1"/>
    <w:next w:val="1"/>
    <w:qFormat/>
    <w:uiPriority w:val="0"/>
    <w:pPr>
      <w:spacing w:before="120" w:line="240" w:lineRule="auto"/>
    </w:pPr>
    <w:rPr>
      <w:rFonts w:ascii="Arial" w:hAnsi="Arial" w:eastAsia="宋体" w:cs="Arial"/>
      <w:sz w:val="24"/>
      <w:szCs w:val="24"/>
    </w:rPr>
  </w:style>
  <w:style w:type="paragraph" w:styleId="17">
    <w:name w:val="annotation text"/>
    <w:basedOn w:val="1"/>
    <w:link w:val="65"/>
    <w:qFormat/>
    <w:uiPriority w:val="0"/>
    <w:pPr>
      <w:jc w:val="left"/>
    </w:pPr>
    <w:rPr>
      <w:kern w:val="0"/>
      <w:szCs w:val="28"/>
    </w:rPr>
  </w:style>
  <w:style w:type="paragraph" w:styleId="18">
    <w:name w:val="Body Text"/>
    <w:basedOn w:val="1"/>
    <w:link w:val="66"/>
    <w:qFormat/>
    <w:uiPriority w:val="0"/>
    <w:pPr>
      <w:spacing w:line="420" w:lineRule="auto"/>
    </w:pPr>
    <w:rPr>
      <w:kern w:val="0"/>
      <w:sz w:val="24"/>
      <w:szCs w:val="24"/>
    </w:rPr>
  </w:style>
  <w:style w:type="paragraph" w:styleId="19">
    <w:name w:val="Body Text Indent"/>
    <w:basedOn w:val="1"/>
    <w:next w:val="20"/>
    <w:link w:val="67"/>
    <w:qFormat/>
    <w:uiPriority w:val="0"/>
    <w:pPr>
      <w:ind w:firstLine="600"/>
    </w:pPr>
    <w:rPr>
      <w:kern w:val="0"/>
      <w:sz w:val="20"/>
      <w:szCs w:val="20"/>
    </w:rPr>
  </w:style>
  <w:style w:type="paragraph" w:styleId="20">
    <w:name w:val="Body Text First Indent 2"/>
    <w:basedOn w:val="19"/>
    <w:link w:val="132"/>
    <w:qFormat/>
    <w:uiPriority w:val="0"/>
    <w:pPr>
      <w:spacing w:after="120" w:line="240" w:lineRule="auto"/>
      <w:ind w:left="200" w:leftChars="200" w:firstLine="420" w:firstLineChars="0"/>
    </w:pPr>
    <w:rPr>
      <w:rFonts w:hint="eastAsia" w:ascii="Calibri" w:hAnsi="Calibri" w:eastAsia="宋体"/>
      <w:kern w:val="2"/>
      <w:sz w:val="21"/>
      <w:szCs w:val="24"/>
    </w:rPr>
  </w:style>
  <w:style w:type="paragraph" w:styleId="21">
    <w:name w:val="Block Text"/>
    <w:basedOn w:val="1"/>
    <w:qFormat/>
    <w:uiPriority w:val="0"/>
    <w:pPr>
      <w:adjustRightInd w:val="0"/>
      <w:spacing w:line="240" w:lineRule="auto"/>
      <w:ind w:left="420" w:right="33" w:firstLine="0" w:firstLineChars="0"/>
      <w:jc w:val="left"/>
      <w:textAlignment w:val="baseline"/>
    </w:pPr>
    <w:rPr>
      <w:rFonts w:eastAsia="宋体"/>
      <w:kern w:val="0"/>
      <w:sz w:val="24"/>
      <w:szCs w:val="20"/>
    </w:rPr>
  </w:style>
  <w:style w:type="paragraph" w:styleId="22">
    <w:name w:val="index 4"/>
    <w:basedOn w:val="1"/>
    <w:next w:val="1"/>
    <w:qFormat/>
    <w:uiPriority w:val="0"/>
    <w:pPr>
      <w:spacing w:line="240" w:lineRule="auto"/>
      <w:ind w:left="600" w:leftChars="600" w:firstLine="0" w:firstLineChars="0"/>
    </w:pPr>
    <w:rPr>
      <w:rFonts w:eastAsia="宋体"/>
      <w:sz w:val="21"/>
      <w:szCs w:val="24"/>
    </w:rPr>
  </w:style>
  <w:style w:type="paragraph" w:styleId="23">
    <w:name w:val="toc 5"/>
    <w:basedOn w:val="1"/>
    <w:next w:val="1"/>
    <w:qFormat/>
    <w:uiPriority w:val="0"/>
    <w:pPr>
      <w:tabs>
        <w:tab w:val="right" w:leader="dot" w:pos="8296"/>
      </w:tabs>
      <w:spacing w:line="240" w:lineRule="auto"/>
      <w:ind w:left="1050" w:leftChars="500" w:firstLine="0" w:firstLineChars="0"/>
    </w:pPr>
    <w:rPr>
      <w:rFonts w:ascii="Calibri" w:hAnsi="Calibri" w:eastAsia="宋体"/>
      <w:sz w:val="21"/>
    </w:rPr>
  </w:style>
  <w:style w:type="paragraph" w:styleId="24">
    <w:name w:val="toc 3"/>
    <w:basedOn w:val="1"/>
    <w:next w:val="1"/>
    <w:qFormat/>
    <w:uiPriority w:val="39"/>
    <w:pPr>
      <w:ind w:left="840" w:leftChars="400"/>
    </w:pPr>
    <w:rPr>
      <w:szCs w:val="21"/>
    </w:rPr>
  </w:style>
  <w:style w:type="paragraph" w:styleId="25">
    <w:name w:val="Plain Text"/>
    <w:basedOn w:val="1"/>
    <w:link w:val="68"/>
    <w:qFormat/>
    <w:uiPriority w:val="0"/>
    <w:rPr>
      <w:rFonts w:ascii="宋体" w:hAnsi="Courier New"/>
      <w:kern w:val="0"/>
      <w:szCs w:val="21"/>
    </w:rPr>
  </w:style>
  <w:style w:type="paragraph" w:styleId="26">
    <w:name w:val="toc 8"/>
    <w:basedOn w:val="1"/>
    <w:next w:val="1"/>
    <w:qFormat/>
    <w:uiPriority w:val="0"/>
    <w:pPr>
      <w:spacing w:line="240" w:lineRule="auto"/>
      <w:ind w:left="2940" w:leftChars="1400" w:firstLine="0" w:firstLineChars="0"/>
    </w:pPr>
    <w:rPr>
      <w:rFonts w:ascii="Calibri" w:hAnsi="Calibri" w:eastAsia="宋体"/>
      <w:sz w:val="21"/>
    </w:rPr>
  </w:style>
  <w:style w:type="paragraph" w:styleId="27">
    <w:name w:val="Date"/>
    <w:basedOn w:val="1"/>
    <w:next w:val="1"/>
    <w:link w:val="133"/>
    <w:qFormat/>
    <w:uiPriority w:val="0"/>
    <w:pPr>
      <w:spacing w:line="240" w:lineRule="auto"/>
      <w:ind w:left="100" w:leftChars="2500" w:firstLine="0" w:firstLineChars="0"/>
    </w:pPr>
    <w:rPr>
      <w:rFonts w:eastAsia="宋体"/>
      <w:sz w:val="21"/>
      <w:szCs w:val="24"/>
    </w:rPr>
  </w:style>
  <w:style w:type="paragraph" w:styleId="28">
    <w:name w:val="Body Text Indent 2"/>
    <w:basedOn w:val="1"/>
    <w:link w:val="134"/>
    <w:qFormat/>
    <w:uiPriority w:val="0"/>
    <w:pPr>
      <w:widowControl/>
      <w:spacing w:after="120" w:line="480" w:lineRule="auto"/>
      <w:ind w:left="420" w:leftChars="200" w:firstLine="0" w:firstLineChars="0"/>
      <w:jc w:val="left"/>
    </w:pPr>
    <w:rPr>
      <w:rFonts w:eastAsia="宋体"/>
      <w:kern w:val="0"/>
      <w:sz w:val="20"/>
      <w:szCs w:val="20"/>
    </w:rPr>
  </w:style>
  <w:style w:type="paragraph" w:styleId="29">
    <w:name w:val="Balloon Text"/>
    <w:basedOn w:val="1"/>
    <w:link w:val="69"/>
    <w:qFormat/>
    <w:uiPriority w:val="0"/>
    <w:rPr>
      <w:kern w:val="0"/>
      <w:sz w:val="18"/>
      <w:szCs w:val="18"/>
    </w:rPr>
  </w:style>
  <w:style w:type="paragraph" w:styleId="30">
    <w:name w:val="footer"/>
    <w:basedOn w:val="1"/>
    <w:link w:val="70"/>
    <w:qFormat/>
    <w:uiPriority w:val="0"/>
    <w:pPr>
      <w:tabs>
        <w:tab w:val="center" w:pos="4153"/>
        <w:tab w:val="right" w:pos="8306"/>
      </w:tabs>
      <w:snapToGrid w:val="0"/>
      <w:jc w:val="left"/>
    </w:pPr>
    <w:rPr>
      <w:kern w:val="0"/>
      <w:sz w:val="18"/>
      <w:szCs w:val="18"/>
    </w:rPr>
  </w:style>
  <w:style w:type="paragraph" w:styleId="31">
    <w:name w:val="header"/>
    <w:basedOn w:val="1"/>
    <w:link w:val="71"/>
    <w:qFormat/>
    <w:uiPriority w:val="0"/>
    <w:pPr>
      <w:pBdr>
        <w:bottom w:val="single" w:color="auto" w:sz="6" w:space="1"/>
      </w:pBdr>
      <w:tabs>
        <w:tab w:val="center" w:pos="4153"/>
        <w:tab w:val="right" w:pos="8306"/>
      </w:tabs>
      <w:snapToGrid w:val="0"/>
      <w:jc w:val="center"/>
    </w:pPr>
    <w:rPr>
      <w:kern w:val="0"/>
      <w:sz w:val="18"/>
      <w:szCs w:val="18"/>
    </w:rPr>
  </w:style>
  <w:style w:type="paragraph" w:styleId="32">
    <w:name w:val="toc 1"/>
    <w:basedOn w:val="1"/>
    <w:next w:val="1"/>
    <w:qFormat/>
    <w:uiPriority w:val="39"/>
    <w:rPr>
      <w:szCs w:val="21"/>
    </w:rPr>
  </w:style>
  <w:style w:type="paragraph" w:styleId="33">
    <w:name w:val="toc 4"/>
    <w:basedOn w:val="1"/>
    <w:next w:val="1"/>
    <w:qFormat/>
    <w:uiPriority w:val="0"/>
    <w:pPr>
      <w:widowControl/>
      <w:spacing w:line="240" w:lineRule="auto"/>
      <w:ind w:firstLine="499" w:firstLineChars="207"/>
      <w:jc w:val="left"/>
    </w:pPr>
    <w:rPr>
      <w:rFonts w:ascii="宋体" w:hAnsi="宋体" w:eastAsia="宋体"/>
      <w:b/>
      <w:bCs/>
      <w:color w:val="000000"/>
      <w:kern w:val="0"/>
      <w:sz w:val="24"/>
      <w:szCs w:val="21"/>
    </w:rPr>
  </w:style>
  <w:style w:type="paragraph" w:styleId="34">
    <w:name w:val="Subtitle"/>
    <w:basedOn w:val="1"/>
    <w:next w:val="1"/>
    <w:link w:val="135"/>
    <w:qFormat/>
    <w:uiPriority w:val="0"/>
    <w:pPr>
      <w:spacing w:before="240" w:after="60" w:line="312" w:lineRule="auto"/>
      <w:ind w:firstLine="0" w:firstLineChars="0"/>
      <w:jc w:val="center"/>
      <w:outlineLvl w:val="1"/>
    </w:pPr>
    <w:rPr>
      <w:rFonts w:ascii="Cambria" w:hAnsi="Cambria" w:eastAsia="宋体"/>
      <w:b/>
      <w:bCs/>
      <w:kern w:val="28"/>
      <w:sz w:val="32"/>
      <w:szCs w:val="32"/>
    </w:rPr>
  </w:style>
  <w:style w:type="paragraph" w:styleId="35">
    <w:name w:val="toc 6"/>
    <w:basedOn w:val="1"/>
    <w:next w:val="1"/>
    <w:qFormat/>
    <w:uiPriority w:val="0"/>
    <w:pPr>
      <w:spacing w:line="240" w:lineRule="auto"/>
      <w:ind w:left="2100" w:leftChars="1000" w:firstLine="0" w:firstLineChars="0"/>
    </w:pPr>
    <w:rPr>
      <w:rFonts w:ascii="Calibri" w:hAnsi="Calibri" w:eastAsia="宋体"/>
      <w:sz w:val="21"/>
    </w:rPr>
  </w:style>
  <w:style w:type="paragraph" w:styleId="36">
    <w:name w:val="Body Text Indent 3"/>
    <w:basedOn w:val="1"/>
    <w:link w:val="72"/>
    <w:qFormat/>
    <w:uiPriority w:val="0"/>
    <w:pPr>
      <w:spacing w:after="120"/>
      <w:ind w:left="420" w:leftChars="200"/>
    </w:pPr>
    <w:rPr>
      <w:kern w:val="0"/>
      <w:sz w:val="16"/>
      <w:szCs w:val="16"/>
    </w:rPr>
  </w:style>
  <w:style w:type="paragraph" w:styleId="37">
    <w:name w:val="toc 2"/>
    <w:basedOn w:val="1"/>
    <w:next w:val="1"/>
    <w:qFormat/>
    <w:uiPriority w:val="39"/>
    <w:pPr>
      <w:tabs>
        <w:tab w:val="right" w:leader="dot" w:pos="8947"/>
      </w:tabs>
      <w:spacing w:line="240" w:lineRule="auto"/>
      <w:ind w:left="420" w:leftChars="200" w:firstLine="0" w:firstLineChars="0"/>
    </w:pPr>
    <w:rPr>
      <w:rFonts w:ascii="黑体" w:hAnsi="黑体" w:eastAsia="宋体"/>
      <w:sz w:val="21"/>
      <w:szCs w:val="24"/>
      <w:shd w:val="pct10" w:color="auto" w:fill="FFFFFF"/>
    </w:rPr>
  </w:style>
  <w:style w:type="paragraph" w:styleId="38">
    <w:name w:val="toc 9"/>
    <w:basedOn w:val="1"/>
    <w:next w:val="1"/>
    <w:qFormat/>
    <w:uiPriority w:val="0"/>
    <w:pPr>
      <w:spacing w:line="240" w:lineRule="auto"/>
      <w:ind w:left="3360" w:leftChars="1600" w:firstLine="0" w:firstLineChars="0"/>
    </w:pPr>
    <w:rPr>
      <w:rFonts w:ascii="Calibri" w:hAnsi="Calibri" w:eastAsia="宋体"/>
      <w:sz w:val="21"/>
    </w:rPr>
  </w:style>
  <w:style w:type="paragraph" w:styleId="39">
    <w:name w:val="Body Text 2"/>
    <w:basedOn w:val="1"/>
    <w:link w:val="73"/>
    <w:qFormat/>
    <w:uiPriority w:val="0"/>
    <w:pPr>
      <w:spacing w:after="120" w:line="480" w:lineRule="auto"/>
    </w:pPr>
    <w:rPr>
      <w:kern w:val="0"/>
      <w:sz w:val="24"/>
      <w:szCs w:val="24"/>
    </w:rPr>
  </w:style>
  <w:style w:type="paragraph" w:styleId="40">
    <w:name w:val="HTML Preformatted"/>
    <w:basedOn w:val="1"/>
    <w:link w:val="136"/>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firstLineChars="0"/>
      <w:jc w:val="left"/>
    </w:pPr>
    <w:rPr>
      <w:rFonts w:ascii="宋体" w:hAnsi="宋体" w:eastAsia="宋体" w:cs="宋体"/>
      <w:kern w:val="0"/>
      <w:sz w:val="24"/>
      <w:szCs w:val="24"/>
    </w:rPr>
  </w:style>
  <w:style w:type="paragraph" w:styleId="41">
    <w:name w:val="Normal (Web)"/>
    <w:basedOn w:val="1"/>
    <w:qFormat/>
    <w:uiPriority w:val="0"/>
    <w:rPr>
      <w:sz w:val="24"/>
      <w:szCs w:val="24"/>
    </w:rPr>
  </w:style>
  <w:style w:type="paragraph" w:styleId="42">
    <w:name w:val="index 1"/>
    <w:basedOn w:val="1"/>
    <w:next w:val="1"/>
    <w:qFormat/>
    <w:uiPriority w:val="0"/>
    <w:pPr>
      <w:spacing w:line="240" w:lineRule="auto"/>
      <w:ind w:firstLine="0" w:firstLineChars="0"/>
    </w:pPr>
    <w:rPr>
      <w:rFonts w:eastAsia="宋体"/>
      <w:sz w:val="21"/>
      <w:szCs w:val="24"/>
    </w:rPr>
  </w:style>
  <w:style w:type="paragraph" w:styleId="43">
    <w:name w:val="Title"/>
    <w:basedOn w:val="1"/>
    <w:next w:val="1"/>
    <w:link w:val="74"/>
    <w:qFormat/>
    <w:uiPriority w:val="0"/>
    <w:pPr>
      <w:spacing w:before="240" w:after="60"/>
      <w:jc w:val="center"/>
      <w:outlineLvl w:val="0"/>
    </w:pPr>
    <w:rPr>
      <w:rFonts w:ascii="Cambria" w:hAnsi="Cambria"/>
      <w:b/>
      <w:bCs/>
      <w:kern w:val="0"/>
      <w:sz w:val="32"/>
      <w:szCs w:val="32"/>
    </w:rPr>
  </w:style>
  <w:style w:type="paragraph" w:styleId="44">
    <w:name w:val="annotation subject"/>
    <w:basedOn w:val="17"/>
    <w:next w:val="17"/>
    <w:link w:val="137"/>
    <w:qFormat/>
    <w:uiPriority w:val="0"/>
    <w:pPr>
      <w:spacing w:line="240" w:lineRule="auto"/>
      <w:ind w:firstLine="0" w:firstLineChars="0"/>
    </w:pPr>
    <w:rPr>
      <w:rFonts w:ascii="宋体" w:eastAsia="宋体"/>
      <w:b/>
      <w:bCs/>
      <w:szCs w:val="20"/>
    </w:rPr>
  </w:style>
  <w:style w:type="table" w:styleId="46">
    <w:name w:val="Table Grid"/>
    <w:basedOn w:val="45"/>
    <w:qFormat/>
    <w:uiPriority w:val="0"/>
    <w:rPr>
      <w:rFonts w:ascii="Times New Roman" w:hAnsi="Times New Roman" w:eastAsia="宋体"/>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8">
    <w:name w:val="Strong"/>
    <w:qFormat/>
    <w:uiPriority w:val="0"/>
    <w:rPr>
      <w:b/>
      <w:bCs/>
    </w:rPr>
  </w:style>
  <w:style w:type="character" w:styleId="49">
    <w:name w:val="page number"/>
    <w:qFormat/>
    <w:uiPriority w:val="0"/>
  </w:style>
  <w:style w:type="character" w:styleId="50">
    <w:name w:val="FollowedHyperlink"/>
    <w:qFormat/>
    <w:uiPriority w:val="0"/>
    <w:rPr>
      <w:color w:val="800080"/>
      <w:u w:val="single"/>
    </w:rPr>
  </w:style>
  <w:style w:type="character" w:styleId="51">
    <w:name w:val="Emphasis"/>
    <w:qFormat/>
    <w:uiPriority w:val="0"/>
    <w:rPr>
      <w:i/>
      <w:iCs/>
    </w:rPr>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标题 1 字符"/>
    <w:link w:val="2"/>
    <w:qFormat/>
    <w:uiPriority w:val="0"/>
    <w:rPr>
      <w:rFonts w:ascii="Times New Roman" w:hAnsi="Times New Roman" w:eastAsia="仿宋_GB2312" w:cs="Times New Roman"/>
      <w:b/>
      <w:bCs/>
      <w:kern w:val="44"/>
      <w:sz w:val="44"/>
      <w:szCs w:val="44"/>
    </w:rPr>
  </w:style>
  <w:style w:type="character" w:customStyle="1" w:styleId="55">
    <w:name w:val="标题 2 字符"/>
    <w:link w:val="3"/>
    <w:qFormat/>
    <w:uiPriority w:val="0"/>
    <w:rPr>
      <w:rFonts w:ascii="Cambria" w:hAnsi="Cambria" w:eastAsia="仿宋_GB2312" w:cs="Times New Roman"/>
      <w:b/>
      <w:bCs/>
      <w:kern w:val="0"/>
      <w:sz w:val="28"/>
      <w:szCs w:val="28"/>
    </w:rPr>
  </w:style>
  <w:style w:type="character" w:customStyle="1" w:styleId="56">
    <w:name w:val="标题 3 字符"/>
    <w:link w:val="4"/>
    <w:qFormat/>
    <w:uiPriority w:val="0"/>
    <w:rPr>
      <w:rFonts w:ascii="Times New Roman" w:hAnsi="Times New Roman" w:eastAsia="仿宋_GB2312" w:cs="Times New Roman"/>
      <w:b/>
      <w:bCs/>
      <w:kern w:val="0"/>
      <w:sz w:val="32"/>
      <w:szCs w:val="32"/>
    </w:rPr>
  </w:style>
  <w:style w:type="character" w:customStyle="1" w:styleId="57">
    <w:name w:val="标题 4 字符"/>
    <w:link w:val="5"/>
    <w:qFormat/>
    <w:uiPriority w:val="0"/>
    <w:rPr>
      <w:rFonts w:ascii="Cambria" w:hAnsi="Cambria" w:eastAsia="仿宋_GB2312" w:cs="Times New Roman"/>
      <w:b/>
      <w:bCs/>
      <w:kern w:val="0"/>
      <w:sz w:val="28"/>
      <w:szCs w:val="28"/>
    </w:rPr>
  </w:style>
  <w:style w:type="character" w:customStyle="1" w:styleId="58">
    <w:name w:val="标题 5 字符"/>
    <w:link w:val="6"/>
    <w:qFormat/>
    <w:uiPriority w:val="0"/>
    <w:rPr>
      <w:rFonts w:ascii="Times New Roman" w:hAnsi="Times New Roman" w:eastAsia="仿宋_GB2312" w:cs="Times New Roman"/>
      <w:b/>
      <w:bCs/>
      <w:kern w:val="0"/>
      <w:sz w:val="28"/>
      <w:szCs w:val="28"/>
    </w:rPr>
  </w:style>
  <w:style w:type="character" w:customStyle="1" w:styleId="59">
    <w:name w:val="标题 6 字符"/>
    <w:link w:val="7"/>
    <w:qFormat/>
    <w:uiPriority w:val="0"/>
    <w:rPr>
      <w:rFonts w:ascii="Arial" w:hAnsi="Arial" w:eastAsia="黑体" w:cs="Times New Roman"/>
      <w:b/>
      <w:bCs/>
      <w:kern w:val="0"/>
      <w:sz w:val="24"/>
      <w:szCs w:val="24"/>
    </w:rPr>
  </w:style>
  <w:style w:type="character" w:customStyle="1" w:styleId="60">
    <w:name w:val="标题 7 字符"/>
    <w:link w:val="8"/>
    <w:qFormat/>
    <w:uiPriority w:val="0"/>
    <w:rPr>
      <w:rFonts w:ascii="Times New Roman" w:hAnsi="Times New Roman" w:eastAsia="仿宋_GB2312" w:cs="Times New Roman"/>
      <w:b/>
      <w:bCs/>
      <w:kern w:val="0"/>
      <w:sz w:val="24"/>
      <w:szCs w:val="24"/>
    </w:rPr>
  </w:style>
  <w:style w:type="character" w:customStyle="1" w:styleId="61">
    <w:name w:val="标题 8 字符"/>
    <w:link w:val="9"/>
    <w:qFormat/>
    <w:uiPriority w:val="0"/>
    <w:rPr>
      <w:rFonts w:ascii="Arial" w:hAnsi="Arial" w:eastAsia="黑体" w:cs="Times New Roman"/>
      <w:kern w:val="0"/>
      <w:sz w:val="24"/>
      <w:szCs w:val="24"/>
    </w:rPr>
  </w:style>
  <w:style w:type="character" w:customStyle="1" w:styleId="62">
    <w:name w:val="标题 9 字符"/>
    <w:link w:val="10"/>
    <w:qFormat/>
    <w:uiPriority w:val="0"/>
    <w:rPr>
      <w:rFonts w:ascii="Arial" w:hAnsi="Arial" w:eastAsia="黑体" w:cs="Times New Roman"/>
      <w:kern w:val="0"/>
      <w:sz w:val="20"/>
      <w:szCs w:val="20"/>
    </w:rPr>
  </w:style>
  <w:style w:type="character" w:customStyle="1" w:styleId="63">
    <w:name w:val="正文缩进 字符"/>
    <w:link w:val="12"/>
    <w:qFormat/>
    <w:locked/>
    <w:uiPriority w:val="0"/>
    <w:rPr>
      <w:rFonts w:ascii="Times New Roman" w:hAnsi="Times New Roman" w:eastAsia="仿宋_GB2312" w:cs="Times New Roman"/>
      <w:sz w:val="28"/>
      <w:szCs w:val="21"/>
    </w:rPr>
  </w:style>
  <w:style w:type="character" w:customStyle="1" w:styleId="64">
    <w:name w:val="文档结构图 字符"/>
    <w:link w:val="15"/>
    <w:qFormat/>
    <w:uiPriority w:val="0"/>
    <w:rPr>
      <w:rFonts w:ascii="宋体" w:hAnsi="Times New Roman" w:eastAsia="仿宋_GB2312" w:cs="Times New Roman"/>
      <w:sz w:val="18"/>
      <w:szCs w:val="18"/>
    </w:rPr>
  </w:style>
  <w:style w:type="character" w:customStyle="1" w:styleId="65">
    <w:name w:val="批注文字 字符"/>
    <w:link w:val="17"/>
    <w:qFormat/>
    <w:uiPriority w:val="0"/>
    <w:rPr>
      <w:rFonts w:ascii="Times New Roman" w:hAnsi="Times New Roman" w:eastAsia="仿宋_GB2312" w:cs="Times New Roman"/>
      <w:kern w:val="0"/>
      <w:sz w:val="28"/>
      <w:szCs w:val="28"/>
    </w:rPr>
  </w:style>
  <w:style w:type="character" w:customStyle="1" w:styleId="66">
    <w:name w:val="正文文本 字符"/>
    <w:link w:val="18"/>
    <w:qFormat/>
    <w:uiPriority w:val="0"/>
    <w:rPr>
      <w:rFonts w:ascii="Times New Roman" w:hAnsi="Times New Roman" w:eastAsia="仿宋_GB2312" w:cs="Times New Roman"/>
      <w:kern w:val="0"/>
      <w:sz w:val="24"/>
      <w:szCs w:val="24"/>
    </w:rPr>
  </w:style>
  <w:style w:type="character" w:customStyle="1" w:styleId="67">
    <w:name w:val="正文文本缩进 字符"/>
    <w:link w:val="19"/>
    <w:qFormat/>
    <w:uiPriority w:val="0"/>
    <w:rPr>
      <w:rFonts w:ascii="Times New Roman" w:hAnsi="Times New Roman" w:eastAsia="仿宋_GB2312" w:cs="Times New Roman"/>
      <w:kern w:val="0"/>
      <w:sz w:val="20"/>
      <w:szCs w:val="20"/>
    </w:rPr>
  </w:style>
  <w:style w:type="character" w:customStyle="1" w:styleId="68">
    <w:name w:val="纯文本 字符"/>
    <w:link w:val="25"/>
    <w:qFormat/>
    <w:uiPriority w:val="0"/>
    <w:rPr>
      <w:rFonts w:ascii="宋体" w:hAnsi="Courier New" w:eastAsia="仿宋_GB2312" w:cs="Times New Roman"/>
      <w:kern w:val="0"/>
      <w:sz w:val="28"/>
      <w:szCs w:val="21"/>
    </w:rPr>
  </w:style>
  <w:style w:type="character" w:customStyle="1" w:styleId="69">
    <w:name w:val="批注框文本 字符"/>
    <w:link w:val="29"/>
    <w:qFormat/>
    <w:uiPriority w:val="0"/>
    <w:rPr>
      <w:rFonts w:ascii="Times New Roman" w:hAnsi="Times New Roman" w:eastAsia="仿宋_GB2312" w:cs="Times New Roman"/>
      <w:kern w:val="0"/>
      <w:sz w:val="18"/>
      <w:szCs w:val="18"/>
    </w:rPr>
  </w:style>
  <w:style w:type="character" w:customStyle="1" w:styleId="70">
    <w:name w:val="页脚 字符"/>
    <w:link w:val="30"/>
    <w:qFormat/>
    <w:uiPriority w:val="0"/>
    <w:rPr>
      <w:rFonts w:ascii="Times New Roman" w:hAnsi="Times New Roman" w:eastAsia="仿宋_GB2312" w:cs="Times New Roman"/>
      <w:kern w:val="0"/>
      <w:sz w:val="18"/>
      <w:szCs w:val="18"/>
    </w:rPr>
  </w:style>
  <w:style w:type="character" w:customStyle="1" w:styleId="71">
    <w:name w:val="页眉 字符"/>
    <w:link w:val="31"/>
    <w:qFormat/>
    <w:uiPriority w:val="0"/>
    <w:rPr>
      <w:rFonts w:ascii="Times New Roman" w:hAnsi="Times New Roman" w:eastAsia="仿宋_GB2312" w:cs="Times New Roman"/>
      <w:kern w:val="0"/>
      <w:sz w:val="18"/>
      <w:szCs w:val="18"/>
    </w:rPr>
  </w:style>
  <w:style w:type="character" w:customStyle="1" w:styleId="72">
    <w:name w:val="正文文本缩进 3 字符"/>
    <w:link w:val="36"/>
    <w:qFormat/>
    <w:uiPriority w:val="0"/>
    <w:rPr>
      <w:rFonts w:ascii="Times New Roman" w:hAnsi="Times New Roman" w:eastAsia="仿宋_GB2312" w:cs="Times New Roman"/>
      <w:kern w:val="0"/>
      <w:sz w:val="16"/>
      <w:szCs w:val="16"/>
    </w:rPr>
  </w:style>
  <w:style w:type="character" w:customStyle="1" w:styleId="73">
    <w:name w:val="正文文本 2 字符"/>
    <w:link w:val="39"/>
    <w:qFormat/>
    <w:uiPriority w:val="0"/>
    <w:rPr>
      <w:rFonts w:ascii="Times New Roman" w:hAnsi="Times New Roman" w:eastAsia="仿宋_GB2312" w:cs="Times New Roman"/>
      <w:kern w:val="0"/>
      <w:sz w:val="24"/>
      <w:szCs w:val="24"/>
    </w:rPr>
  </w:style>
  <w:style w:type="character" w:customStyle="1" w:styleId="74">
    <w:name w:val="标题 字符"/>
    <w:link w:val="43"/>
    <w:qFormat/>
    <w:uiPriority w:val="0"/>
    <w:rPr>
      <w:rFonts w:ascii="Cambria" w:hAnsi="Cambria" w:eastAsia="仿宋_GB2312" w:cs="Times New Roman"/>
      <w:b/>
      <w:bCs/>
      <w:kern w:val="0"/>
      <w:sz w:val="32"/>
      <w:szCs w:val="32"/>
    </w:rPr>
  </w:style>
  <w:style w:type="paragraph" w:styleId="75">
    <w:name w:val="List Paragraph"/>
    <w:basedOn w:val="1"/>
    <w:qFormat/>
    <w:uiPriority w:val="0"/>
    <w:pPr>
      <w:ind w:firstLine="420"/>
    </w:pPr>
    <w:rPr>
      <w:szCs w:val="28"/>
    </w:rPr>
  </w:style>
  <w:style w:type="character" w:customStyle="1" w:styleId="76">
    <w:name w:val="标题 4 Char"/>
    <w:qFormat/>
    <w:uiPriority w:val="0"/>
    <w:rPr>
      <w:rFonts w:ascii="Cambria" w:hAnsi="Cambria" w:cs="宋体"/>
      <w:b/>
      <w:bCs/>
      <w:kern w:val="2"/>
      <w:sz w:val="28"/>
      <w:szCs w:val="28"/>
    </w:rPr>
  </w:style>
  <w:style w:type="table" w:customStyle="1" w:styleId="77">
    <w:name w:val="网格型1"/>
    <w:basedOn w:val="45"/>
    <w:qFormat/>
    <w:uiPriority w:val="0"/>
    <w:rPr>
      <w:rFonts w:ascii="Times New Roman" w:hAnsi="Times New Roman" w:eastAsia="宋体"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8">
    <w:name w:val="列出段落1"/>
    <w:basedOn w:val="1"/>
    <w:qFormat/>
    <w:uiPriority w:val="0"/>
    <w:pPr>
      <w:ind w:firstLine="420"/>
    </w:pPr>
    <w:rPr>
      <w:rFonts w:cs="Calibri"/>
      <w:szCs w:val="21"/>
    </w:rPr>
  </w:style>
  <w:style w:type="paragraph" w:customStyle="1" w:styleId="79">
    <w:name w:val="无间隔1"/>
    <w:qFormat/>
    <w:uiPriority w:val="0"/>
    <w:pPr>
      <w:widowControl w:val="0"/>
      <w:jc w:val="both"/>
    </w:pPr>
    <w:rPr>
      <w:rFonts w:ascii="Times New Roman" w:hAnsi="Times New Roman" w:eastAsia="宋体" w:cs="Calibri"/>
      <w:kern w:val="2"/>
      <w:sz w:val="21"/>
      <w:szCs w:val="21"/>
      <w:lang w:val="en-US" w:eastAsia="zh-CN" w:bidi="ar-SA"/>
    </w:rPr>
  </w:style>
  <w:style w:type="paragraph" w:customStyle="1" w:styleId="80">
    <w:name w:val="Char Char"/>
    <w:basedOn w:val="1"/>
    <w:qFormat/>
    <w:uiPriority w:val="0"/>
    <w:rPr>
      <w:rFonts w:ascii="Tahoma" w:hAnsi="Tahoma" w:cs="Tahoma"/>
      <w:sz w:val="24"/>
      <w:szCs w:val="24"/>
    </w:rPr>
  </w:style>
  <w:style w:type="paragraph" w:customStyle="1" w:styleId="81">
    <w:name w:val="大汉方案正文"/>
    <w:basedOn w:val="1"/>
    <w:qFormat/>
    <w:uiPriority w:val="0"/>
    <w:rPr>
      <w:rFonts w:ascii="Arial" w:hAnsi="Arial" w:cs="Arial"/>
      <w:sz w:val="24"/>
      <w:szCs w:val="24"/>
    </w:rPr>
  </w:style>
  <w:style w:type="character" w:customStyle="1" w:styleId="82">
    <w:name w:val="纯文本 Char1"/>
    <w:qFormat/>
    <w:uiPriority w:val="0"/>
    <w:rPr>
      <w:rFonts w:ascii="宋体" w:hAnsi="Courier New" w:cs="宋体"/>
      <w:kern w:val="2"/>
      <w:sz w:val="21"/>
      <w:szCs w:val="21"/>
    </w:rPr>
  </w:style>
  <w:style w:type="character" w:customStyle="1" w:styleId="83">
    <w:name w:val="批注文字 Char1"/>
    <w:qFormat/>
    <w:uiPriority w:val="0"/>
    <w:rPr>
      <w:rFonts w:ascii="Times New Roman" w:hAnsi="Times New Roman" w:eastAsia="宋体" w:cs="Times New Roman"/>
      <w:sz w:val="24"/>
      <w:szCs w:val="24"/>
    </w:rPr>
  </w:style>
  <w:style w:type="paragraph" w:customStyle="1" w:styleId="84">
    <w:name w:val="retrait3"/>
    <w:basedOn w:val="1"/>
    <w:qFormat/>
    <w:uiPriority w:val="0"/>
    <w:pPr>
      <w:widowControl/>
      <w:spacing w:before="20" w:after="20"/>
      <w:ind w:left="851"/>
      <w:jc w:val="left"/>
    </w:pPr>
    <w:rPr>
      <w:rFonts w:ascii="Arial" w:hAnsi="Arial" w:cs="Arial"/>
      <w:kern w:val="0"/>
      <w:sz w:val="24"/>
      <w:szCs w:val="24"/>
      <w:lang w:val="en-GB"/>
    </w:rPr>
  </w:style>
  <w:style w:type="character" w:customStyle="1" w:styleId="85">
    <w:name w:val="apple-converted-space"/>
    <w:qFormat/>
    <w:uiPriority w:val="0"/>
  </w:style>
  <w:style w:type="paragraph" w:customStyle="1" w:styleId="86">
    <w:name w:val="xl26"/>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87">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88">
    <w:name w:val="列出段落2"/>
    <w:basedOn w:val="1"/>
    <w:qFormat/>
    <w:uiPriority w:val="0"/>
    <w:pPr>
      <w:ind w:firstLine="420"/>
    </w:pPr>
    <w:rPr>
      <w:rFonts w:cs="Calibri"/>
      <w:szCs w:val="21"/>
    </w:rPr>
  </w:style>
  <w:style w:type="paragraph" w:customStyle="1" w:styleId="89">
    <w:name w:val="无间隔2"/>
    <w:qFormat/>
    <w:uiPriority w:val="0"/>
    <w:pPr>
      <w:widowControl w:val="0"/>
      <w:jc w:val="both"/>
    </w:pPr>
    <w:rPr>
      <w:rFonts w:ascii="Times New Roman" w:hAnsi="Times New Roman" w:eastAsia="宋体" w:cs="Calibri"/>
      <w:kern w:val="2"/>
      <w:sz w:val="21"/>
      <w:szCs w:val="21"/>
      <w:lang w:val="en-US" w:eastAsia="zh-CN" w:bidi="ar-SA"/>
    </w:rPr>
  </w:style>
  <w:style w:type="character" w:customStyle="1" w:styleId="90">
    <w:name w:val="标题 3 Char1"/>
    <w:qFormat/>
    <w:uiPriority w:val="0"/>
    <w:rPr>
      <w:rFonts w:ascii="Times New Roman" w:hAnsi="Times New Roman" w:eastAsia="宋体" w:cs="Times New Roman"/>
      <w:sz w:val="20"/>
      <w:szCs w:val="20"/>
    </w:rPr>
  </w:style>
  <w:style w:type="paragraph" w:customStyle="1" w:styleId="91">
    <w:name w:val="Char Char11 Char Char Char Char"/>
    <w:basedOn w:val="1"/>
    <w:qFormat/>
    <w:uiPriority w:val="0"/>
    <w:pPr>
      <w:tabs>
        <w:tab w:val="left" w:pos="360"/>
      </w:tabs>
    </w:pPr>
    <w:rPr>
      <w:szCs w:val="21"/>
    </w:rPr>
  </w:style>
  <w:style w:type="paragraph" w:customStyle="1" w:styleId="92">
    <w:name w:val="xl65"/>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93">
    <w:name w:val="xl66"/>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4">
    <w:name w:val="xl67"/>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95">
    <w:name w:val="xl68"/>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6">
    <w:name w:val="xl69"/>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7">
    <w:name w:val="xl70"/>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8">
    <w:name w:val="xl71"/>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9">
    <w:name w:val="xl72"/>
    <w:basedOn w:val="1"/>
    <w:qFormat/>
    <w:uiPriority w:val="0"/>
    <w:pPr>
      <w:widowControl/>
      <w:spacing w:before="100" w:beforeAutospacing="1" w:after="100" w:afterAutospacing="1"/>
      <w:jc w:val="left"/>
      <w:textAlignment w:val="bottom"/>
    </w:pPr>
    <w:rPr>
      <w:rFonts w:ascii="宋体" w:hAnsi="宋体" w:cs="宋体"/>
      <w:kern w:val="0"/>
      <w:sz w:val="16"/>
      <w:szCs w:val="16"/>
    </w:rPr>
  </w:style>
  <w:style w:type="paragraph" w:customStyle="1" w:styleId="100">
    <w:name w:val="xl73"/>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101">
    <w:name w:val="xl74"/>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02">
    <w:name w:val="xl75"/>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03">
    <w:name w:val="xl76"/>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04">
    <w:name w:val="xl77"/>
    <w:basedOn w:val="1"/>
    <w:qFormat/>
    <w:uiPriority w:val="0"/>
    <w:pPr>
      <w:widowControl/>
      <w:spacing w:before="100" w:beforeAutospacing="1" w:after="100" w:afterAutospacing="1"/>
      <w:jc w:val="left"/>
      <w:textAlignment w:val="bottom"/>
    </w:pPr>
    <w:rPr>
      <w:rFonts w:ascii="宋体" w:hAnsi="宋体" w:cs="宋体"/>
      <w:kern w:val="0"/>
      <w:sz w:val="16"/>
      <w:szCs w:val="16"/>
    </w:rPr>
  </w:style>
  <w:style w:type="paragraph" w:customStyle="1" w:styleId="105">
    <w:name w:val="xl78"/>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106">
    <w:name w:val="xl79"/>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07">
    <w:name w:val="xl80"/>
    <w:basedOn w:val="1"/>
    <w:qFormat/>
    <w:uiPriority w:val="0"/>
    <w:pPr>
      <w:widowControl/>
      <w:spacing w:before="100" w:beforeAutospacing="1" w:after="100" w:afterAutospacing="1"/>
      <w:jc w:val="left"/>
      <w:textAlignment w:val="bottom"/>
    </w:pPr>
    <w:rPr>
      <w:rFonts w:ascii="宋体" w:hAnsi="宋体" w:cs="宋体"/>
      <w:b/>
      <w:bCs/>
      <w:kern w:val="0"/>
      <w:sz w:val="18"/>
      <w:szCs w:val="18"/>
    </w:rPr>
  </w:style>
  <w:style w:type="paragraph" w:customStyle="1" w:styleId="108">
    <w:name w:val="xl81"/>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09">
    <w:name w:val="xl82"/>
    <w:basedOn w:val="1"/>
    <w:qFormat/>
    <w:uiPriority w:val="0"/>
    <w:pPr>
      <w:widowControl/>
      <w:shd w:val="clear" w:color="000000" w:fill="C0C0C0"/>
      <w:spacing w:before="100" w:beforeAutospacing="1" w:after="100" w:afterAutospacing="1"/>
      <w:jc w:val="left"/>
      <w:textAlignment w:val="bottom"/>
    </w:pPr>
    <w:rPr>
      <w:rFonts w:ascii="宋体" w:hAnsi="宋体" w:cs="宋体"/>
      <w:b/>
      <w:bCs/>
      <w:kern w:val="0"/>
      <w:sz w:val="18"/>
      <w:szCs w:val="18"/>
    </w:rPr>
  </w:style>
  <w:style w:type="paragraph" w:customStyle="1" w:styleId="110">
    <w:name w:val="xl83"/>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11">
    <w:name w:val="xl84"/>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12">
    <w:name w:val="xl85"/>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13">
    <w:name w:val="xl86"/>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14">
    <w:name w:val="xl87"/>
    <w:basedOn w:val="1"/>
    <w:qFormat/>
    <w:uiPriority w:val="0"/>
    <w:pPr>
      <w:widowControl/>
      <w:spacing w:before="100" w:beforeAutospacing="1" w:after="100" w:afterAutospacing="1"/>
      <w:jc w:val="left"/>
      <w:textAlignment w:val="bottom"/>
    </w:pPr>
    <w:rPr>
      <w:rFonts w:ascii="宋体" w:hAnsi="宋体" w:cs="宋体"/>
      <w:b/>
      <w:bCs/>
      <w:kern w:val="0"/>
      <w:sz w:val="16"/>
      <w:szCs w:val="16"/>
    </w:rPr>
  </w:style>
  <w:style w:type="paragraph" w:customStyle="1" w:styleId="115">
    <w:name w:val="xl88"/>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6">
    <w:name w:val="xl89"/>
    <w:basedOn w:val="1"/>
    <w:qFormat/>
    <w:uiPriority w:val="0"/>
    <w:pPr>
      <w:widowControl/>
      <w:spacing w:before="100" w:beforeAutospacing="1" w:after="100" w:afterAutospacing="1"/>
      <w:jc w:val="center"/>
      <w:textAlignment w:val="bottom"/>
    </w:pPr>
    <w:rPr>
      <w:rFonts w:ascii="宋体" w:hAnsi="宋体" w:cs="宋体"/>
      <w:kern w:val="0"/>
      <w:sz w:val="18"/>
      <w:szCs w:val="18"/>
      <w:u w:val="single"/>
    </w:rPr>
  </w:style>
  <w:style w:type="paragraph" w:customStyle="1" w:styleId="117">
    <w:name w:val="xl90"/>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8">
    <w:name w:val="xl91"/>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9">
    <w:name w:val="xl92"/>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20">
    <w:name w:val="xl93"/>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21">
    <w:name w:val="xl94"/>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22">
    <w:name w:val="xl95"/>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23">
    <w:name w:val="xl96"/>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24">
    <w:name w:val="xl97"/>
    <w:basedOn w:val="1"/>
    <w:qFormat/>
    <w:uiPriority w:val="0"/>
    <w:pPr>
      <w:widowControl/>
      <w:spacing w:before="100" w:beforeAutospacing="1" w:after="100" w:afterAutospacing="1"/>
      <w:jc w:val="center"/>
      <w:textAlignment w:val="bottom"/>
    </w:pPr>
    <w:rPr>
      <w:rFonts w:ascii="宋体" w:hAnsi="宋体" w:cs="宋体"/>
      <w:b/>
      <w:bCs/>
      <w:color w:val="DD0806"/>
      <w:kern w:val="0"/>
      <w:sz w:val="18"/>
      <w:szCs w:val="18"/>
    </w:rPr>
  </w:style>
  <w:style w:type="paragraph" w:customStyle="1" w:styleId="125">
    <w:name w:val="xl98"/>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26">
    <w:name w:val="xl99"/>
    <w:basedOn w:val="1"/>
    <w:qFormat/>
    <w:uiPriority w:val="0"/>
    <w:pPr>
      <w:widowControl/>
      <w:shd w:val="clear" w:color="000000" w:fill="C0C0C0"/>
      <w:spacing w:before="100" w:beforeAutospacing="1" w:after="100" w:afterAutospacing="1"/>
      <w:jc w:val="left"/>
      <w:textAlignment w:val="bottom"/>
    </w:pPr>
    <w:rPr>
      <w:rFonts w:ascii="宋体" w:hAnsi="宋体" w:cs="宋体"/>
      <w:b/>
      <w:bCs/>
      <w:kern w:val="0"/>
      <w:sz w:val="18"/>
      <w:szCs w:val="18"/>
    </w:rPr>
  </w:style>
  <w:style w:type="paragraph" w:customStyle="1" w:styleId="127">
    <w:name w:val="xl100"/>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28">
    <w:name w:val="xl101"/>
    <w:basedOn w:val="1"/>
    <w:qFormat/>
    <w:uiPriority w:val="0"/>
    <w:pPr>
      <w:widowControl/>
      <w:spacing w:before="100" w:beforeAutospacing="1" w:after="100" w:afterAutospacing="1"/>
      <w:jc w:val="center"/>
      <w:textAlignment w:val="bottom"/>
    </w:pPr>
    <w:rPr>
      <w:rFonts w:ascii="宋体" w:hAnsi="宋体" w:cs="宋体"/>
      <w:b/>
      <w:bCs/>
      <w:kern w:val="0"/>
      <w:sz w:val="18"/>
      <w:szCs w:val="18"/>
      <w:u w:val="single"/>
    </w:rPr>
  </w:style>
  <w:style w:type="table" w:customStyle="1" w:styleId="129">
    <w:name w:val="Table Normal1"/>
    <w:qFormat/>
    <w:uiPriority w:val="0"/>
    <w:pPr>
      <w:widowControl w:val="0"/>
      <w:autoSpaceDE w:val="0"/>
      <w:autoSpaceDN w:val="0"/>
    </w:pPr>
    <w:rPr>
      <w:rFonts w:ascii="Times New Roman" w:hAnsi="Times New Roman" w:eastAsia="宋体" w:cs="Calibri"/>
      <w:sz w:val="22"/>
      <w:szCs w:val="22"/>
      <w:lang w:eastAsia="en-US"/>
    </w:rPr>
    <w:tblPr>
      <w:tblCellMar>
        <w:top w:w="0" w:type="dxa"/>
        <w:left w:w="0" w:type="dxa"/>
        <w:bottom w:w="0" w:type="dxa"/>
        <w:right w:w="0" w:type="dxa"/>
      </w:tblCellMar>
    </w:tblPr>
  </w:style>
  <w:style w:type="paragraph" w:customStyle="1" w:styleId="130">
    <w:name w:val="Table Paragraph"/>
    <w:basedOn w:val="1"/>
    <w:qFormat/>
    <w:uiPriority w:val="1"/>
    <w:pPr>
      <w:autoSpaceDE w:val="0"/>
      <w:autoSpaceDN w:val="0"/>
      <w:jc w:val="left"/>
    </w:pPr>
    <w:rPr>
      <w:rFonts w:ascii="Noto Sans Mono CJK JP Regular" w:hAnsi="Noto Sans Mono CJK JP Regular" w:cs="Noto Sans Mono CJK JP Regular"/>
      <w:kern w:val="0"/>
      <w:sz w:val="22"/>
      <w:lang w:val="zh-CN"/>
    </w:rPr>
  </w:style>
  <w:style w:type="character" w:customStyle="1" w:styleId="131">
    <w:name w:val="纯文本 Char3"/>
    <w:qFormat/>
    <w:uiPriority w:val="0"/>
    <w:rPr>
      <w:rFonts w:ascii="宋体" w:hAnsi="Courier New"/>
      <w:sz w:val="21"/>
      <w:szCs w:val="21"/>
    </w:rPr>
  </w:style>
  <w:style w:type="character" w:customStyle="1" w:styleId="132">
    <w:name w:val="正文首行缩进 2 字符"/>
    <w:basedOn w:val="67"/>
    <w:link w:val="20"/>
    <w:qFormat/>
    <w:uiPriority w:val="0"/>
    <w:rPr>
      <w:rFonts w:ascii="Calibri" w:hAnsi="Calibri" w:eastAsia="宋体" w:cs="Times New Roman"/>
      <w:kern w:val="2"/>
      <w:sz w:val="21"/>
      <w:szCs w:val="24"/>
    </w:rPr>
  </w:style>
  <w:style w:type="character" w:customStyle="1" w:styleId="133">
    <w:name w:val="日期 字符"/>
    <w:basedOn w:val="47"/>
    <w:link w:val="27"/>
    <w:qFormat/>
    <w:uiPriority w:val="0"/>
    <w:rPr>
      <w:rFonts w:ascii="Times New Roman" w:hAnsi="Times New Roman" w:eastAsia="宋体"/>
      <w:kern w:val="2"/>
      <w:sz w:val="21"/>
      <w:szCs w:val="24"/>
    </w:rPr>
  </w:style>
  <w:style w:type="character" w:customStyle="1" w:styleId="134">
    <w:name w:val="正文文本缩进 2 字符"/>
    <w:basedOn w:val="47"/>
    <w:link w:val="28"/>
    <w:qFormat/>
    <w:uiPriority w:val="0"/>
    <w:rPr>
      <w:rFonts w:ascii="Times New Roman" w:hAnsi="Times New Roman" w:eastAsia="宋体"/>
    </w:rPr>
  </w:style>
  <w:style w:type="character" w:customStyle="1" w:styleId="135">
    <w:name w:val="副标题 字符"/>
    <w:basedOn w:val="47"/>
    <w:link w:val="34"/>
    <w:qFormat/>
    <w:uiPriority w:val="0"/>
    <w:rPr>
      <w:rFonts w:ascii="Cambria" w:hAnsi="Cambria" w:eastAsia="宋体"/>
      <w:b/>
      <w:bCs/>
      <w:kern w:val="28"/>
      <w:sz w:val="32"/>
      <w:szCs w:val="32"/>
    </w:rPr>
  </w:style>
  <w:style w:type="character" w:customStyle="1" w:styleId="136">
    <w:name w:val="HTML 预设格式 字符"/>
    <w:basedOn w:val="47"/>
    <w:link w:val="40"/>
    <w:qFormat/>
    <w:uiPriority w:val="0"/>
    <w:rPr>
      <w:rFonts w:ascii="宋体" w:hAnsi="宋体" w:eastAsia="宋体" w:cs="宋体"/>
      <w:sz w:val="24"/>
      <w:szCs w:val="24"/>
    </w:rPr>
  </w:style>
  <w:style w:type="character" w:customStyle="1" w:styleId="137">
    <w:name w:val="批注主题 字符"/>
    <w:basedOn w:val="65"/>
    <w:link w:val="44"/>
    <w:qFormat/>
    <w:uiPriority w:val="0"/>
    <w:rPr>
      <w:rFonts w:ascii="宋体" w:hAnsi="Times New Roman" w:eastAsia="宋体" w:cs="Times New Roman"/>
      <w:b/>
      <w:bCs/>
      <w:kern w:val="0"/>
      <w:sz w:val="28"/>
      <w:szCs w:val="28"/>
    </w:rPr>
  </w:style>
  <w:style w:type="paragraph" w:customStyle="1" w:styleId="138">
    <w:name w:val="Char23"/>
    <w:basedOn w:val="15"/>
    <w:qFormat/>
    <w:uiPriority w:val="0"/>
    <w:pPr>
      <w:widowControl/>
      <w:shd w:val="clear" w:color="auto" w:fill="000080"/>
      <w:spacing w:line="240" w:lineRule="auto"/>
      <w:ind w:firstLine="0" w:firstLineChars="0"/>
    </w:pPr>
    <w:rPr>
      <w:rFonts w:ascii="Times New Roman" w:eastAsia="宋体"/>
      <w:sz w:val="21"/>
      <w:szCs w:val="24"/>
    </w:rPr>
  </w:style>
  <w:style w:type="character" w:customStyle="1" w:styleId="139">
    <w:name w:val="first-child"/>
    <w:qFormat/>
    <w:uiPriority w:val="0"/>
  </w:style>
  <w:style w:type="character" w:customStyle="1" w:styleId="140">
    <w:name w:val="批注文字 Char Char"/>
    <w:qFormat/>
    <w:uiPriority w:val="0"/>
    <w:rPr>
      <w:rFonts w:ascii="宋体" w:hAnsi="Times New Roman" w:eastAsia="宋体" w:cs="Times New Roman"/>
      <w:sz w:val="28"/>
      <w:szCs w:val="20"/>
    </w:rPr>
  </w:style>
  <w:style w:type="character" w:customStyle="1" w:styleId="141">
    <w:name w:val="正文文本 Char1"/>
    <w:qFormat/>
    <w:uiPriority w:val="0"/>
    <w:rPr>
      <w:kern w:val="2"/>
      <w:sz w:val="21"/>
      <w:szCs w:val="22"/>
    </w:rPr>
  </w:style>
  <w:style w:type="character" w:customStyle="1" w:styleId="142">
    <w:name w:val="批注主题 Char1"/>
    <w:qFormat/>
    <w:uiPriority w:val="0"/>
    <w:rPr>
      <w:b/>
      <w:bCs/>
      <w:kern w:val="2"/>
      <w:sz w:val="21"/>
      <w:szCs w:val="22"/>
    </w:rPr>
  </w:style>
  <w:style w:type="character" w:customStyle="1" w:styleId="143">
    <w:name w:val="明显强调1"/>
    <w:qFormat/>
    <w:uiPriority w:val="0"/>
    <w:rPr>
      <w:b/>
      <w:bCs/>
      <w:i/>
      <w:iCs/>
      <w:color w:val="4F81BD"/>
    </w:rPr>
  </w:style>
  <w:style w:type="character" w:customStyle="1" w:styleId="144">
    <w:name w:val="标题5 Char Char"/>
    <w:link w:val="145"/>
    <w:qFormat/>
    <w:uiPriority w:val="0"/>
    <w:rPr>
      <w:rFonts w:ascii="Arial" w:hAnsi="Arial"/>
      <w:b/>
      <w:bCs/>
      <w:sz w:val="24"/>
      <w:szCs w:val="32"/>
    </w:rPr>
  </w:style>
  <w:style w:type="paragraph" w:customStyle="1" w:styleId="145">
    <w:name w:val="标题5"/>
    <w:basedOn w:val="4"/>
    <w:link w:val="144"/>
    <w:qFormat/>
    <w:uiPriority w:val="0"/>
    <w:pPr>
      <w:spacing w:line="413" w:lineRule="auto"/>
      <w:ind w:firstLine="0" w:firstLineChars="0"/>
    </w:pPr>
    <w:rPr>
      <w:rFonts w:ascii="Arial" w:hAnsi="Arial" w:eastAsia="等线"/>
      <w:sz w:val="24"/>
    </w:rPr>
  </w:style>
  <w:style w:type="character" w:customStyle="1" w:styleId="146">
    <w:name w:val="日期 Char1"/>
    <w:qFormat/>
    <w:uiPriority w:val="0"/>
    <w:rPr>
      <w:kern w:val="2"/>
      <w:sz w:val="21"/>
      <w:szCs w:val="22"/>
    </w:rPr>
  </w:style>
  <w:style w:type="character" w:customStyle="1" w:styleId="147">
    <w:name w:val="不明显参考1"/>
    <w:qFormat/>
    <w:uiPriority w:val="0"/>
    <w:rPr>
      <w:smallCaps/>
      <w:color w:val="C0504D"/>
      <w:u w:val="single"/>
    </w:rPr>
  </w:style>
  <w:style w:type="character" w:customStyle="1" w:styleId="148">
    <w:name w:val="textcontents"/>
    <w:qFormat/>
    <w:uiPriority w:val="0"/>
    <w:rPr>
      <w:rFonts w:cs="Times New Roman"/>
    </w:rPr>
  </w:style>
  <w:style w:type="character" w:customStyle="1" w:styleId="149">
    <w:name w:val="font21"/>
    <w:basedOn w:val="47"/>
    <w:qFormat/>
    <w:uiPriority w:val="0"/>
    <w:rPr>
      <w:rFonts w:hint="eastAsia" w:ascii="宋体" w:hAnsi="宋体" w:eastAsia="宋体" w:cs="宋体"/>
      <w:color w:val="FF0000"/>
      <w:sz w:val="20"/>
      <w:szCs w:val="20"/>
      <w:u w:val="none"/>
    </w:rPr>
  </w:style>
  <w:style w:type="character" w:customStyle="1" w:styleId="150">
    <w:name w:val="font01"/>
    <w:basedOn w:val="47"/>
    <w:qFormat/>
    <w:uiPriority w:val="0"/>
    <w:rPr>
      <w:rFonts w:hint="eastAsia" w:ascii="宋体" w:hAnsi="宋体" w:eastAsia="宋体" w:cs="宋体"/>
      <w:color w:val="000000"/>
      <w:sz w:val="20"/>
      <w:szCs w:val="20"/>
      <w:u w:val="none"/>
    </w:rPr>
  </w:style>
  <w:style w:type="character" w:customStyle="1" w:styleId="151">
    <w:name w:val="明显引用 字符"/>
    <w:link w:val="152"/>
    <w:qFormat/>
    <w:uiPriority w:val="0"/>
    <w:rPr>
      <w:b/>
      <w:bCs/>
      <w:i/>
      <w:iCs/>
      <w:color w:val="4F81BD"/>
      <w:kern w:val="2"/>
      <w:sz w:val="21"/>
      <w:szCs w:val="22"/>
    </w:rPr>
  </w:style>
  <w:style w:type="paragraph" w:styleId="152">
    <w:name w:val="Intense Quote"/>
    <w:basedOn w:val="1"/>
    <w:next w:val="1"/>
    <w:link w:val="151"/>
    <w:qFormat/>
    <w:uiPriority w:val="0"/>
    <w:pPr>
      <w:pBdr>
        <w:bottom w:val="single" w:color="4F81BD" w:sz="4" w:space="4"/>
      </w:pBdr>
      <w:spacing w:before="200" w:after="280" w:line="240" w:lineRule="auto"/>
      <w:ind w:left="936" w:right="936" w:firstLine="0" w:firstLineChars="0"/>
    </w:pPr>
    <w:rPr>
      <w:rFonts w:ascii="等线" w:hAnsi="等线" w:eastAsia="等线"/>
      <w:b/>
      <w:bCs/>
      <w:i/>
      <w:iCs/>
      <w:color w:val="4F81BD"/>
      <w:sz w:val="21"/>
    </w:rPr>
  </w:style>
  <w:style w:type="character" w:customStyle="1" w:styleId="153">
    <w:name w:val="明显引用 字符1"/>
    <w:basedOn w:val="47"/>
    <w:qFormat/>
    <w:uiPriority w:val="99"/>
    <w:rPr>
      <w:rFonts w:ascii="Times New Roman" w:hAnsi="Times New Roman" w:eastAsia="仿宋_GB2312"/>
      <w:i/>
      <w:iCs/>
      <w:color w:val="4472C4" w:themeColor="accent1"/>
      <w:kern w:val="2"/>
      <w:sz w:val="28"/>
      <w:szCs w:val="22"/>
      <w14:textFill>
        <w14:solidFill>
          <w14:schemeClr w14:val="accent1"/>
        </w14:solidFill>
      </w14:textFill>
    </w:rPr>
  </w:style>
  <w:style w:type="character" w:customStyle="1" w:styleId="154">
    <w:name w:val="不明显强调1"/>
    <w:qFormat/>
    <w:uiPriority w:val="0"/>
    <w:rPr>
      <w:i/>
      <w:iCs/>
      <w:color w:val="808080"/>
    </w:rPr>
  </w:style>
  <w:style w:type="character" w:customStyle="1" w:styleId="155">
    <w:name w:val="font91"/>
    <w:basedOn w:val="47"/>
    <w:qFormat/>
    <w:uiPriority w:val="0"/>
    <w:rPr>
      <w:rFonts w:hint="eastAsia" w:ascii="宋体" w:hAnsi="宋体" w:eastAsia="宋体" w:cs="宋体"/>
      <w:color w:val="000000"/>
      <w:sz w:val="20"/>
      <w:szCs w:val="20"/>
      <w:u w:val="none"/>
      <w:vertAlign w:val="superscript"/>
    </w:rPr>
  </w:style>
  <w:style w:type="character" w:customStyle="1" w:styleId="156">
    <w:name w:val="书籍标题1"/>
    <w:qFormat/>
    <w:uiPriority w:val="0"/>
    <w:rPr>
      <w:b/>
      <w:bCs/>
      <w:smallCaps/>
      <w:spacing w:val="5"/>
    </w:rPr>
  </w:style>
  <w:style w:type="character" w:customStyle="1" w:styleId="157">
    <w:name w:val="Char Char Char Char"/>
    <w:qFormat/>
    <w:uiPriority w:val="0"/>
    <w:rPr>
      <w:rFonts w:ascii="宋体" w:hAnsi="Courier New" w:eastAsia="宋体"/>
      <w:kern w:val="2"/>
      <w:sz w:val="24"/>
      <w:lang w:val="en-US" w:eastAsia="zh-CN" w:bidi="ar-SA"/>
    </w:rPr>
  </w:style>
  <w:style w:type="character" w:customStyle="1" w:styleId="158">
    <w:name w:val="引用 字符"/>
    <w:link w:val="159"/>
    <w:qFormat/>
    <w:uiPriority w:val="0"/>
    <w:rPr>
      <w:i/>
      <w:iCs/>
      <w:color w:val="000000"/>
      <w:kern w:val="2"/>
      <w:sz w:val="21"/>
      <w:szCs w:val="22"/>
    </w:rPr>
  </w:style>
  <w:style w:type="paragraph" w:styleId="159">
    <w:name w:val="Quote"/>
    <w:basedOn w:val="1"/>
    <w:next w:val="1"/>
    <w:link w:val="158"/>
    <w:qFormat/>
    <w:uiPriority w:val="0"/>
    <w:pPr>
      <w:spacing w:line="240" w:lineRule="auto"/>
      <w:ind w:firstLine="0" w:firstLineChars="0"/>
    </w:pPr>
    <w:rPr>
      <w:rFonts w:ascii="等线" w:hAnsi="等线" w:eastAsia="等线"/>
      <w:i/>
      <w:iCs/>
      <w:color w:val="000000"/>
      <w:sz w:val="21"/>
    </w:rPr>
  </w:style>
  <w:style w:type="character" w:customStyle="1" w:styleId="160">
    <w:name w:val="引用 字符1"/>
    <w:basedOn w:val="47"/>
    <w:qFormat/>
    <w:uiPriority w:val="99"/>
    <w:rPr>
      <w:rFonts w:ascii="Times New Roman" w:hAnsi="Times New Roman" w:eastAsia="仿宋_GB2312"/>
      <w:i/>
      <w:iCs/>
      <w:color w:val="404040" w:themeColor="text1" w:themeTint="BF"/>
      <w:kern w:val="2"/>
      <w:sz w:val="28"/>
      <w:szCs w:val="22"/>
      <w14:textFill>
        <w14:solidFill>
          <w14:schemeClr w14:val="tx1">
            <w14:lumMod w14:val="75000"/>
            <w14:lumOff w14:val="25000"/>
          </w14:schemeClr>
        </w14:solidFill>
      </w14:textFill>
    </w:rPr>
  </w:style>
  <w:style w:type="character" w:customStyle="1" w:styleId="161">
    <w:name w:val="明显参考1"/>
    <w:qFormat/>
    <w:uiPriority w:val="0"/>
    <w:rPr>
      <w:b/>
      <w:bCs/>
      <w:smallCaps/>
      <w:color w:val="C0504D"/>
      <w:spacing w:val="5"/>
      <w:u w:val="single"/>
    </w:rPr>
  </w:style>
  <w:style w:type="character" w:customStyle="1" w:styleId="162">
    <w:name w:val="layui-this"/>
    <w:qFormat/>
    <w:uiPriority w:val="0"/>
    <w:rPr>
      <w:bdr w:val="single" w:color="EEEEEE" w:sz="6" w:space="0"/>
      <w:shd w:val="clear" w:color="auto" w:fill="FFFFFF"/>
    </w:rPr>
  </w:style>
  <w:style w:type="character" w:customStyle="1" w:styleId="163">
    <w:name w:val="文档结构图 Char1"/>
    <w:qFormat/>
    <w:uiPriority w:val="0"/>
    <w:rPr>
      <w:rFonts w:ascii="宋体"/>
      <w:kern w:val="2"/>
      <w:sz w:val="18"/>
      <w:szCs w:val="18"/>
    </w:rPr>
  </w:style>
  <w:style w:type="character" w:customStyle="1" w:styleId="164">
    <w:name w:val="批注框文本 Char1"/>
    <w:qFormat/>
    <w:uiPriority w:val="0"/>
    <w:rPr>
      <w:kern w:val="2"/>
      <w:sz w:val="18"/>
      <w:szCs w:val="18"/>
    </w:rPr>
  </w:style>
  <w:style w:type="character" w:customStyle="1" w:styleId="165">
    <w:name w:val="标题4 Char Char"/>
    <w:link w:val="166"/>
    <w:qFormat/>
    <w:uiPriority w:val="0"/>
    <w:rPr>
      <w:rFonts w:ascii="Arial" w:hAnsi="Arial"/>
      <w:b/>
      <w:bCs/>
      <w:sz w:val="24"/>
      <w:szCs w:val="32"/>
    </w:rPr>
  </w:style>
  <w:style w:type="paragraph" w:customStyle="1" w:styleId="166">
    <w:name w:val="标题4"/>
    <w:basedOn w:val="3"/>
    <w:next w:val="22"/>
    <w:link w:val="165"/>
    <w:qFormat/>
    <w:uiPriority w:val="0"/>
    <w:pPr>
      <w:spacing w:line="413" w:lineRule="auto"/>
      <w:ind w:firstLine="0" w:firstLineChars="0"/>
    </w:pPr>
    <w:rPr>
      <w:rFonts w:ascii="Arial" w:hAnsi="Arial" w:eastAsia="等线"/>
      <w:sz w:val="24"/>
      <w:szCs w:val="32"/>
    </w:rPr>
  </w:style>
  <w:style w:type="character" w:customStyle="1" w:styleId="167">
    <w:name w:val="font71"/>
    <w:qFormat/>
    <w:uiPriority w:val="0"/>
    <w:rPr>
      <w:rFonts w:hint="eastAsia" w:ascii="宋体" w:hAnsi="宋体" w:eastAsia="宋体"/>
      <w:b/>
      <w:bCs/>
      <w:color w:val="000000"/>
      <w:sz w:val="20"/>
      <w:szCs w:val="20"/>
      <w:u w:val="none"/>
    </w:rPr>
  </w:style>
  <w:style w:type="character" w:customStyle="1" w:styleId="168">
    <w:name w:val="font41"/>
    <w:basedOn w:val="47"/>
    <w:qFormat/>
    <w:uiPriority w:val="0"/>
    <w:rPr>
      <w:rFonts w:hint="eastAsia" w:ascii="宋体" w:hAnsi="宋体" w:eastAsia="宋体" w:cs="宋体"/>
      <w:color w:val="000000"/>
      <w:sz w:val="20"/>
      <w:szCs w:val="20"/>
      <w:u w:val="none"/>
    </w:rPr>
  </w:style>
  <w:style w:type="paragraph" w:customStyle="1" w:styleId="169">
    <w:name w:val="CM69"/>
    <w:basedOn w:val="87"/>
    <w:next w:val="87"/>
    <w:qFormat/>
    <w:uiPriority w:val="0"/>
    <w:pPr>
      <w:spacing w:line="400" w:lineRule="atLeast"/>
    </w:pPr>
    <w:rPr>
      <w:rFonts w:cs="Times New Roman"/>
      <w:color w:val="auto"/>
    </w:rPr>
  </w:style>
  <w:style w:type="paragraph" w:customStyle="1" w:styleId="170">
    <w:name w:val="文档结构图 Char Char"/>
    <w:basedOn w:val="1"/>
    <w:qFormat/>
    <w:uiPriority w:val="0"/>
    <w:pPr>
      <w:shd w:val="clear" w:color="auto" w:fill="000080"/>
      <w:spacing w:line="240" w:lineRule="auto"/>
      <w:ind w:firstLine="0" w:firstLineChars="0"/>
    </w:pPr>
    <w:rPr>
      <w:rFonts w:hint="eastAsia" w:eastAsia="宋体"/>
      <w:sz w:val="21"/>
      <w:szCs w:val="24"/>
    </w:rPr>
  </w:style>
  <w:style w:type="paragraph" w:customStyle="1" w:styleId="171">
    <w:name w:val="Char"/>
    <w:basedOn w:val="15"/>
    <w:qFormat/>
    <w:uiPriority w:val="0"/>
    <w:pPr>
      <w:widowControl/>
      <w:shd w:val="clear" w:color="auto" w:fill="000080"/>
      <w:spacing w:line="240" w:lineRule="auto"/>
      <w:ind w:firstLine="0" w:firstLineChars="0"/>
    </w:pPr>
    <w:rPr>
      <w:rFonts w:ascii="Times New Roman" w:eastAsia="宋体"/>
      <w:sz w:val="21"/>
      <w:szCs w:val="24"/>
    </w:rPr>
  </w:style>
  <w:style w:type="paragraph" w:customStyle="1" w:styleId="172">
    <w:name w:val="Char18"/>
    <w:basedOn w:val="170"/>
    <w:qFormat/>
    <w:uiPriority w:val="0"/>
    <w:pPr>
      <w:widowControl/>
    </w:pPr>
  </w:style>
  <w:style w:type="paragraph" w:customStyle="1" w:styleId="173">
    <w:name w:val="flNote"/>
    <w:basedOn w:val="1"/>
    <w:qFormat/>
    <w:uiPriority w:val="0"/>
    <w:pPr>
      <w:adjustRightInd w:val="0"/>
      <w:spacing w:before="320" w:after="160" w:line="360" w:lineRule="atLeast"/>
      <w:ind w:firstLine="0" w:firstLineChars="0"/>
      <w:jc w:val="center"/>
      <w:textAlignment w:val="baseline"/>
    </w:pPr>
    <w:rPr>
      <w:rFonts w:ascii="Arial" w:eastAsia="黑体"/>
      <w:kern w:val="0"/>
      <w:sz w:val="30"/>
      <w:szCs w:val="20"/>
    </w:rPr>
  </w:style>
  <w:style w:type="paragraph" w:styleId="174">
    <w:name w:val="No Spacing"/>
    <w:qFormat/>
    <w:uiPriority w:val="0"/>
    <w:pPr>
      <w:widowControl w:val="0"/>
      <w:jc w:val="both"/>
    </w:pPr>
    <w:rPr>
      <w:rFonts w:ascii="Calibri" w:hAnsi="Calibri" w:eastAsia="宋体" w:cs="Times New Roman"/>
      <w:kern w:val="2"/>
      <w:sz w:val="21"/>
      <w:szCs w:val="22"/>
      <w:lang w:val="en-US" w:eastAsia="zh-CN" w:bidi="ar-SA"/>
    </w:rPr>
  </w:style>
  <w:style w:type="paragraph" w:customStyle="1" w:styleId="175">
    <w:name w:val="CM95"/>
    <w:basedOn w:val="87"/>
    <w:next w:val="87"/>
    <w:qFormat/>
    <w:uiPriority w:val="0"/>
    <w:pPr>
      <w:spacing w:after="115"/>
    </w:pPr>
    <w:rPr>
      <w:rFonts w:cs="Times New Roman"/>
      <w:color w:val="auto"/>
    </w:rPr>
  </w:style>
  <w:style w:type="paragraph" w:customStyle="1" w:styleId="176">
    <w:name w:val="Char1"/>
    <w:basedOn w:val="15"/>
    <w:qFormat/>
    <w:uiPriority w:val="0"/>
    <w:pPr>
      <w:widowControl/>
      <w:shd w:val="clear" w:color="auto" w:fill="000080"/>
      <w:spacing w:line="240" w:lineRule="auto"/>
      <w:ind w:firstLine="0" w:firstLineChars="0"/>
      <w:jc w:val="left"/>
    </w:pPr>
    <w:rPr>
      <w:rFonts w:ascii="Times New Roman" w:eastAsia="宋体"/>
      <w:sz w:val="21"/>
      <w:szCs w:val="24"/>
    </w:rPr>
  </w:style>
  <w:style w:type="paragraph" w:customStyle="1" w:styleId="177">
    <w:name w:val="CM29"/>
    <w:basedOn w:val="87"/>
    <w:next w:val="87"/>
    <w:qFormat/>
    <w:uiPriority w:val="0"/>
    <w:pPr>
      <w:spacing w:line="400" w:lineRule="atLeast"/>
    </w:pPr>
    <w:rPr>
      <w:rFonts w:cs="Times New Roman"/>
      <w:color w:val="auto"/>
    </w:rPr>
  </w:style>
  <w:style w:type="paragraph" w:customStyle="1" w:styleId="178">
    <w:name w:val="目录文字"/>
    <w:basedOn w:val="1"/>
    <w:qFormat/>
    <w:uiPriority w:val="0"/>
    <w:pPr>
      <w:widowControl/>
      <w:spacing w:line="480" w:lineRule="auto"/>
      <w:ind w:firstLine="0" w:firstLineChars="0"/>
      <w:jc w:val="left"/>
    </w:pPr>
    <w:rPr>
      <w:rFonts w:ascii="宋体" w:hAnsi="宋体" w:eastAsia="宋体"/>
      <w:kern w:val="0"/>
      <w:sz w:val="24"/>
      <w:szCs w:val="20"/>
    </w:rPr>
  </w:style>
  <w:style w:type="paragraph" w:customStyle="1" w:styleId="179">
    <w:name w:val="CM92"/>
    <w:basedOn w:val="87"/>
    <w:next w:val="87"/>
    <w:qFormat/>
    <w:uiPriority w:val="0"/>
    <w:pPr>
      <w:spacing w:after="530"/>
    </w:pPr>
    <w:rPr>
      <w:rFonts w:cs="Times New Roman"/>
      <w:color w:val="auto"/>
    </w:rPr>
  </w:style>
  <w:style w:type="paragraph" w:customStyle="1" w:styleId="180">
    <w:name w:val="CM91"/>
    <w:basedOn w:val="87"/>
    <w:next w:val="87"/>
    <w:qFormat/>
    <w:uiPriority w:val="0"/>
    <w:pPr>
      <w:spacing w:after="160"/>
    </w:pPr>
    <w:rPr>
      <w:rFonts w:cs="Times New Roman"/>
      <w:color w:val="auto"/>
    </w:rPr>
  </w:style>
  <w:style w:type="paragraph" w:customStyle="1" w:styleId="181">
    <w:name w:val="修订1"/>
    <w:qFormat/>
    <w:uiPriority w:val="0"/>
    <w:rPr>
      <w:rFonts w:ascii="Times New Roman" w:hAnsi="Times New Roman" w:eastAsia="宋体" w:cs="Times New Roman"/>
      <w:kern w:val="2"/>
      <w:sz w:val="21"/>
      <w:szCs w:val="24"/>
      <w:lang w:val="en-US" w:eastAsia="zh-CN" w:bidi="ar-SA"/>
    </w:rPr>
  </w:style>
  <w:style w:type="paragraph" w:customStyle="1" w:styleId="182">
    <w:name w:val="空半行"/>
    <w:basedOn w:val="1"/>
    <w:qFormat/>
    <w:uiPriority w:val="0"/>
    <w:pPr>
      <w:adjustRightInd w:val="0"/>
      <w:spacing w:line="120" w:lineRule="exact"/>
      <w:ind w:firstLine="0" w:firstLineChars="0"/>
      <w:textAlignment w:val="baseline"/>
    </w:pPr>
    <w:rPr>
      <w:color w:val="FFFFFF"/>
      <w:kern w:val="0"/>
      <w:sz w:val="30"/>
      <w:szCs w:val="20"/>
    </w:rPr>
  </w:style>
  <w:style w:type="paragraph" w:customStyle="1" w:styleId="183">
    <w:name w:val="样式1"/>
    <w:basedOn w:val="1"/>
    <w:qFormat/>
    <w:uiPriority w:val="0"/>
    <w:pPr>
      <w:spacing w:line="240" w:lineRule="auto"/>
      <w:ind w:firstLine="0" w:firstLineChars="0"/>
      <w:jc w:val="center"/>
    </w:pPr>
    <w:rPr>
      <w:rFonts w:eastAsia="宋体"/>
      <w:sz w:val="48"/>
      <w:szCs w:val="48"/>
    </w:rPr>
  </w:style>
  <w:style w:type="paragraph" w:customStyle="1" w:styleId="184">
    <w:name w:val="CM34"/>
    <w:basedOn w:val="87"/>
    <w:next w:val="87"/>
    <w:qFormat/>
    <w:uiPriority w:val="0"/>
    <w:pPr>
      <w:spacing w:line="398" w:lineRule="atLeast"/>
    </w:pPr>
    <w:rPr>
      <w:rFonts w:cs="Times New Roman"/>
      <w:color w:val="auto"/>
    </w:rPr>
  </w:style>
  <w:style w:type="paragraph" w:customStyle="1" w:styleId="185">
    <w:name w:val="样式 标题 3 + (中文) 黑体 小四 非加粗 段前: 7.8 磅 段后: 0 磅 行距: 固定值 20 磅"/>
    <w:basedOn w:val="4"/>
    <w:qFormat/>
    <w:uiPriority w:val="0"/>
    <w:pPr>
      <w:spacing w:before="0" w:after="0" w:line="400" w:lineRule="exact"/>
      <w:ind w:firstLine="0" w:firstLineChars="0"/>
    </w:pPr>
    <w:rPr>
      <w:rFonts w:eastAsia="黑体" w:cs="宋体"/>
      <w:b w:val="0"/>
      <w:bCs w:val="0"/>
      <w:kern w:val="2"/>
      <w:sz w:val="24"/>
      <w:szCs w:val="20"/>
    </w:rPr>
  </w:style>
  <w:style w:type="paragraph" w:customStyle="1" w:styleId="186">
    <w:name w:val="CM44"/>
    <w:basedOn w:val="87"/>
    <w:next w:val="87"/>
    <w:qFormat/>
    <w:uiPriority w:val="0"/>
    <w:pPr>
      <w:spacing w:line="440" w:lineRule="atLeast"/>
    </w:pPr>
    <w:rPr>
      <w:rFonts w:cs="Times New Roman"/>
      <w:color w:val="auto"/>
    </w:rPr>
  </w:style>
  <w:style w:type="paragraph" w:customStyle="1" w:styleId="187">
    <w:name w:val="CM23"/>
    <w:basedOn w:val="87"/>
    <w:next w:val="87"/>
    <w:qFormat/>
    <w:uiPriority w:val="0"/>
    <w:pPr>
      <w:spacing w:line="398" w:lineRule="atLeast"/>
    </w:pPr>
    <w:rPr>
      <w:rFonts w:cs="Times New Roman"/>
      <w:color w:val="auto"/>
    </w:rPr>
  </w:style>
  <w:style w:type="paragraph" w:customStyle="1" w:styleId="188">
    <w:name w:val="CM62"/>
    <w:basedOn w:val="87"/>
    <w:next w:val="87"/>
    <w:qFormat/>
    <w:uiPriority w:val="0"/>
    <w:pPr>
      <w:spacing w:line="400" w:lineRule="atLeast"/>
    </w:pPr>
    <w:rPr>
      <w:rFonts w:cs="Times New Roman"/>
      <w:color w:val="auto"/>
    </w:rPr>
  </w:style>
  <w:style w:type="paragraph" w:customStyle="1" w:styleId="189">
    <w:name w:val="正文 + 宋体"/>
    <w:basedOn w:val="1"/>
    <w:qFormat/>
    <w:uiPriority w:val="0"/>
    <w:pPr>
      <w:spacing w:line="400" w:lineRule="exact"/>
      <w:ind w:firstLine="729" w:firstLineChars="347"/>
    </w:pPr>
    <w:rPr>
      <w:rFonts w:ascii="宋体" w:hAnsi="宋体" w:eastAsia="宋体"/>
      <w:sz w:val="21"/>
      <w:szCs w:val="21"/>
    </w:rPr>
  </w:style>
  <w:style w:type="paragraph" w:customStyle="1" w:styleId="190">
    <w:name w:val="列表段落1"/>
    <w:basedOn w:val="1"/>
    <w:qFormat/>
    <w:uiPriority w:val="1"/>
    <w:pPr>
      <w:spacing w:line="240" w:lineRule="auto"/>
      <w:ind w:left="2719" w:firstLine="480" w:firstLineChars="0"/>
    </w:pPr>
    <w:rPr>
      <w:rFonts w:ascii="宋体" w:hAnsi="宋体" w:eastAsia="宋体" w:cs="宋体"/>
      <w:sz w:val="21"/>
      <w:szCs w:val="24"/>
      <w:lang w:val="zh-CN" w:bidi="zh-CN"/>
    </w:rPr>
  </w:style>
  <w:style w:type="paragraph" w:customStyle="1" w:styleId="191">
    <w:name w:val="CM26"/>
    <w:basedOn w:val="87"/>
    <w:next w:val="87"/>
    <w:qFormat/>
    <w:uiPriority w:val="0"/>
    <w:pPr>
      <w:spacing w:line="400" w:lineRule="atLeast"/>
    </w:pPr>
    <w:rPr>
      <w:rFonts w:cs="Times New Roman"/>
      <w:color w:val="auto"/>
    </w:rPr>
  </w:style>
  <w:style w:type="paragraph" w:customStyle="1" w:styleId="192">
    <w:name w:val="Char8"/>
    <w:basedOn w:val="15"/>
    <w:qFormat/>
    <w:uiPriority w:val="0"/>
    <w:pPr>
      <w:widowControl/>
      <w:shd w:val="clear" w:color="auto" w:fill="000080"/>
      <w:spacing w:line="240" w:lineRule="auto"/>
      <w:ind w:firstLine="0" w:firstLineChars="0"/>
      <w:jc w:val="left"/>
    </w:pPr>
    <w:rPr>
      <w:rFonts w:ascii="Tahoma" w:hAnsi="Tahoma" w:eastAsia="宋体" w:cs="Tahoma"/>
      <w:kern w:val="0"/>
      <w:sz w:val="24"/>
      <w:szCs w:val="24"/>
    </w:rPr>
  </w:style>
  <w:style w:type="paragraph" w:customStyle="1" w:styleId="193">
    <w:name w:val="Blockquote"/>
    <w:basedOn w:val="1"/>
    <w:qFormat/>
    <w:uiPriority w:val="0"/>
    <w:pPr>
      <w:autoSpaceDE w:val="0"/>
      <w:autoSpaceDN w:val="0"/>
      <w:adjustRightInd w:val="0"/>
      <w:spacing w:before="100" w:after="100" w:line="240" w:lineRule="auto"/>
      <w:ind w:left="360" w:right="360" w:firstLine="0" w:firstLineChars="0"/>
      <w:jc w:val="left"/>
    </w:pPr>
    <w:rPr>
      <w:rFonts w:ascii="Calibri" w:hAnsi="Calibri" w:eastAsia="宋体"/>
      <w:kern w:val="0"/>
      <w:sz w:val="32"/>
      <w:szCs w:val="20"/>
    </w:rPr>
  </w:style>
  <w:style w:type="paragraph" w:customStyle="1" w:styleId="194">
    <w:name w:val="Char19"/>
    <w:basedOn w:val="15"/>
    <w:qFormat/>
    <w:uiPriority w:val="0"/>
    <w:pPr>
      <w:widowControl/>
      <w:shd w:val="clear" w:color="auto" w:fill="000080"/>
      <w:spacing w:line="240" w:lineRule="auto"/>
      <w:ind w:firstLine="0" w:firstLineChars="0"/>
    </w:pPr>
    <w:rPr>
      <w:rFonts w:ascii="Times New Roman" w:eastAsia="宋体"/>
      <w:sz w:val="21"/>
      <w:szCs w:val="24"/>
    </w:rPr>
  </w:style>
  <w:style w:type="paragraph" w:customStyle="1" w:styleId="195">
    <w:name w:val="样式 标题 2 + Times New Roman 四号 非加粗 段前: 5 磅 段后: 0 磅 行距: 固定值 20..."/>
    <w:basedOn w:val="3"/>
    <w:qFormat/>
    <w:uiPriority w:val="0"/>
    <w:pPr>
      <w:spacing w:before="100" w:after="0" w:line="400" w:lineRule="exact"/>
      <w:ind w:firstLine="0" w:firstLineChars="0"/>
    </w:pPr>
    <w:rPr>
      <w:rFonts w:ascii="Times New Roman" w:hAnsi="Times New Roman" w:eastAsia="黑体" w:cs="宋体"/>
      <w:b w:val="0"/>
      <w:bCs w:val="0"/>
      <w:kern w:val="2"/>
      <w:szCs w:val="20"/>
    </w:rPr>
  </w:style>
  <w:style w:type="paragraph" w:customStyle="1" w:styleId="196">
    <w:name w:val="TOC 标题1"/>
    <w:basedOn w:val="2"/>
    <w:next w:val="1"/>
    <w:qFormat/>
    <w:uiPriority w:val="0"/>
    <w:pPr>
      <w:spacing w:line="576" w:lineRule="auto"/>
      <w:ind w:firstLine="0" w:firstLineChars="0"/>
      <w:outlineLvl w:val="9"/>
    </w:pPr>
    <w:rPr>
      <w:rFonts w:ascii="Calibri" w:hAnsi="Calibri" w:eastAsia="宋体"/>
    </w:rPr>
  </w:style>
  <w:style w:type="paragraph" w:customStyle="1" w:styleId="197">
    <w:name w:val="CM19"/>
    <w:basedOn w:val="87"/>
    <w:next w:val="87"/>
    <w:qFormat/>
    <w:uiPriority w:val="0"/>
    <w:pPr>
      <w:spacing w:line="398" w:lineRule="atLeast"/>
    </w:pPr>
    <w:rPr>
      <w:rFonts w:cs="Times New Roman"/>
      <w:color w:val="auto"/>
    </w:rPr>
  </w:style>
  <w:style w:type="paragraph" w:customStyle="1" w:styleId="198">
    <w:name w:val="目录"/>
    <w:basedOn w:val="1"/>
    <w:qFormat/>
    <w:uiPriority w:val="0"/>
    <w:pPr>
      <w:widowControl/>
      <w:spacing w:line="240" w:lineRule="auto"/>
      <w:ind w:firstLine="0" w:firstLineChars="0"/>
      <w:jc w:val="center"/>
    </w:pPr>
    <w:rPr>
      <w:rFonts w:ascii="宋体" w:eastAsia="宋体"/>
      <w:b/>
      <w:kern w:val="0"/>
      <w:sz w:val="36"/>
      <w:szCs w:val="20"/>
    </w:rPr>
  </w:style>
  <w:style w:type="paragraph" w:customStyle="1" w:styleId="199">
    <w:name w:val="CM56"/>
    <w:basedOn w:val="87"/>
    <w:next w:val="87"/>
    <w:qFormat/>
    <w:uiPriority w:val="0"/>
    <w:rPr>
      <w:rFonts w:cs="Times New Roman"/>
      <w:color w:val="auto"/>
    </w:rPr>
  </w:style>
  <w:style w:type="paragraph" w:customStyle="1" w:styleId="200">
    <w:name w:val="CM49"/>
    <w:basedOn w:val="87"/>
    <w:next w:val="87"/>
    <w:qFormat/>
    <w:uiPriority w:val="0"/>
    <w:pPr>
      <w:spacing w:line="440" w:lineRule="atLeast"/>
    </w:pPr>
    <w:rPr>
      <w:rFonts w:cs="Times New Roman"/>
      <w:color w:val="auto"/>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0" Type="http://schemas.openxmlformats.org/officeDocument/2006/relationships/fontTable" Target="fontTable.xml"/><Relationship Id="rId4" Type="http://schemas.openxmlformats.org/officeDocument/2006/relationships/endnotes" Target="endnotes.xml"/><Relationship Id="rId39" Type="http://schemas.openxmlformats.org/officeDocument/2006/relationships/numbering" Target="numbering.xml"/><Relationship Id="rId38" Type="http://schemas.openxmlformats.org/officeDocument/2006/relationships/image" Target="media/image2.wmf"/><Relationship Id="rId37" Type="http://schemas.openxmlformats.org/officeDocument/2006/relationships/oleObject" Target="embeddings/oleObject1.bin"/><Relationship Id="rId36" Type="http://schemas.openxmlformats.org/officeDocument/2006/relationships/image" Target="media/image1.png"/><Relationship Id="rId35" Type="http://schemas.openxmlformats.org/officeDocument/2006/relationships/theme" Target="theme/theme1.xml"/><Relationship Id="rId34" Type="http://schemas.openxmlformats.org/officeDocument/2006/relationships/footer" Target="footer12.xml"/><Relationship Id="rId33" Type="http://schemas.openxmlformats.org/officeDocument/2006/relationships/header" Target="header18.xml"/><Relationship Id="rId32" Type="http://schemas.openxmlformats.org/officeDocument/2006/relationships/footer" Target="footer11.xml"/><Relationship Id="rId31" Type="http://schemas.openxmlformats.org/officeDocument/2006/relationships/header" Target="header17.xml"/><Relationship Id="rId30" Type="http://schemas.openxmlformats.org/officeDocument/2006/relationships/header" Target="header16.xml"/><Relationship Id="rId3" Type="http://schemas.openxmlformats.org/officeDocument/2006/relationships/footnotes" Target="footnotes.xml"/><Relationship Id="rId29" Type="http://schemas.openxmlformats.org/officeDocument/2006/relationships/footer" Target="footer10.xml"/><Relationship Id="rId28" Type="http://schemas.openxmlformats.org/officeDocument/2006/relationships/header" Target="header15.xml"/><Relationship Id="rId27" Type="http://schemas.openxmlformats.org/officeDocument/2006/relationships/header" Target="header14.xml"/><Relationship Id="rId26" Type="http://schemas.openxmlformats.org/officeDocument/2006/relationships/header" Target="header13.xml"/><Relationship Id="rId25" Type="http://schemas.openxmlformats.org/officeDocument/2006/relationships/footer" Target="footer9.xml"/><Relationship Id="rId24" Type="http://schemas.openxmlformats.org/officeDocument/2006/relationships/header" Target="header12.xml"/><Relationship Id="rId23" Type="http://schemas.openxmlformats.org/officeDocument/2006/relationships/footer" Target="footer8.xml"/><Relationship Id="rId22" Type="http://schemas.openxmlformats.org/officeDocument/2006/relationships/header" Target="header11.xml"/><Relationship Id="rId21" Type="http://schemas.openxmlformats.org/officeDocument/2006/relationships/footer" Target="footer7.xml"/><Relationship Id="rId20" Type="http://schemas.openxmlformats.org/officeDocument/2006/relationships/header" Target="header10.xml"/><Relationship Id="rId2" Type="http://schemas.openxmlformats.org/officeDocument/2006/relationships/settings" Target="settings.xml"/><Relationship Id="rId19" Type="http://schemas.openxmlformats.org/officeDocument/2006/relationships/header" Target="header9.xml"/><Relationship Id="rId18" Type="http://schemas.openxmlformats.org/officeDocument/2006/relationships/footer" Target="footer6.xml"/><Relationship Id="rId17" Type="http://schemas.openxmlformats.org/officeDocument/2006/relationships/header" Target="header8.xml"/><Relationship Id="rId16" Type="http://schemas.openxmlformats.org/officeDocument/2006/relationships/footer" Target="footer5.xml"/><Relationship Id="rId15" Type="http://schemas.openxmlformats.org/officeDocument/2006/relationships/header" Target="header7.xml"/><Relationship Id="rId14" Type="http://schemas.openxmlformats.org/officeDocument/2006/relationships/footer" Target="footer4.xml"/><Relationship Id="rId13" Type="http://schemas.openxmlformats.org/officeDocument/2006/relationships/header" Target="header6.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微软中国</Company>
  <Pages>166</Pages>
  <Words>41213</Words>
  <Characters>43480</Characters>
  <Lines>700</Lines>
  <Paragraphs>197</Paragraphs>
  <TotalTime>5</TotalTime>
  <ScaleCrop>false</ScaleCrop>
  <LinksUpToDate>false</LinksUpToDate>
  <CharactersWithSpaces>43943</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2022-11-17T02:31:00Z</dcterms:created>
  <dc:creator>柯 耀辉</dc:creator>
  <cp:lastModifiedBy>__阳光未必暖人心。</cp:lastModifiedBy>
  <cp:lastPrinted>2022-11-17T00:04:00Z</cp:lastPrinted>
  <dcterms:modified xsi:type="dcterms:W3CDTF">2024-12-20T02:02:20Z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CE3E597A7AE243E2ABE4E9B5C26B2412</vt:lpwstr>
  </property>
</Properties>
</file>