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26C63">
      <w:pPr>
        <w:pStyle w:val="2"/>
        <w:spacing w:line="240" w:lineRule="auto"/>
        <w:jc w:val="center"/>
        <w:rPr>
          <w:rFonts w:ascii="宋体" w:hAnsi="宋体" w:cs="宋体"/>
          <w:sz w:val="24"/>
        </w:rPr>
      </w:pPr>
      <w:r>
        <w:rPr>
          <w:rFonts w:hint="eastAsia" w:ascii="宋体" w:hAnsi="宋体" w:cs="宋体"/>
          <w:sz w:val="24"/>
        </w:rPr>
        <w:t>采购需求</w:t>
      </w:r>
    </w:p>
    <w:p w14:paraId="414B89F2">
      <w:pPr>
        <w:pStyle w:val="3"/>
        <w:spacing w:line="360" w:lineRule="auto"/>
        <w:ind w:firstLine="482" w:firstLineChars="200"/>
        <w:rPr>
          <w:rFonts w:ascii="宋体" w:hAnsi="宋体" w:cs="宋体"/>
          <w:b/>
          <w:bCs/>
          <w:sz w:val="24"/>
        </w:rPr>
      </w:pPr>
      <w:r>
        <w:rPr>
          <w:rFonts w:hint="eastAsia" w:ascii="宋体" w:hAnsi="宋体" w:cs="宋体"/>
          <w:b/>
          <w:bCs/>
          <w:sz w:val="24"/>
        </w:rPr>
        <w:t>一、维保设备清单</w:t>
      </w:r>
    </w:p>
    <w:tbl>
      <w:tblPr>
        <w:tblStyle w:val="8"/>
        <w:tblW w:w="0" w:type="auto"/>
        <w:tblInd w:w="3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4"/>
        <w:gridCol w:w="1145"/>
        <w:gridCol w:w="2435"/>
        <w:gridCol w:w="1582"/>
        <w:gridCol w:w="1671"/>
      </w:tblGrid>
      <w:tr w14:paraId="20D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064" w:type="dxa"/>
            <w:vAlign w:val="center"/>
          </w:tcPr>
          <w:p w14:paraId="59CF363E">
            <w:pPr>
              <w:widowControl/>
              <w:spacing w:line="360" w:lineRule="auto"/>
              <w:jc w:val="center"/>
              <w:textAlignment w:val="center"/>
              <w:rPr>
                <w:rFonts w:ascii="宋体" w:hAnsi="宋体" w:eastAsia="宋体" w:cs="宋体"/>
                <w:b/>
                <w:bCs/>
                <w:color w:val="000000"/>
                <w:kern w:val="0"/>
                <w:sz w:val="24"/>
                <w:szCs w:val="20"/>
              </w:rPr>
            </w:pPr>
            <w:r>
              <w:rPr>
                <w:rFonts w:hint="eastAsia" w:ascii="宋体" w:hAnsi="宋体" w:eastAsia="宋体" w:cs="宋体"/>
                <w:b/>
                <w:bCs/>
                <w:color w:val="000000"/>
                <w:kern w:val="0"/>
                <w:sz w:val="24"/>
                <w:szCs w:val="20"/>
                <w:lang w:bidi="ar"/>
              </w:rPr>
              <w:t>设备名称</w:t>
            </w:r>
          </w:p>
        </w:tc>
        <w:tc>
          <w:tcPr>
            <w:tcW w:w="1145" w:type="dxa"/>
            <w:vAlign w:val="center"/>
          </w:tcPr>
          <w:p w14:paraId="0708B965">
            <w:pPr>
              <w:widowControl/>
              <w:spacing w:line="360" w:lineRule="auto"/>
              <w:jc w:val="center"/>
              <w:textAlignment w:val="center"/>
              <w:rPr>
                <w:rFonts w:ascii="宋体" w:hAnsi="宋体" w:eastAsia="宋体" w:cs="宋体"/>
                <w:b/>
                <w:bCs/>
                <w:color w:val="000000"/>
                <w:kern w:val="0"/>
                <w:sz w:val="24"/>
                <w:szCs w:val="20"/>
              </w:rPr>
            </w:pPr>
            <w:r>
              <w:rPr>
                <w:rFonts w:hint="eastAsia" w:ascii="宋体" w:hAnsi="宋体" w:eastAsia="宋体" w:cs="宋体"/>
                <w:b/>
                <w:bCs/>
                <w:color w:val="000000"/>
                <w:kern w:val="0"/>
                <w:sz w:val="24"/>
                <w:szCs w:val="20"/>
              </w:rPr>
              <w:t>厂家</w:t>
            </w:r>
          </w:p>
        </w:tc>
        <w:tc>
          <w:tcPr>
            <w:tcW w:w="2435" w:type="dxa"/>
            <w:vAlign w:val="center"/>
          </w:tcPr>
          <w:p w14:paraId="05F6452E">
            <w:pPr>
              <w:widowControl/>
              <w:spacing w:line="360" w:lineRule="auto"/>
              <w:jc w:val="center"/>
              <w:textAlignment w:val="center"/>
              <w:rPr>
                <w:rFonts w:ascii="宋体" w:hAnsi="宋体" w:eastAsia="宋体" w:cs="宋体"/>
                <w:b/>
                <w:bCs/>
                <w:color w:val="000000"/>
                <w:kern w:val="0"/>
                <w:sz w:val="24"/>
                <w:szCs w:val="20"/>
                <w:lang w:bidi="ar"/>
              </w:rPr>
            </w:pPr>
            <w:r>
              <w:rPr>
                <w:rFonts w:hint="eastAsia" w:ascii="宋体" w:hAnsi="宋体" w:eastAsia="宋体" w:cs="宋体"/>
                <w:b/>
                <w:bCs/>
                <w:color w:val="000000"/>
                <w:kern w:val="0"/>
                <w:sz w:val="24"/>
                <w:szCs w:val="20"/>
                <w:lang w:bidi="ar"/>
              </w:rPr>
              <w:t>型号</w:t>
            </w:r>
          </w:p>
        </w:tc>
        <w:tc>
          <w:tcPr>
            <w:tcW w:w="1582" w:type="dxa"/>
            <w:vAlign w:val="center"/>
          </w:tcPr>
          <w:p w14:paraId="1226A4E5">
            <w:pPr>
              <w:widowControl/>
              <w:spacing w:line="360" w:lineRule="auto"/>
              <w:jc w:val="center"/>
              <w:textAlignment w:val="center"/>
              <w:rPr>
                <w:rFonts w:ascii="宋体" w:hAnsi="宋体" w:eastAsia="宋体" w:cs="宋体"/>
                <w:b/>
                <w:bCs/>
                <w:color w:val="000000"/>
                <w:kern w:val="0"/>
                <w:sz w:val="24"/>
                <w:szCs w:val="20"/>
              </w:rPr>
            </w:pPr>
            <w:r>
              <w:rPr>
                <w:rFonts w:hint="eastAsia" w:ascii="宋体" w:hAnsi="宋体" w:eastAsia="宋体" w:cs="宋体"/>
                <w:b/>
                <w:bCs/>
                <w:color w:val="000000"/>
                <w:kern w:val="0"/>
                <w:sz w:val="24"/>
                <w:szCs w:val="20"/>
                <w:lang w:bidi="ar"/>
              </w:rPr>
              <w:t>数量</w:t>
            </w:r>
          </w:p>
        </w:tc>
        <w:tc>
          <w:tcPr>
            <w:tcW w:w="1671" w:type="dxa"/>
            <w:vAlign w:val="center"/>
          </w:tcPr>
          <w:p w14:paraId="3C45DAEA">
            <w:pPr>
              <w:widowControl/>
              <w:spacing w:line="360" w:lineRule="auto"/>
              <w:jc w:val="center"/>
              <w:textAlignment w:val="center"/>
              <w:rPr>
                <w:rFonts w:ascii="宋体" w:hAnsi="宋体" w:eastAsia="宋体" w:cs="宋体"/>
                <w:b/>
                <w:bCs/>
                <w:color w:val="000000"/>
                <w:kern w:val="0"/>
                <w:sz w:val="24"/>
                <w:szCs w:val="20"/>
              </w:rPr>
            </w:pPr>
            <w:r>
              <w:rPr>
                <w:rFonts w:hint="eastAsia" w:ascii="宋体" w:hAnsi="宋体" w:eastAsia="宋体" w:cs="宋体"/>
                <w:b/>
                <w:bCs/>
                <w:color w:val="000000"/>
                <w:kern w:val="0"/>
                <w:sz w:val="24"/>
                <w:szCs w:val="20"/>
              </w:rPr>
              <w:t>服务模式</w:t>
            </w:r>
          </w:p>
        </w:tc>
      </w:tr>
      <w:tr w14:paraId="20173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064" w:type="dxa"/>
            <w:vAlign w:val="center"/>
          </w:tcPr>
          <w:p w14:paraId="7F78EA6B">
            <w:pPr>
              <w:widowControl/>
              <w:spacing w:line="360" w:lineRule="auto"/>
              <w:jc w:val="center"/>
              <w:textAlignment w:val="center"/>
              <w:rPr>
                <w:rFonts w:ascii="宋体" w:hAnsi="宋体" w:eastAsia="宋体" w:cs="宋体"/>
                <w:color w:val="000000"/>
                <w:kern w:val="0"/>
                <w:sz w:val="24"/>
                <w:szCs w:val="20"/>
                <w:lang w:bidi="ar"/>
              </w:rPr>
            </w:pPr>
            <w:r>
              <w:rPr>
                <w:rFonts w:hint="eastAsia" w:ascii="宋体" w:hAnsi="宋体" w:eastAsia="宋体" w:cs="宋体"/>
                <w:color w:val="000000"/>
                <w:kern w:val="0"/>
                <w:sz w:val="24"/>
                <w:szCs w:val="20"/>
                <w:lang w:bidi="ar"/>
              </w:rPr>
              <w:t>CT</w:t>
            </w:r>
          </w:p>
        </w:tc>
        <w:tc>
          <w:tcPr>
            <w:tcW w:w="1145" w:type="dxa"/>
            <w:vAlign w:val="center"/>
          </w:tcPr>
          <w:p w14:paraId="380B497E">
            <w:pPr>
              <w:widowControl/>
              <w:spacing w:line="360" w:lineRule="auto"/>
              <w:jc w:val="center"/>
              <w:textAlignment w:val="center"/>
              <w:rPr>
                <w:rFonts w:ascii="宋体" w:hAnsi="宋体" w:eastAsia="宋体" w:cs="宋体"/>
                <w:color w:val="000000"/>
                <w:kern w:val="0"/>
                <w:sz w:val="24"/>
                <w:szCs w:val="20"/>
                <w:lang w:bidi="ar"/>
              </w:rPr>
            </w:pPr>
            <w:r>
              <w:rPr>
                <w:rFonts w:hint="eastAsia" w:ascii="宋体" w:hAnsi="宋体" w:eastAsia="宋体" w:cs="宋体"/>
                <w:color w:val="000000"/>
                <w:kern w:val="0"/>
                <w:sz w:val="24"/>
                <w:szCs w:val="20"/>
                <w:lang w:bidi="ar"/>
              </w:rPr>
              <w:t>GE</w:t>
            </w:r>
          </w:p>
        </w:tc>
        <w:tc>
          <w:tcPr>
            <w:tcW w:w="2435" w:type="dxa"/>
            <w:vAlign w:val="center"/>
          </w:tcPr>
          <w:p w14:paraId="2FC7C96E">
            <w:pPr>
              <w:widowControl/>
              <w:spacing w:line="360" w:lineRule="auto"/>
              <w:jc w:val="center"/>
              <w:textAlignment w:val="center"/>
              <w:rPr>
                <w:rFonts w:ascii="宋体" w:hAnsi="宋体" w:eastAsia="宋体" w:cs="宋体"/>
                <w:color w:val="000000"/>
                <w:kern w:val="0"/>
                <w:sz w:val="24"/>
                <w:szCs w:val="20"/>
                <w:lang w:bidi="ar"/>
              </w:rPr>
            </w:pPr>
            <w:r>
              <w:rPr>
                <w:rFonts w:hint="eastAsia" w:ascii="宋体" w:hAnsi="宋体" w:eastAsia="宋体" w:cs="宋体"/>
                <w:color w:val="000000"/>
                <w:kern w:val="0"/>
                <w:sz w:val="24"/>
                <w:szCs w:val="20"/>
                <w:lang w:bidi="ar"/>
              </w:rPr>
              <w:t>Optima660</w:t>
            </w:r>
          </w:p>
        </w:tc>
        <w:tc>
          <w:tcPr>
            <w:tcW w:w="1582" w:type="dxa"/>
            <w:vAlign w:val="center"/>
          </w:tcPr>
          <w:p w14:paraId="7884F5F0">
            <w:pPr>
              <w:widowControl/>
              <w:spacing w:line="360" w:lineRule="auto"/>
              <w:jc w:val="center"/>
              <w:textAlignment w:val="center"/>
              <w:rPr>
                <w:rFonts w:ascii="宋体" w:hAnsi="宋体" w:eastAsia="宋体" w:cs="宋体"/>
                <w:color w:val="000000"/>
                <w:kern w:val="0"/>
                <w:sz w:val="24"/>
                <w:szCs w:val="20"/>
                <w:lang w:bidi="ar"/>
              </w:rPr>
            </w:pPr>
            <w:r>
              <w:rPr>
                <w:rFonts w:hint="eastAsia" w:ascii="宋体" w:hAnsi="宋体" w:eastAsia="宋体" w:cs="宋体"/>
                <w:color w:val="000000"/>
                <w:kern w:val="0"/>
                <w:sz w:val="24"/>
                <w:szCs w:val="20"/>
                <w:lang w:bidi="ar"/>
              </w:rPr>
              <w:t>1</w:t>
            </w:r>
          </w:p>
        </w:tc>
        <w:tc>
          <w:tcPr>
            <w:tcW w:w="1671" w:type="dxa"/>
            <w:vAlign w:val="center"/>
          </w:tcPr>
          <w:p w14:paraId="49D15712">
            <w:pPr>
              <w:widowControl/>
              <w:spacing w:line="360" w:lineRule="auto"/>
              <w:jc w:val="center"/>
              <w:textAlignment w:val="center"/>
              <w:rPr>
                <w:rFonts w:ascii="宋体" w:hAnsi="宋体" w:eastAsia="宋体" w:cs="宋体"/>
                <w:color w:val="000000"/>
                <w:kern w:val="0"/>
                <w:sz w:val="24"/>
                <w:szCs w:val="20"/>
                <w:lang w:bidi="ar"/>
              </w:rPr>
            </w:pPr>
            <w:r>
              <w:rPr>
                <w:rFonts w:hint="eastAsia" w:ascii="宋体" w:hAnsi="宋体" w:eastAsia="宋体" w:cs="宋体"/>
                <w:color w:val="000000"/>
                <w:kern w:val="0"/>
                <w:sz w:val="24"/>
                <w:szCs w:val="20"/>
                <w:lang w:bidi="ar"/>
              </w:rPr>
              <w:t>全保</w:t>
            </w:r>
          </w:p>
        </w:tc>
      </w:tr>
    </w:tbl>
    <w:p w14:paraId="425809B0">
      <w:pPr>
        <w:pStyle w:val="3"/>
        <w:spacing w:line="360" w:lineRule="auto"/>
        <w:ind w:firstLine="482" w:firstLineChars="200"/>
        <w:rPr>
          <w:rFonts w:ascii="宋体" w:hAnsi="宋体" w:cs="宋体"/>
          <w:b/>
          <w:bCs/>
          <w:sz w:val="24"/>
        </w:rPr>
      </w:pPr>
      <w:r>
        <w:rPr>
          <w:rFonts w:hint="eastAsia" w:ascii="宋体" w:hAnsi="宋体" w:cs="宋体"/>
          <w:b/>
          <w:bCs/>
          <w:sz w:val="24"/>
        </w:rPr>
        <w:t>二、服务内容：</w:t>
      </w:r>
    </w:p>
    <w:p w14:paraId="0FFDD108">
      <w:pPr>
        <w:numPr>
          <w:ilvl w:val="0"/>
          <w:numId w:val="1"/>
        </w:numPr>
        <w:spacing w:line="360" w:lineRule="auto"/>
        <w:rPr>
          <w:rFonts w:ascii="宋体" w:hAnsi="宋体" w:cs="宋体"/>
          <w:sz w:val="24"/>
        </w:rPr>
      </w:pPr>
      <w:r>
        <w:rPr>
          <w:rFonts w:hint="eastAsia" w:ascii="宋体" w:hAnsi="宋体" w:cs="宋体"/>
          <w:sz w:val="24"/>
        </w:rPr>
        <w:t>服务模式：</w:t>
      </w:r>
    </w:p>
    <w:p w14:paraId="2F289B00">
      <w:pPr>
        <w:spacing w:line="360" w:lineRule="auto"/>
        <w:ind w:left="400"/>
        <w:rPr>
          <w:rFonts w:ascii="宋体" w:hAnsi="宋体" w:cs="宋体"/>
          <w:sz w:val="24"/>
        </w:rPr>
      </w:pPr>
      <w:r>
        <w:rPr>
          <w:rFonts w:hint="eastAsia" w:ascii="宋体" w:hAnsi="宋体" w:cs="宋体"/>
          <w:sz w:val="24"/>
        </w:rPr>
        <w:t>1</w:t>
      </w:r>
      <w:r>
        <w:rPr>
          <w:rFonts w:ascii="宋体" w:hAnsi="宋体" w:cs="宋体"/>
          <w:sz w:val="24"/>
        </w:rPr>
        <w:t>.</w:t>
      </w:r>
      <w:r>
        <w:rPr>
          <w:rFonts w:hint="eastAsia" w:ascii="宋体" w:hAnsi="宋体" w:cs="宋体"/>
          <w:sz w:val="24"/>
        </w:rPr>
        <w:t>★对维保范围内设备提供整机（含工作站）维修、保养、巡检服务, 包含维修、保养过程中无限次人工维修和无限次零备件更换。保证更换的球管、零配件为原厂全新球管及零配件</w:t>
      </w:r>
      <w:r>
        <w:rPr>
          <w:rFonts w:ascii="宋体" w:hAnsi="宋体" w:cs="宋体"/>
          <w:sz w:val="24"/>
        </w:rPr>
        <w:t>。</w:t>
      </w:r>
    </w:p>
    <w:p w14:paraId="155A3DBF">
      <w:pPr>
        <w:numPr>
          <w:ilvl w:val="0"/>
          <w:numId w:val="1"/>
        </w:numPr>
        <w:spacing w:line="360" w:lineRule="auto"/>
        <w:rPr>
          <w:rFonts w:ascii="宋体" w:hAnsi="宋体" w:cs="宋体"/>
          <w:sz w:val="24"/>
        </w:rPr>
      </w:pPr>
      <w:r>
        <w:rPr>
          <w:rFonts w:hint="eastAsia" w:ascii="宋体" w:hAnsi="宋体" w:cs="宋体"/>
          <w:sz w:val="24"/>
        </w:rPr>
        <w:t>设备维修要求</w:t>
      </w:r>
    </w:p>
    <w:p w14:paraId="58825381">
      <w:pPr>
        <w:numPr>
          <w:ilvl w:val="0"/>
          <w:numId w:val="2"/>
        </w:numPr>
        <w:spacing w:line="360" w:lineRule="auto"/>
        <w:ind w:firstLine="480" w:firstLineChars="200"/>
        <w:rPr>
          <w:rFonts w:ascii="宋体" w:hAnsi="宋体" w:cs="宋体"/>
          <w:sz w:val="24"/>
        </w:rPr>
      </w:pPr>
      <w:r>
        <w:rPr>
          <w:rFonts w:hint="eastAsia" w:ascii="宋体" w:hAnsi="宋体" w:cs="宋体"/>
          <w:sz w:val="24"/>
        </w:rPr>
        <w:t>为医院提供专业而便捷的维修服务，以最大化缩短采购方医疗设备不必要的停机时间，以更好地为患者提供优良的医疗服务，维保方必须具备客户服务专线电话。</w:t>
      </w:r>
    </w:p>
    <w:p w14:paraId="18B3D984">
      <w:pPr>
        <w:numPr>
          <w:ilvl w:val="0"/>
          <w:numId w:val="2"/>
        </w:numPr>
        <w:spacing w:line="360" w:lineRule="auto"/>
        <w:ind w:firstLine="480" w:firstLineChars="200"/>
        <w:rPr>
          <w:rFonts w:ascii="宋体" w:hAnsi="宋体" w:cs="宋体"/>
          <w:sz w:val="24"/>
        </w:rPr>
      </w:pPr>
      <w:r>
        <w:rPr>
          <w:rFonts w:hint="eastAsia" w:ascii="宋体" w:hAnsi="宋体" w:cs="宋体"/>
          <w:sz w:val="24"/>
        </w:rPr>
        <w:t>维修服务：提供不限次数的现场故障维修、远程故障诊断服务。</w:t>
      </w:r>
    </w:p>
    <w:p w14:paraId="571EE126">
      <w:pPr>
        <w:numPr>
          <w:ilvl w:val="0"/>
          <w:numId w:val="2"/>
        </w:numPr>
        <w:spacing w:line="360" w:lineRule="auto"/>
        <w:rPr>
          <w:rFonts w:ascii="宋体" w:hAnsi="宋体" w:cs="宋体"/>
          <w:sz w:val="24"/>
        </w:rPr>
      </w:pPr>
      <w:r>
        <w:rPr>
          <w:rFonts w:hint="eastAsia" w:ascii="宋体" w:hAnsi="宋体" w:cs="宋体"/>
          <w:sz w:val="24"/>
        </w:rPr>
        <w:t>★响应时间：接到报修后立即响应，最长不超</w:t>
      </w:r>
      <w:r>
        <w:rPr>
          <w:rFonts w:ascii="宋体" w:hAnsi="宋体" w:cs="宋体"/>
          <w:sz w:val="24"/>
        </w:rPr>
        <w:t>30分钟</w:t>
      </w:r>
      <w:r>
        <w:rPr>
          <w:rFonts w:hint="eastAsia" w:ascii="宋体" w:hAnsi="宋体" w:cs="宋体"/>
          <w:sz w:val="24"/>
        </w:rPr>
        <w:t>，</w:t>
      </w:r>
      <w:r>
        <w:rPr>
          <w:rFonts w:ascii="宋体" w:hAnsi="宋体" w:cs="宋体"/>
          <w:sz w:val="24"/>
        </w:rPr>
        <w:t>24小时到达现场，24*365全天维修响应及线上技术支持，能够提供突发性问题的解决措施及特殊紧急的合理化处理措施。</w:t>
      </w:r>
    </w:p>
    <w:p w14:paraId="73D7B95E">
      <w:pPr>
        <w:pStyle w:val="16"/>
        <w:numPr>
          <w:ilvl w:val="0"/>
          <w:numId w:val="2"/>
        </w:numPr>
        <w:ind w:firstLineChars="0"/>
        <w:rPr>
          <w:rFonts w:ascii="宋体" w:hAnsi="宋体" w:cs="宋体"/>
          <w:sz w:val="24"/>
          <w14:ligatures w14:val="none"/>
        </w:rPr>
      </w:pPr>
      <w:r>
        <w:rPr>
          <w:rFonts w:hint="eastAsia" w:ascii="宋体" w:hAnsi="宋体" w:cs="宋体"/>
          <w:sz w:val="24"/>
          <w14:ligatures w14:val="none"/>
        </w:rPr>
        <w:t>维保范围内包含的所有部件免费维修和更换必须是该设备对应的备件，如故障配件需维修的必须与甲方充分沟通并获得同意后方可维修，并留存维修工单。</w:t>
      </w:r>
    </w:p>
    <w:p w14:paraId="44A4823C">
      <w:pPr>
        <w:numPr>
          <w:ilvl w:val="0"/>
          <w:numId w:val="2"/>
        </w:numPr>
        <w:spacing w:line="360" w:lineRule="auto"/>
        <w:ind w:firstLine="480" w:firstLineChars="200"/>
        <w:rPr>
          <w:rFonts w:ascii="宋体" w:hAnsi="宋体" w:cs="宋体"/>
          <w:sz w:val="24"/>
        </w:rPr>
      </w:pPr>
      <w:r>
        <w:rPr>
          <w:rFonts w:hint="eastAsia" w:ascii="宋体" w:hAnsi="宋体" w:cs="宋体"/>
          <w:sz w:val="24"/>
        </w:rPr>
        <w:t>故障记录要求：每一次设备维修，要对故障进行记录并进行分析（记录内容包括但不限于设备老化磨损故障、电路故障、设备软件故障、机械故障），并及时报告设备科和使用人员减少该类故障的设备操作流程。</w:t>
      </w:r>
    </w:p>
    <w:p w14:paraId="53111F8E">
      <w:pPr>
        <w:numPr>
          <w:ilvl w:val="0"/>
          <w:numId w:val="2"/>
        </w:numPr>
        <w:spacing w:line="360" w:lineRule="auto"/>
        <w:rPr>
          <w:rFonts w:ascii="宋体" w:hAnsi="宋体" w:cs="宋体"/>
          <w:sz w:val="24"/>
        </w:rPr>
      </w:pPr>
      <w:r>
        <w:rPr>
          <w:rFonts w:hint="eastAsia" w:ascii="宋体" w:hAnsi="宋体" w:cs="宋体"/>
          <w:sz w:val="24"/>
        </w:rPr>
        <w:t>★维修及时性：无需更换配件的维修，保证24小时内完成修复；若需更换配件，配件（含球管）到达医院的时间最长不超过</w:t>
      </w:r>
      <w:r>
        <w:rPr>
          <w:rFonts w:ascii="宋体" w:hAnsi="宋体" w:cs="宋体"/>
          <w:sz w:val="24"/>
        </w:rPr>
        <w:t>36小时</w:t>
      </w:r>
      <w:r>
        <w:rPr>
          <w:rFonts w:hint="eastAsia" w:ascii="宋体" w:hAnsi="宋体" w:cs="宋体"/>
          <w:sz w:val="24"/>
        </w:rPr>
        <w:t>，收到配件后不超过48小时完成修复。每次维修完成后，需由设备负责人、工程师共同签字验收，并提交维修服务单。</w:t>
      </w:r>
    </w:p>
    <w:p w14:paraId="544501C6">
      <w:pPr>
        <w:numPr>
          <w:ilvl w:val="0"/>
          <w:numId w:val="2"/>
        </w:numPr>
        <w:spacing w:line="360" w:lineRule="auto"/>
        <w:ind w:firstLine="480" w:firstLineChars="200"/>
        <w:rPr>
          <w:rFonts w:ascii="宋体" w:hAnsi="宋体" w:cs="宋体"/>
          <w:sz w:val="24"/>
        </w:rPr>
      </w:pPr>
      <w:r>
        <w:rPr>
          <w:rFonts w:hint="eastAsia" w:ascii="宋体" w:hAnsi="宋体" w:cs="宋体"/>
          <w:sz w:val="24"/>
        </w:rPr>
        <w:t>★服务质量：每次完成服务后，保证图像质量符合临床诊断要求。工作报告需设备管理员签字认可。图像质量不满足诊断要求时，将继续修复。</w:t>
      </w:r>
    </w:p>
    <w:p w14:paraId="1D1E8285">
      <w:pPr>
        <w:pStyle w:val="16"/>
        <w:numPr>
          <w:ilvl w:val="0"/>
          <w:numId w:val="2"/>
        </w:numPr>
        <w:ind w:firstLineChars="0"/>
        <w:rPr>
          <w:rFonts w:ascii="宋体" w:hAnsi="宋体" w:cs="宋体"/>
          <w:sz w:val="24"/>
          <w14:ligatures w14:val="none"/>
        </w:rPr>
      </w:pPr>
      <w:r>
        <w:rPr>
          <w:rFonts w:hint="eastAsia" w:ascii="宋体" w:hAnsi="宋体" w:cs="宋体"/>
          <w:sz w:val="24"/>
          <w14:ligatures w14:val="none"/>
        </w:rPr>
        <w:t>在保修期内，保证</w:t>
      </w:r>
      <w:r>
        <w:rPr>
          <w:rFonts w:ascii="宋体" w:hAnsi="宋体" w:cs="宋体"/>
          <w:sz w:val="24"/>
          <w14:ligatures w14:val="none"/>
        </w:rPr>
        <w:t>GE CT Optima660全年的正常使用时间不低于97%(365x97%=354天)，一年内停机天数累积不超11天</w:t>
      </w:r>
      <w:r>
        <w:rPr>
          <w:rFonts w:hint="eastAsia" w:ascii="宋体" w:hAnsi="宋体" w:cs="宋体"/>
          <w:sz w:val="24"/>
          <w14:ligatures w14:val="none"/>
        </w:rPr>
        <w:t>，每季度开机率不低于9</w:t>
      </w:r>
      <w:r>
        <w:rPr>
          <w:rFonts w:ascii="宋体" w:hAnsi="宋体" w:cs="宋体"/>
          <w:sz w:val="24"/>
          <w14:ligatures w14:val="none"/>
        </w:rPr>
        <w:t>5%</w:t>
      </w:r>
      <w:r>
        <w:rPr>
          <w:rFonts w:hint="eastAsia" w:ascii="宋体" w:hAnsi="宋体" w:cs="宋体"/>
          <w:sz w:val="24"/>
          <w14:ligatures w14:val="none"/>
        </w:rPr>
        <w:t>，如有不足时需通过延长服务期补足，每超过</w:t>
      </w:r>
      <w:r>
        <w:rPr>
          <w:rFonts w:ascii="宋体" w:hAnsi="宋体" w:cs="宋体"/>
          <w:sz w:val="24"/>
          <w14:ligatures w14:val="none"/>
        </w:rPr>
        <w:t>1天，免费服务期延长10天</w:t>
      </w:r>
      <w:r>
        <w:rPr>
          <w:rFonts w:hint="eastAsia" w:ascii="宋体" w:hAnsi="宋体" w:cs="宋体"/>
          <w:sz w:val="24"/>
          <w14:ligatures w14:val="none"/>
        </w:rPr>
        <w:t>，设备维修好后推迟一个月付款</w:t>
      </w:r>
      <w:r>
        <w:rPr>
          <w:rFonts w:ascii="宋体" w:hAnsi="宋体" w:cs="宋体"/>
          <w:sz w:val="24"/>
          <w14:ligatures w14:val="none"/>
        </w:rPr>
        <w:t>。</w:t>
      </w:r>
    </w:p>
    <w:p w14:paraId="01C4E0B7">
      <w:pPr>
        <w:numPr>
          <w:ilvl w:val="0"/>
          <w:numId w:val="1"/>
        </w:numPr>
        <w:spacing w:line="360" w:lineRule="auto"/>
        <w:rPr>
          <w:rFonts w:ascii="宋体" w:hAnsi="宋体" w:cs="宋体"/>
          <w:sz w:val="24"/>
        </w:rPr>
      </w:pPr>
      <w:r>
        <w:rPr>
          <w:rFonts w:hint="eastAsia" w:ascii="宋体" w:hAnsi="宋体" w:cs="宋体"/>
          <w:sz w:val="24"/>
        </w:rPr>
        <w:t>设备保养、巡检要求：</w:t>
      </w:r>
    </w:p>
    <w:p w14:paraId="666B9807">
      <w:pPr>
        <w:numPr>
          <w:ilvl w:val="0"/>
          <w:numId w:val="3"/>
        </w:numPr>
        <w:spacing w:line="360" w:lineRule="auto"/>
        <w:ind w:firstLine="480" w:firstLineChars="200"/>
        <w:rPr>
          <w:rFonts w:ascii="宋体" w:hAnsi="宋体" w:cs="宋体"/>
          <w:sz w:val="24"/>
        </w:rPr>
      </w:pPr>
      <w:r>
        <w:rPr>
          <w:rFonts w:hint="eastAsia" w:ascii="宋体" w:hAnsi="宋体" w:cs="宋体"/>
          <w:sz w:val="24"/>
        </w:rPr>
        <w:t>每年度定期保养，并提供书面保养报告。维保方制定保养计划，提供每年不少于4次的现场保养等服务，工程师需在预期保养之前一周内通知医院相关联系人。</w:t>
      </w:r>
    </w:p>
    <w:p w14:paraId="25AF4809">
      <w:pPr>
        <w:numPr>
          <w:ilvl w:val="0"/>
          <w:numId w:val="3"/>
        </w:numPr>
        <w:spacing w:line="360" w:lineRule="auto"/>
        <w:ind w:firstLine="480" w:firstLineChars="200"/>
        <w:rPr>
          <w:rFonts w:ascii="宋体" w:hAnsi="宋体" w:cs="宋体"/>
          <w:sz w:val="24"/>
        </w:rPr>
      </w:pPr>
      <w:r>
        <w:rPr>
          <w:rFonts w:hint="eastAsia" w:ascii="宋体" w:hAnsi="宋体" w:cs="宋体"/>
          <w:sz w:val="24"/>
        </w:rPr>
        <w:t>影像类设备保养服务内容包括但不限于系统性能的安全检查和精细保养、图像质量检查、设备校准、性能测试和调整、必要的机械或电气检查，非紧急性质的预防性维护以及设备清洁，以及确保系统能按照制造商的产品规格进行的其他维护。</w:t>
      </w:r>
    </w:p>
    <w:p w14:paraId="0EF12E0E">
      <w:pPr>
        <w:numPr>
          <w:ilvl w:val="0"/>
          <w:numId w:val="3"/>
        </w:numPr>
        <w:spacing w:line="360" w:lineRule="auto"/>
        <w:ind w:firstLine="480" w:firstLineChars="200"/>
        <w:rPr>
          <w:rFonts w:ascii="宋体" w:hAnsi="宋体" w:cs="宋体"/>
          <w:sz w:val="24"/>
        </w:rPr>
      </w:pPr>
      <w:r>
        <w:rPr>
          <w:rFonts w:hint="eastAsia" w:ascii="宋体" w:hAnsi="宋体" w:cs="宋体"/>
          <w:sz w:val="24"/>
        </w:rPr>
        <w:t>提供每次《设备保养维修单》，汇总年度设备维修概况及《设备年度运行报告》，优化服务方案，提供最佳服务保障建议，以便院方清晰的了解设备运行的情况。</w:t>
      </w:r>
    </w:p>
    <w:p w14:paraId="00CD85BA">
      <w:pPr>
        <w:numPr>
          <w:ilvl w:val="0"/>
          <w:numId w:val="3"/>
        </w:numPr>
        <w:spacing w:line="360" w:lineRule="auto"/>
        <w:ind w:firstLine="480" w:firstLineChars="200"/>
        <w:rPr>
          <w:rFonts w:ascii="宋体" w:hAnsi="宋体" w:cs="宋体"/>
          <w:sz w:val="24"/>
        </w:rPr>
      </w:pPr>
      <w:r>
        <w:rPr>
          <w:rFonts w:hint="eastAsia" w:ascii="宋体" w:hAnsi="宋体" w:cs="宋体"/>
          <w:sz w:val="24"/>
        </w:rPr>
        <w:t>每季度完成1次医疗设备的巡检、记录、汇总分析。做好仪器设备的外观和外接线路安全排查，把一些故障排除在萌芽状态，保证仪器设备的安全、稳定运行，延长使用寿命。同时做好巡检记录，评价好维保效果。</w:t>
      </w:r>
    </w:p>
    <w:p w14:paraId="4E8F7527">
      <w:pPr>
        <w:numPr>
          <w:ilvl w:val="0"/>
          <w:numId w:val="3"/>
        </w:numPr>
        <w:spacing w:line="360" w:lineRule="auto"/>
        <w:ind w:firstLine="480" w:firstLineChars="200"/>
        <w:rPr>
          <w:rFonts w:ascii="宋体" w:hAnsi="宋体" w:cs="宋体"/>
          <w:sz w:val="24"/>
        </w:rPr>
      </w:pPr>
      <w:r>
        <w:rPr>
          <w:rFonts w:hint="eastAsia" w:ascii="宋体" w:hAnsi="宋体" w:cs="宋体"/>
          <w:sz w:val="24"/>
        </w:rPr>
        <w:t>定期巡检内容包括对设备的运行情况、磨损和老化程度进行检查，以发现设备存在的隐患，及时进行维修。</w:t>
      </w:r>
    </w:p>
    <w:p w14:paraId="00EAFD52">
      <w:pPr>
        <w:numPr>
          <w:ilvl w:val="0"/>
          <w:numId w:val="3"/>
        </w:numPr>
        <w:spacing w:line="360" w:lineRule="auto"/>
        <w:ind w:firstLine="480" w:firstLineChars="200"/>
        <w:rPr>
          <w:rFonts w:ascii="宋体" w:hAnsi="宋体" w:cs="宋体"/>
          <w:sz w:val="24"/>
        </w:rPr>
      </w:pPr>
      <w:r>
        <w:rPr>
          <w:rFonts w:hint="eastAsia" w:ascii="宋体" w:hAnsi="宋体" w:cs="宋体"/>
          <w:sz w:val="24"/>
        </w:rPr>
        <w:t>检查设备的运行状况并填写《设备巡检记录单》，由使用科室签字确认存档。</w:t>
      </w:r>
    </w:p>
    <w:p w14:paraId="47F766DF">
      <w:pPr>
        <w:numPr>
          <w:ilvl w:val="0"/>
          <w:numId w:val="3"/>
        </w:numPr>
        <w:spacing w:line="360" w:lineRule="auto"/>
        <w:ind w:firstLine="480" w:firstLineChars="200"/>
        <w:rPr>
          <w:rFonts w:ascii="宋体" w:hAnsi="宋体" w:cs="宋体"/>
          <w:sz w:val="24"/>
        </w:rPr>
      </w:pPr>
      <w:r>
        <w:rPr>
          <w:rFonts w:hint="eastAsia" w:ascii="宋体" w:hAnsi="宋体" w:cs="宋体"/>
          <w:sz w:val="24"/>
        </w:rPr>
        <w:t>提供年度保养服务总结报告。</w:t>
      </w:r>
    </w:p>
    <w:p w14:paraId="1E8E867C">
      <w:pPr>
        <w:numPr>
          <w:ilvl w:val="0"/>
          <w:numId w:val="1"/>
        </w:numPr>
        <w:spacing w:line="360" w:lineRule="auto"/>
        <w:rPr>
          <w:rFonts w:ascii="宋体" w:hAnsi="宋体" w:cs="宋体"/>
          <w:sz w:val="24"/>
        </w:rPr>
      </w:pPr>
      <w:r>
        <w:rPr>
          <w:rFonts w:hint="eastAsia" w:ascii="宋体" w:hAnsi="宋体" w:cs="宋体"/>
          <w:sz w:val="24"/>
        </w:rPr>
        <w:t>合同期内，每年至少提供 1 次相关培训。</w:t>
      </w:r>
    </w:p>
    <w:p w14:paraId="473A7EC4">
      <w:pPr>
        <w:numPr>
          <w:ilvl w:val="0"/>
          <w:numId w:val="1"/>
        </w:numPr>
        <w:spacing w:line="360" w:lineRule="auto"/>
        <w:rPr>
          <w:rFonts w:ascii="宋体" w:hAnsi="宋体" w:cs="宋体"/>
          <w:sz w:val="24"/>
        </w:rPr>
      </w:pPr>
      <w:r>
        <w:rPr>
          <w:rFonts w:hint="eastAsia" w:ascii="宋体" w:hAnsi="宋体" w:cs="宋体"/>
          <w:sz w:val="24"/>
        </w:rPr>
        <w:t>零备件储备：</w:t>
      </w:r>
    </w:p>
    <w:p w14:paraId="604C1DEB">
      <w:pPr>
        <w:numPr>
          <w:ilvl w:val="0"/>
          <w:numId w:val="4"/>
        </w:numPr>
        <w:spacing w:line="360" w:lineRule="auto"/>
        <w:ind w:firstLine="480" w:firstLineChars="200"/>
        <w:rPr>
          <w:rFonts w:ascii="宋体" w:hAnsi="宋体" w:cs="宋体"/>
          <w:sz w:val="24"/>
        </w:rPr>
      </w:pPr>
      <w:r>
        <w:rPr>
          <w:rFonts w:hint="eastAsia" w:ascii="宋体" w:hAnsi="宋体" w:cs="宋体"/>
          <w:sz w:val="24"/>
        </w:rPr>
        <w:t>★在国内设有专门的零备件仓库，并提供备件库证明，须提供详细文字和图片等说明文件以供采购方核实。</w:t>
      </w:r>
    </w:p>
    <w:p w14:paraId="759E2A56">
      <w:pPr>
        <w:numPr>
          <w:ilvl w:val="0"/>
          <w:numId w:val="1"/>
        </w:numPr>
        <w:spacing w:line="360" w:lineRule="auto"/>
        <w:rPr>
          <w:rFonts w:ascii="宋体" w:hAnsi="宋体" w:cs="宋体"/>
          <w:sz w:val="24"/>
        </w:rPr>
      </w:pPr>
      <w:r>
        <w:rPr>
          <w:rFonts w:hint="eastAsia" w:ascii="宋体" w:hAnsi="宋体" w:cs="宋体"/>
          <w:sz w:val="24"/>
        </w:rPr>
        <w:t>其他要求：</w:t>
      </w:r>
    </w:p>
    <w:p w14:paraId="640DF848">
      <w:pPr>
        <w:numPr>
          <w:ilvl w:val="0"/>
          <w:numId w:val="5"/>
        </w:numPr>
        <w:spacing w:line="360" w:lineRule="auto"/>
        <w:ind w:firstLine="480" w:firstLineChars="200"/>
        <w:rPr>
          <w:rFonts w:ascii="宋体" w:hAnsi="宋体" w:cs="宋体"/>
          <w:sz w:val="24"/>
          <w:lang w:val="zh-TW" w:eastAsia="zh-TW"/>
        </w:rPr>
      </w:pPr>
      <w:r>
        <w:rPr>
          <w:rFonts w:hint="eastAsia" w:ascii="宋体" w:hAnsi="宋体" w:cs="宋体"/>
          <w:sz w:val="24"/>
        </w:rPr>
        <w:t>★维保方</w:t>
      </w:r>
      <w:r>
        <w:rPr>
          <w:rFonts w:hint="eastAsia" w:ascii="宋体" w:hAnsi="宋体" w:cs="宋体"/>
          <w:sz w:val="24"/>
          <w:lang w:val="zh-TW" w:eastAsia="zh-TW"/>
        </w:rPr>
        <w:t>具备《辐射安全许可证》</w:t>
      </w:r>
    </w:p>
    <w:p w14:paraId="58E60E8C">
      <w:pPr>
        <w:numPr>
          <w:ilvl w:val="0"/>
          <w:numId w:val="5"/>
        </w:numPr>
        <w:spacing w:line="360" w:lineRule="auto"/>
        <w:ind w:firstLine="480" w:firstLineChars="200"/>
        <w:rPr>
          <w:rFonts w:ascii="宋体" w:hAnsi="宋体" w:cs="宋体"/>
          <w:sz w:val="24"/>
          <w:lang w:val="zh-TW" w:eastAsia="zh-TW"/>
        </w:rPr>
      </w:pPr>
      <w:r>
        <w:rPr>
          <w:rFonts w:hint="eastAsia" w:ascii="宋体" w:hAnsi="宋体" w:cs="宋体"/>
          <w:sz w:val="24"/>
        </w:rPr>
        <w:t>★</w:t>
      </w:r>
      <w:r>
        <w:rPr>
          <w:rFonts w:hint="eastAsia" w:ascii="宋体" w:hAnsi="宋体" w:cs="宋体"/>
          <w:sz w:val="24"/>
          <w:lang w:val="zh-TW"/>
        </w:rPr>
        <w:t>需提供3名工程师资质，</w:t>
      </w:r>
      <w:r>
        <w:rPr>
          <w:rFonts w:hint="eastAsia" w:ascii="宋体" w:hAnsi="宋体" w:cs="宋体"/>
          <w:sz w:val="24"/>
          <w:lang w:val="zh-TW" w:eastAsia="zh-TW"/>
        </w:rPr>
        <w:t>工程师</w:t>
      </w:r>
      <w:r>
        <w:rPr>
          <w:rFonts w:hint="eastAsia" w:ascii="宋体" w:hAnsi="宋体" w:cs="宋体"/>
          <w:sz w:val="24"/>
          <w:lang w:val="zh-TW"/>
        </w:rPr>
        <w:t>要求</w:t>
      </w:r>
      <w:r>
        <w:rPr>
          <w:rFonts w:hint="eastAsia" w:ascii="宋体" w:hAnsi="宋体" w:cs="宋体"/>
          <w:sz w:val="24"/>
          <w:lang w:val="zh-TW" w:eastAsia="zh-TW"/>
        </w:rPr>
        <w:t>原厂培训</w:t>
      </w:r>
      <w:r>
        <w:rPr>
          <w:rFonts w:hint="eastAsia" w:ascii="宋体" w:hAnsi="宋体" w:cs="宋体"/>
          <w:sz w:val="24"/>
          <w:lang w:val="zh-TW"/>
        </w:rPr>
        <w:t>证</w:t>
      </w:r>
      <w:r>
        <w:rPr>
          <w:rFonts w:hint="eastAsia" w:ascii="宋体" w:hAnsi="宋体" w:cs="宋体"/>
          <w:sz w:val="24"/>
          <w:lang w:val="zh-TW" w:eastAsia="zh-TW"/>
        </w:rPr>
        <w:t>或原厂离职具有培训资质。</w:t>
      </w:r>
    </w:p>
    <w:p w14:paraId="542E6041">
      <w:pPr>
        <w:numPr>
          <w:ilvl w:val="0"/>
          <w:numId w:val="5"/>
        </w:numPr>
        <w:spacing w:line="360" w:lineRule="auto"/>
        <w:ind w:firstLine="480" w:firstLineChars="200"/>
        <w:rPr>
          <w:rFonts w:ascii="宋体" w:hAnsi="宋体" w:cs="宋体"/>
          <w:sz w:val="24"/>
          <w:lang w:val="zh-TW" w:eastAsia="zh-TW"/>
        </w:rPr>
      </w:pPr>
      <w:r>
        <w:rPr>
          <w:rFonts w:hint="eastAsia" w:ascii="宋体" w:hAnsi="宋体" w:cs="宋体"/>
          <w:sz w:val="24"/>
          <w:lang w:val="zh-TW" w:eastAsia="zh-TW"/>
        </w:rPr>
        <w:t>提供原厂购买订货合同5份以上。</w:t>
      </w:r>
    </w:p>
    <w:p w14:paraId="155B9669">
      <w:pPr>
        <w:numPr>
          <w:ilvl w:val="0"/>
          <w:numId w:val="5"/>
        </w:numPr>
        <w:spacing w:line="360" w:lineRule="auto"/>
        <w:ind w:firstLine="480" w:firstLineChars="200"/>
        <w:rPr>
          <w:rFonts w:ascii="宋体" w:hAnsi="宋体" w:cs="宋体"/>
          <w:sz w:val="24"/>
          <w:lang w:val="zh-TW" w:eastAsia="zh-TW"/>
        </w:rPr>
      </w:pPr>
      <w:r>
        <w:rPr>
          <w:rFonts w:hint="eastAsia" w:ascii="宋体" w:hAnsi="宋体" w:cs="宋体"/>
          <w:sz w:val="24"/>
          <w:lang w:val="zh-TW" w:eastAsia="zh-TW"/>
        </w:rPr>
        <w:t>根据科室需求对医学技术人员免费</w:t>
      </w:r>
      <w:bookmarkStart w:id="0" w:name="_GoBack"/>
      <w:bookmarkEnd w:id="0"/>
      <w:r>
        <w:rPr>
          <w:rFonts w:hint="eastAsia" w:ascii="宋体" w:hAnsi="宋体" w:cs="宋体"/>
          <w:sz w:val="24"/>
          <w:lang w:val="zh-TW" w:eastAsia="zh-TW"/>
        </w:rPr>
        <w:t>培训指导，熟练使用该设备。</w:t>
      </w:r>
    </w:p>
    <w:sectPr>
      <w:pgSz w:w="11906" w:h="16838"/>
      <w:pgMar w:top="1134" w:right="1417" w:bottom="113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3620E7"/>
    <w:multiLevelType w:val="singleLevel"/>
    <w:tmpl w:val="9B3620E7"/>
    <w:lvl w:ilvl="0" w:tentative="0">
      <w:start w:val="1"/>
      <w:numFmt w:val="chineseCounting"/>
      <w:suff w:val="nothing"/>
      <w:lvlText w:val="（%1）"/>
      <w:lvlJc w:val="left"/>
      <w:pPr>
        <w:ind w:left="0" w:firstLine="420"/>
      </w:pPr>
      <w:rPr>
        <w:rFonts w:hint="eastAsia"/>
      </w:rPr>
    </w:lvl>
  </w:abstractNum>
  <w:abstractNum w:abstractNumId="1">
    <w:nsid w:val="EAA8FA29"/>
    <w:multiLevelType w:val="singleLevel"/>
    <w:tmpl w:val="EAA8FA29"/>
    <w:lvl w:ilvl="0" w:tentative="0">
      <w:start w:val="1"/>
      <w:numFmt w:val="decimal"/>
      <w:suff w:val="nothing"/>
      <w:lvlText w:val="%1．"/>
      <w:lvlJc w:val="left"/>
      <w:pPr>
        <w:ind w:left="0" w:firstLine="400"/>
      </w:pPr>
      <w:rPr>
        <w:rFonts w:hint="default"/>
      </w:rPr>
    </w:lvl>
  </w:abstractNum>
  <w:abstractNum w:abstractNumId="2">
    <w:nsid w:val="1C33BC48"/>
    <w:multiLevelType w:val="singleLevel"/>
    <w:tmpl w:val="1C33BC48"/>
    <w:lvl w:ilvl="0" w:tentative="0">
      <w:start w:val="1"/>
      <w:numFmt w:val="decimal"/>
      <w:suff w:val="nothing"/>
      <w:lvlText w:val="%1．"/>
      <w:lvlJc w:val="left"/>
      <w:pPr>
        <w:ind w:left="0" w:firstLine="400"/>
      </w:pPr>
      <w:rPr>
        <w:rFonts w:hint="default"/>
      </w:rPr>
    </w:lvl>
  </w:abstractNum>
  <w:abstractNum w:abstractNumId="3">
    <w:nsid w:val="3C7B5F69"/>
    <w:multiLevelType w:val="singleLevel"/>
    <w:tmpl w:val="3C7B5F69"/>
    <w:lvl w:ilvl="0" w:tentative="0">
      <w:start w:val="1"/>
      <w:numFmt w:val="decimal"/>
      <w:suff w:val="nothing"/>
      <w:lvlText w:val="%1．"/>
      <w:lvlJc w:val="left"/>
      <w:pPr>
        <w:ind w:left="0" w:firstLine="400"/>
      </w:pPr>
      <w:rPr>
        <w:rFonts w:hint="default"/>
      </w:rPr>
    </w:lvl>
  </w:abstractNum>
  <w:abstractNum w:abstractNumId="4">
    <w:nsid w:val="73E88ACB"/>
    <w:multiLevelType w:val="singleLevel"/>
    <w:tmpl w:val="73E88ACB"/>
    <w:lvl w:ilvl="0" w:tentative="0">
      <w:start w:val="1"/>
      <w:numFmt w:val="decimal"/>
      <w:suff w:val="nothing"/>
      <w:lvlText w:val="%1．"/>
      <w:lvlJc w:val="left"/>
      <w:pPr>
        <w:ind w:left="0" w:firstLine="0"/>
      </w:pPr>
      <w:rPr>
        <w:rFonts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0DA"/>
    <w:rsid w:val="000454AE"/>
    <w:rsid w:val="000D00DA"/>
    <w:rsid w:val="0010753A"/>
    <w:rsid w:val="00135A06"/>
    <w:rsid w:val="001851BC"/>
    <w:rsid w:val="001939D9"/>
    <w:rsid w:val="001D2B4B"/>
    <w:rsid w:val="0022023A"/>
    <w:rsid w:val="002B5E4F"/>
    <w:rsid w:val="003A2137"/>
    <w:rsid w:val="003E68D8"/>
    <w:rsid w:val="0041553A"/>
    <w:rsid w:val="00486307"/>
    <w:rsid w:val="005E24B1"/>
    <w:rsid w:val="00765C13"/>
    <w:rsid w:val="00766862"/>
    <w:rsid w:val="007D16A1"/>
    <w:rsid w:val="00857F10"/>
    <w:rsid w:val="009A338F"/>
    <w:rsid w:val="00A36C60"/>
    <w:rsid w:val="00B71D28"/>
    <w:rsid w:val="00BC2BFF"/>
    <w:rsid w:val="00BE5F9B"/>
    <w:rsid w:val="00C11BF4"/>
    <w:rsid w:val="00CD09C0"/>
    <w:rsid w:val="00CD74F5"/>
    <w:rsid w:val="00CE381E"/>
    <w:rsid w:val="00CE5B07"/>
    <w:rsid w:val="00D21067"/>
    <w:rsid w:val="00F25FC2"/>
    <w:rsid w:val="00F6439F"/>
    <w:rsid w:val="00FA30CC"/>
    <w:rsid w:val="00FD2BE5"/>
    <w:rsid w:val="08C42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0"/>
    <w:pPr>
      <w:keepNext/>
      <w:keepLines/>
      <w:spacing w:before="340" w:after="330" w:line="576" w:lineRule="auto"/>
      <w:outlineLvl w:val="0"/>
    </w:pPr>
    <w:rPr>
      <w:rFonts w:ascii="Times New Roman" w:hAnsi="Times New Roman" w:eastAsia="宋体" w:cs="Times New Roman"/>
      <w:b/>
      <w:kern w:val="44"/>
      <w:sz w:val="44"/>
      <w:szCs w:val="24"/>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next w:val="1"/>
    <w:link w:val="13"/>
    <w:qFormat/>
    <w:uiPriority w:val="0"/>
    <w:pPr>
      <w:spacing w:after="120"/>
    </w:pPr>
    <w:rPr>
      <w:rFonts w:ascii="Times New Roman" w:hAnsi="Times New Roman" w:eastAsia="宋体" w:cs="Times New Roman"/>
      <w:szCs w:val="24"/>
    </w:rPr>
  </w:style>
  <w:style w:type="paragraph" w:styleId="4">
    <w:name w:val="Balloon Text"/>
    <w:basedOn w:val="1"/>
    <w:link w:val="17"/>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6"/>
    <w:qFormat/>
    <w:uiPriority w:val="99"/>
    <w:rPr>
      <w:sz w:val="18"/>
      <w:szCs w:val="18"/>
    </w:rPr>
  </w:style>
  <w:style w:type="character" w:customStyle="1" w:styleId="11">
    <w:name w:val="页脚 字符"/>
    <w:basedOn w:val="9"/>
    <w:link w:val="5"/>
    <w:uiPriority w:val="99"/>
    <w:rPr>
      <w:sz w:val="18"/>
      <w:szCs w:val="18"/>
    </w:rPr>
  </w:style>
  <w:style w:type="character" w:customStyle="1" w:styleId="12">
    <w:name w:val="标题 1 字符"/>
    <w:basedOn w:val="9"/>
    <w:link w:val="2"/>
    <w:qFormat/>
    <w:uiPriority w:val="0"/>
    <w:rPr>
      <w:rFonts w:ascii="Times New Roman" w:hAnsi="Times New Roman" w:eastAsia="宋体" w:cs="Times New Roman"/>
      <w:b/>
      <w:kern w:val="44"/>
      <w:sz w:val="44"/>
      <w:szCs w:val="24"/>
    </w:rPr>
  </w:style>
  <w:style w:type="character" w:customStyle="1" w:styleId="13">
    <w:name w:val="正文文本 字符"/>
    <w:basedOn w:val="9"/>
    <w:link w:val="3"/>
    <w:uiPriority w:val="0"/>
    <w:rPr>
      <w:rFonts w:ascii="Times New Roman" w:hAnsi="Times New Roman" w:eastAsia="宋体" w:cs="Times New Roman"/>
      <w:szCs w:val="24"/>
    </w:rPr>
  </w:style>
  <w:style w:type="character" w:customStyle="1" w:styleId="14">
    <w:name w:val="font01"/>
    <w:qFormat/>
    <w:uiPriority w:val="0"/>
    <w:rPr>
      <w:rFonts w:hint="default" w:ascii="Arial" w:hAnsi="Arial" w:cs="Arial"/>
      <w:color w:val="000000"/>
      <w:sz w:val="22"/>
      <w:szCs w:val="22"/>
      <w:u w:val="none"/>
    </w:rPr>
  </w:style>
  <w:style w:type="character" w:customStyle="1" w:styleId="15">
    <w:name w:val="font81"/>
    <w:qFormat/>
    <w:uiPriority w:val="0"/>
    <w:rPr>
      <w:rFonts w:hint="eastAsia" w:ascii="宋体" w:hAnsi="宋体" w:eastAsia="宋体" w:cs="宋体"/>
      <w:color w:val="000000"/>
      <w:sz w:val="22"/>
      <w:szCs w:val="22"/>
      <w:u w:val="none"/>
    </w:rPr>
  </w:style>
  <w:style w:type="paragraph" w:styleId="16">
    <w:name w:val="List Paragraph"/>
    <w:basedOn w:val="1"/>
    <w:qFormat/>
    <w:uiPriority w:val="34"/>
    <w:pPr>
      <w:ind w:firstLine="420" w:firstLineChars="200"/>
    </w:pPr>
    <w:rPr>
      <w14:ligatures w14:val="standardContextual"/>
    </w:rPr>
  </w:style>
  <w:style w:type="character" w:customStyle="1" w:styleId="17">
    <w:name w:val="批注框文本 字符"/>
    <w:basedOn w:val="9"/>
    <w:link w:val="4"/>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1348</Words>
  <Characters>1397</Characters>
  <Lines>10</Lines>
  <Paragraphs>2</Paragraphs>
  <TotalTime>0</TotalTime>
  <ScaleCrop>false</ScaleCrop>
  <LinksUpToDate>false</LinksUpToDate>
  <CharactersWithSpaces>1402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2024-11-13T06:38:00Z</dcterms:created>
  <dc:creator>SKUser</dc:creator>
  <cp:lastModifiedBy>Administrator</cp:lastModifiedBy>
  <cp:lastPrinted>2024-11-18T03:21:00Z</cp:lastPrinted>
  <dcterms:modified xsi:type="dcterms:W3CDTF">2024-12-13T07:09:18Z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354121D890254432BBA34B04FCB8DDDD_12</vt:lpwstr>
  </property>
</Properties>
</file>